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特克斯县统计局2024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E6C310E">
      <w:r>
        <w:br w:type="page"/>
      </w:r>
    </w:p>
    <w:p w14:paraId="5225D8E4">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085B3D54">
      <w:pPr>
        <w:spacing w:line="640" w:lineRule="exact"/>
        <w:ind w:firstLine="640"/>
        <w:jc w:val="both"/>
        <w:outlineLvl w:val="2"/>
      </w:pPr>
      <w:r>
        <w:rPr>
          <w:rFonts w:ascii="黑体" w:hAnsi="黑体" w:eastAsia="黑体"/>
          <w:sz w:val="32"/>
        </w:rPr>
        <w:t>一、主要职能</w:t>
      </w:r>
    </w:p>
    <w:p w14:paraId="45A2D38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组织领导和统一协调特克斯县统计工作，确保统计数据真实、准确及时；依照国家和自治区、自治州的法律法规、政策，拟订特克斯县统计工作规划和统计调查计划，制定部门规范性文件，并监督检查执行情况。</w:t>
      </w:r>
    </w:p>
    <w:p w14:paraId="4CCF574B">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建立健全全县国民经济核算体系；组织实施全县国民经济核算制度和投入产出调查；核算全县生产总值，汇编提供国民</w:t>
      </w:r>
      <w:r>
        <w:rPr>
          <w:rFonts w:ascii="仿宋_GB2312" w:hAnsi="仿宋_GB2312" w:eastAsia="仿宋_GB2312"/>
          <w:w w:val="97"/>
          <w:sz w:val="32"/>
        </w:rPr>
        <w:t>经济核算资料，监督管理和指导各乡（镇）各项经济指标核算工作。</w:t>
      </w:r>
    </w:p>
    <w:p w14:paraId="6E9FDD9D">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按照国家、自治区、自治州要求，会同有关部门拟订重大国情国力普查计划、方案；组织实施全县人口、经济、农业等国情国力普查和重大专项调查、汇总、整理和提供有关国情国力、县情县力方面的统计数据。</w:t>
      </w:r>
    </w:p>
    <w:p w14:paraId="20DC2380">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组织实施农林牧渔业、工业、建筑业、批发和零售业、住宿和餐饮业、房地产业、租赁和商务服务业、居民服务和其他服务业、文化、体育和娱乐业以及装卸搬运和其他运输服务业、仓储业、计算机服务业、软件业、科技交流和推广服务业、社会福利业等统计调查，收集、汇总、整理和提供有关调查的统计数据，综合整理和提供地质勘查、旅游、交通运输、邮政、教育、卫生、社会保障、公用事业等全县性基本统计数据。</w:t>
      </w:r>
    </w:p>
    <w:p w14:paraId="52EFFF5E">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组织实施能源、投资、消费、价格、收入、科技、人口、劳动力、社会发展基本情况、环境基本状况等统计调查，收集、汇总、整理和提供有关调查的统计数据，综合整理和提供资源环境、城乡建设、对外经济等全县性基本统计数据。</w:t>
      </w:r>
    </w:p>
    <w:p w14:paraId="2CED8284">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组织本区域内各部门的经济、社会、科技和资源环境统计调查，统一核定、管理、公布全县性基本统计资料，定期发布全县国民经济和社会发展情况的统计信息，组织建立服务业统计信息管理、共享和发布制度。</w:t>
      </w:r>
    </w:p>
    <w:p w14:paraId="36B852EA">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对国民经济、社会发展、科技进步和资源环境等情况进行统计调查、统计分析和统计监督，向全县党委、人民政府及有关部门提供统计信息和咨询建议。</w:t>
      </w:r>
    </w:p>
    <w:p w14:paraId="35AA182B">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贯彻落实全国基本统计制度和国家统计标准；依法审批或备案全县各部门、各乡（镇）统计调查项目；审批部门统计调查计划、调查方案；指导专业统计基础工作、统计基层业务基础建设；组织建立服务业统计信息管理制度，建立健全统计数据质量审核、监控和评估制度，开展对重要统计数据的审核、监控和评估。</w:t>
      </w:r>
    </w:p>
    <w:p w14:paraId="79833D0F">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指导全县统计专业技术队伍建设，会同有关部门组织管理全县统计专业技术资格考试、评审；负责从业资格认定工作；监督管理全县统计部门由国家和自治区提供的统计事业费和专项基本建设投资。</w:t>
      </w:r>
    </w:p>
    <w:p w14:paraId="300B8113">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组织指导全县统计信息自动化建设，建立健全和管理全县统计信息自动化系统；组织协调和统一管理全县统计数据网络，指导各乡（镇）统计信息化系统建设。</w:t>
      </w:r>
    </w:p>
    <w:p w14:paraId="0223DAA7">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收集、整理全县、各乡（镇）统计资料，开展对比分析研究，组织实施乡（镇）间统计资料交换合作项目。</w:t>
      </w:r>
    </w:p>
    <w:p w14:paraId="5879139B">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承办县人民政府交办的其他事项。</w:t>
      </w:r>
    </w:p>
    <w:p w14:paraId="49D62EF8">
      <w:pPr>
        <w:spacing w:line="640" w:lineRule="exact"/>
        <w:ind w:firstLine="640"/>
        <w:jc w:val="both"/>
        <w:outlineLvl w:val="2"/>
      </w:pPr>
      <w:r>
        <w:rPr>
          <w:rFonts w:ascii="黑体" w:hAnsi="黑体" w:eastAsia="黑体"/>
          <w:sz w:val="32"/>
        </w:rPr>
        <w:t>二、机构设置及人员情况</w:t>
      </w:r>
    </w:p>
    <w:p w14:paraId="2FEF25F4">
      <w:pPr>
        <w:spacing w:line="580" w:lineRule="exact"/>
        <w:ind w:firstLine="640"/>
        <w:jc w:val="both"/>
      </w:pPr>
      <w:r>
        <w:rPr>
          <w:rFonts w:ascii="仿宋_GB2312" w:hAnsi="仿宋_GB2312" w:eastAsia="仿宋_GB2312"/>
          <w:sz w:val="32"/>
        </w:rPr>
        <w:t>特克斯县统计局2024年度，实有人数27人，其中：在职人员13人，减少2人；离休人员0人，增加0人；退休人员14人,增加3人。</w:t>
      </w:r>
    </w:p>
    <w:p w14:paraId="2A910841">
      <w:pPr>
        <w:spacing w:line="580" w:lineRule="exact"/>
        <w:ind w:firstLine="640"/>
        <w:jc w:val="both"/>
      </w:pPr>
      <w:r>
        <w:rPr>
          <w:rFonts w:ascii="仿宋_GB2312" w:hAnsi="仿宋_GB2312" w:eastAsia="仿宋_GB2312"/>
          <w:sz w:val="32"/>
        </w:rPr>
        <w:t>特克斯县统计局无下属预算</w:t>
      </w:r>
      <w:r>
        <w:rPr>
          <w:rFonts w:hint="eastAsia" w:ascii="仿宋_GB2312" w:hAnsi="仿宋_GB2312" w:eastAsia="仿宋_GB2312"/>
          <w:sz w:val="32"/>
          <w:lang w:eastAsia="zh-CN"/>
        </w:rPr>
        <w:t>单位</w:t>
      </w:r>
      <w:r>
        <w:rPr>
          <w:rFonts w:ascii="仿宋_GB2312" w:hAnsi="仿宋_GB2312" w:eastAsia="仿宋_GB2312"/>
          <w:sz w:val="32"/>
        </w:rPr>
        <w:t>，下设1个科室，分别是：综合核算科。</w:t>
      </w:r>
    </w:p>
    <w:p w14:paraId="40A42E60">
      <w:r>
        <w:br w:type="page"/>
      </w:r>
    </w:p>
    <w:p w14:paraId="44A95BF7">
      <w:pPr>
        <w:spacing w:line="240" w:lineRule="auto"/>
        <w:jc w:val="center"/>
        <w:outlineLvl w:val="1"/>
      </w:pPr>
      <w:r>
        <w:rPr>
          <w:rFonts w:ascii="黑体" w:hAnsi="黑体" w:eastAsia="黑体"/>
          <w:sz w:val="32"/>
        </w:rPr>
        <w:t>第二部分 部门决算情况说明</w:t>
      </w:r>
    </w:p>
    <w:p w14:paraId="499F6D7A">
      <w:pPr>
        <w:spacing w:line="640" w:lineRule="exact"/>
        <w:ind w:firstLine="640"/>
        <w:jc w:val="both"/>
        <w:outlineLvl w:val="2"/>
      </w:pPr>
      <w:r>
        <w:rPr>
          <w:rFonts w:ascii="黑体" w:hAnsi="黑体" w:eastAsia="黑体"/>
          <w:sz w:val="32"/>
        </w:rPr>
        <w:t>一、收入支出决算总体情况说明</w:t>
      </w:r>
    </w:p>
    <w:p w14:paraId="78B67A06">
      <w:pPr>
        <w:spacing w:line="580" w:lineRule="exact"/>
        <w:ind w:firstLine="640"/>
        <w:jc w:val="both"/>
      </w:pPr>
      <w:r>
        <w:rPr>
          <w:rFonts w:ascii="仿宋_GB2312" w:hAnsi="仿宋_GB2312" w:eastAsia="仿宋_GB2312"/>
          <w:b/>
          <w:sz w:val="32"/>
        </w:rPr>
        <w:t>2024年度收入总计286.53万元，</w:t>
      </w:r>
      <w:r>
        <w:rPr>
          <w:rFonts w:ascii="仿宋_GB2312" w:hAnsi="仿宋_GB2312" w:eastAsia="仿宋_GB2312"/>
          <w:b w:val="0"/>
          <w:sz w:val="32"/>
        </w:rPr>
        <w:t>其中：本年收入合计286.53万元，使用非财政拨款结余（含专用结余）0.00万元，年初结转和结余0.00万元。</w:t>
      </w:r>
    </w:p>
    <w:p w14:paraId="2D15755B">
      <w:pPr>
        <w:spacing w:line="580" w:lineRule="exact"/>
        <w:ind w:firstLine="640"/>
        <w:jc w:val="both"/>
      </w:pPr>
      <w:r>
        <w:rPr>
          <w:rFonts w:ascii="仿宋_GB2312" w:hAnsi="仿宋_GB2312" w:eastAsia="仿宋_GB2312"/>
          <w:b/>
          <w:sz w:val="32"/>
        </w:rPr>
        <w:t>2024年度支出总计286.53万元，</w:t>
      </w:r>
      <w:r>
        <w:rPr>
          <w:rFonts w:ascii="仿宋_GB2312" w:hAnsi="仿宋_GB2312" w:eastAsia="仿宋_GB2312"/>
          <w:b w:val="0"/>
          <w:sz w:val="32"/>
        </w:rPr>
        <w:t>其中：本年支出合计286.53万元，结余分配0.00万元，年末结转和结余0.00万元。</w:t>
      </w:r>
    </w:p>
    <w:p w14:paraId="108917EC">
      <w:pPr>
        <w:spacing w:line="580" w:lineRule="exact"/>
        <w:ind w:firstLine="640"/>
        <w:jc w:val="both"/>
      </w:pPr>
      <w:r>
        <w:rPr>
          <w:rFonts w:ascii="仿宋_GB2312" w:hAnsi="仿宋_GB2312" w:eastAsia="仿宋_GB2312"/>
          <w:b w:val="0"/>
          <w:sz w:val="32"/>
        </w:rPr>
        <w:t>收入支出总体与上年相比，增加8.46万元，增长3.04%，主要原因是：本年增加国家统计局新疆调查总队拨付统计专项抽样调查经费。</w:t>
      </w:r>
    </w:p>
    <w:p w14:paraId="68FDFA83">
      <w:pPr>
        <w:spacing w:line="640" w:lineRule="exact"/>
        <w:ind w:firstLine="640"/>
        <w:jc w:val="both"/>
        <w:outlineLvl w:val="2"/>
      </w:pPr>
      <w:r>
        <w:rPr>
          <w:rFonts w:ascii="黑体" w:hAnsi="黑体" w:eastAsia="黑体"/>
          <w:sz w:val="32"/>
        </w:rPr>
        <w:t>二、收入决算情况说明</w:t>
      </w:r>
    </w:p>
    <w:p w14:paraId="22B9E283">
      <w:pPr>
        <w:spacing w:line="580" w:lineRule="exact"/>
        <w:ind w:firstLine="640"/>
        <w:jc w:val="both"/>
      </w:pPr>
      <w:r>
        <w:rPr>
          <w:rFonts w:ascii="仿宋_GB2312" w:hAnsi="仿宋_GB2312" w:eastAsia="仿宋_GB2312"/>
          <w:b/>
          <w:sz w:val="32"/>
        </w:rPr>
        <w:t>本年收入286.53万元，</w:t>
      </w:r>
      <w:r>
        <w:rPr>
          <w:rFonts w:ascii="仿宋_GB2312" w:hAnsi="仿宋_GB2312" w:eastAsia="仿宋_GB2312"/>
          <w:b w:val="0"/>
          <w:sz w:val="32"/>
        </w:rPr>
        <w:t>其中：财政拨款收入273.57万元，占95.48%；上级补助收入0.00万元，占0.00%；事业收入0.00万元，占0.00%；经营收入0.00万元，占0.00%；附属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上缴收入0.00万元，占0.00%；其他收入12.96万元，占4.52%。</w:t>
      </w:r>
    </w:p>
    <w:p w14:paraId="544A8DA3">
      <w:pPr>
        <w:spacing w:line="640" w:lineRule="exact"/>
        <w:ind w:firstLine="640"/>
        <w:jc w:val="both"/>
        <w:outlineLvl w:val="2"/>
      </w:pPr>
      <w:r>
        <w:rPr>
          <w:rFonts w:ascii="黑体" w:hAnsi="黑体" w:eastAsia="黑体"/>
          <w:sz w:val="32"/>
        </w:rPr>
        <w:t>三、支出决算情况说明</w:t>
      </w:r>
    </w:p>
    <w:p w14:paraId="673A8778">
      <w:pPr>
        <w:spacing w:line="580" w:lineRule="exact"/>
        <w:ind w:firstLine="640"/>
        <w:jc w:val="both"/>
      </w:pPr>
      <w:r>
        <w:rPr>
          <w:rFonts w:ascii="仿宋_GB2312" w:hAnsi="仿宋_GB2312" w:eastAsia="仿宋_GB2312"/>
          <w:b/>
          <w:sz w:val="32"/>
        </w:rPr>
        <w:t>本年支出286.53万元，</w:t>
      </w:r>
      <w:r>
        <w:rPr>
          <w:rFonts w:ascii="仿宋_GB2312" w:hAnsi="仿宋_GB2312" w:eastAsia="仿宋_GB2312"/>
          <w:b w:val="0"/>
          <w:sz w:val="32"/>
        </w:rPr>
        <w:t>其中：基本支出244.70万元，占85.40%；项目支出41.83万元，占14.60%；上缴上级支出0.00万元，占0.00%；经营支出0.00万元，占0.00%；对附属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DEAFB8C">
      <w:pPr>
        <w:spacing w:line="640" w:lineRule="exact"/>
        <w:ind w:firstLine="640"/>
        <w:jc w:val="both"/>
        <w:outlineLvl w:val="2"/>
      </w:pPr>
      <w:r>
        <w:rPr>
          <w:rFonts w:ascii="黑体" w:hAnsi="黑体" w:eastAsia="黑体"/>
          <w:sz w:val="32"/>
        </w:rPr>
        <w:t>四、财政拨款收入支出决算总体情况说明</w:t>
      </w:r>
    </w:p>
    <w:p w14:paraId="57B5450A">
      <w:pPr>
        <w:spacing w:line="580" w:lineRule="exact"/>
        <w:ind w:firstLine="640"/>
        <w:jc w:val="both"/>
      </w:pPr>
      <w:r>
        <w:rPr>
          <w:rFonts w:ascii="仿宋_GB2312" w:hAnsi="仿宋_GB2312" w:eastAsia="仿宋_GB2312"/>
          <w:b/>
          <w:sz w:val="32"/>
        </w:rPr>
        <w:t>2024年度财政拨款收入总计273.57万元，</w:t>
      </w:r>
      <w:r>
        <w:rPr>
          <w:rFonts w:ascii="仿宋_GB2312" w:hAnsi="仿宋_GB2312" w:eastAsia="仿宋_GB2312"/>
          <w:b w:val="0"/>
          <w:sz w:val="32"/>
        </w:rPr>
        <w:t>其中：年初财政拨款结转和结余0.00万元，本年财政拨款收入273.57万元。</w:t>
      </w:r>
      <w:r>
        <w:rPr>
          <w:rFonts w:ascii="仿宋_GB2312" w:hAnsi="仿宋_GB2312" w:eastAsia="仿宋_GB2312"/>
          <w:b/>
          <w:sz w:val="32"/>
        </w:rPr>
        <w:t>财政拨款支出总计273.57万元，</w:t>
      </w:r>
      <w:r>
        <w:rPr>
          <w:rFonts w:ascii="仿宋_GB2312" w:hAnsi="仿宋_GB2312" w:eastAsia="仿宋_GB2312"/>
          <w:b w:val="0"/>
          <w:sz w:val="32"/>
        </w:rPr>
        <w:t>其中：年末财政拨款结转和结余0.00万元，本年财政拨款支出273.57万元。</w:t>
      </w:r>
    </w:p>
    <w:p w14:paraId="011A41A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减少4.50万元，下降1.62%，主要原因是：本年在职人员减少，相关人员经费较上年减少。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年初预算数253.01万元，决算数273.57万元，预决算差异率8.13%，主要原因是：年中追加城乡住户调查经费、劳动力调查经费项目，导致预决算存在差异。</w:t>
      </w:r>
    </w:p>
    <w:p w14:paraId="4DA3D331">
      <w:pPr>
        <w:spacing w:line="640" w:lineRule="exact"/>
        <w:ind w:firstLine="640"/>
        <w:jc w:val="both"/>
        <w:outlineLvl w:val="2"/>
      </w:pPr>
      <w:r>
        <w:rPr>
          <w:rFonts w:ascii="黑体" w:hAnsi="黑体" w:eastAsia="黑体"/>
          <w:sz w:val="32"/>
        </w:rPr>
        <w:t>五、一般公共预算财政拨款支出决算情况说明</w:t>
      </w:r>
    </w:p>
    <w:p w14:paraId="0CCB2DC0">
      <w:pPr>
        <w:spacing w:line="640" w:lineRule="exact"/>
        <w:ind w:firstLine="640"/>
        <w:jc w:val="both"/>
        <w:outlineLvl w:val="3"/>
      </w:pPr>
      <w:r>
        <w:rPr>
          <w:rFonts w:ascii="楷体_GB2312" w:hAnsi="楷体_GB2312" w:eastAsia="楷体_GB2312"/>
          <w:b/>
          <w:sz w:val="32"/>
        </w:rPr>
        <w:t>（一）一般公共预算财政拨款支出决算总体情况</w:t>
      </w:r>
    </w:p>
    <w:p w14:paraId="5FF245D6">
      <w:pPr>
        <w:spacing w:line="580" w:lineRule="exact"/>
        <w:ind w:firstLine="640"/>
        <w:jc w:val="both"/>
      </w:pPr>
      <w:r>
        <w:rPr>
          <w:rFonts w:ascii="仿宋_GB2312" w:hAnsi="仿宋_GB2312" w:eastAsia="仿宋_GB2312"/>
          <w:b/>
          <w:sz w:val="32"/>
        </w:rPr>
        <w:t>2024年度一般公共预算财政拨款支出273.57万元，</w:t>
      </w:r>
      <w:r>
        <w:rPr>
          <w:rFonts w:ascii="仿宋_GB2312" w:hAnsi="仿宋_GB2312" w:eastAsia="仿宋_GB2312"/>
          <w:b w:val="0"/>
          <w:sz w:val="32"/>
        </w:rPr>
        <w:t>占本年支出合计的95.48%。</w:t>
      </w:r>
      <w:r>
        <w:rPr>
          <w:rFonts w:ascii="仿宋_GB2312" w:hAnsi="仿宋_GB2312" w:eastAsia="仿宋_GB2312"/>
          <w:b/>
          <w:sz w:val="32"/>
        </w:rPr>
        <w:t>与上年相比，</w:t>
      </w:r>
      <w:r>
        <w:rPr>
          <w:rFonts w:ascii="仿宋_GB2312" w:hAnsi="仿宋_GB2312" w:eastAsia="仿宋_GB2312"/>
          <w:b w:val="0"/>
          <w:sz w:val="32"/>
        </w:rPr>
        <w:t>减少4.50万元，下降1.62%，主要原因是：本年在职人员减少，相关人员经费较上年减少。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年初预算数253.01万元，决算数273.57万元，预决算差异率8.13%，主要原因是：年中追加城乡住户调查经费、劳动力调查经费项目，导致预决算存在差异。</w:t>
      </w:r>
    </w:p>
    <w:p w14:paraId="20EDFC79">
      <w:pPr>
        <w:spacing w:line="640" w:lineRule="exact"/>
        <w:ind w:firstLine="640"/>
        <w:jc w:val="both"/>
        <w:outlineLvl w:val="3"/>
      </w:pPr>
      <w:r>
        <w:rPr>
          <w:rFonts w:ascii="楷体_GB2312" w:hAnsi="楷体_GB2312" w:eastAsia="楷体_GB2312"/>
          <w:b/>
          <w:sz w:val="32"/>
        </w:rPr>
        <w:t>（二）一般公共预算财政拨款支出决算结构情况</w:t>
      </w:r>
    </w:p>
    <w:p w14:paraId="6BD6C765">
      <w:pPr>
        <w:spacing w:line="580" w:lineRule="exact"/>
        <w:ind w:firstLine="640"/>
        <w:jc w:val="both"/>
      </w:pPr>
      <w:r>
        <w:rPr>
          <w:rFonts w:ascii="仿宋_GB2312" w:hAnsi="仿宋_GB2312" w:eastAsia="仿宋_GB2312"/>
          <w:b w:val="0"/>
          <w:sz w:val="32"/>
        </w:rPr>
        <w:t>1.一般公共服务支出(类)199.66万元,占72.98%。</w:t>
      </w:r>
    </w:p>
    <w:p w14:paraId="1FBC7F57">
      <w:pPr>
        <w:spacing w:line="580" w:lineRule="exact"/>
        <w:ind w:firstLine="640"/>
        <w:jc w:val="both"/>
      </w:pPr>
      <w:r>
        <w:rPr>
          <w:rFonts w:ascii="仿宋_GB2312" w:hAnsi="仿宋_GB2312" w:eastAsia="仿宋_GB2312"/>
          <w:b w:val="0"/>
          <w:sz w:val="32"/>
        </w:rPr>
        <w:t>2.社会保障和就业支出(类)45.31万元,占16.56%。</w:t>
      </w:r>
    </w:p>
    <w:p w14:paraId="4F72DC67">
      <w:pPr>
        <w:spacing w:line="580" w:lineRule="exact"/>
        <w:ind w:firstLine="640"/>
        <w:jc w:val="both"/>
      </w:pPr>
      <w:r>
        <w:rPr>
          <w:rFonts w:ascii="仿宋_GB2312" w:hAnsi="仿宋_GB2312" w:eastAsia="仿宋_GB2312"/>
          <w:b w:val="0"/>
          <w:sz w:val="32"/>
        </w:rPr>
        <w:t>3.卫生健康支出(类)10.46万元,占3.82%。</w:t>
      </w:r>
    </w:p>
    <w:p w14:paraId="23DC0F9E">
      <w:pPr>
        <w:spacing w:line="580" w:lineRule="exact"/>
        <w:ind w:firstLine="640"/>
        <w:jc w:val="both"/>
      </w:pPr>
      <w:r>
        <w:rPr>
          <w:rFonts w:ascii="仿宋_GB2312" w:hAnsi="仿宋_GB2312" w:eastAsia="仿宋_GB2312"/>
          <w:b w:val="0"/>
          <w:sz w:val="32"/>
        </w:rPr>
        <w:t>4.住房保障支出(类)18.14万元,占6.63%。</w:t>
      </w:r>
    </w:p>
    <w:p w14:paraId="32DD3F6C">
      <w:pPr>
        <w:spacing w:line="640" w:lineRule="exact"/>
        <w:ind w:firstLine="640"/>
        <w:jc w:val="both"/>
        <w:outlineLvl w:val="3"/>
      </w:pPr>
      <w:r>
        <w:rPr>
          <w:rFonts w:ascii="楷体_GB2312" w:hAnsi="楷体_GB2312" w:eastAsia="楷体_GB2312"/>
          <w:b/>
          <w:sz w:val="32"/>
        </w:rPr>
        <w:t>（三）一般公共预算财政拨款支出决算具体情况</w:t>
      </w:r>
    </w:p>
    <w:p w14:paraId="37C1A447">
      <w:pPr>
        <w:spacing w:line="580" w:lineRule="exact"/>
        <w:ind w:firstLine="640"/>
        <w:jc w:val="both"/>
      </w:pPr>
      <w:r>
        <w:rPr>
          <w:rFonts w:ascii="仿宋_GB2312" w:hAnsi="仿宋_GB2312" w:eastAsia="仿宋_GB2312"/>
          <w:b w:val="0"/>
          <w:sz w:val="32"/>
        </w:rPr>
        <w:t>1.一般公共服务支出(类)统计信息事务(款)行政运行(项):支出决算数为170.79万元，比上年决算减少6.42万元，下降</w:t>
      </w:r>
      <w:r>
        <w:rPr>
          <w:rFonts w:ascii="仿宋_GB2312" w:hAnsi="仿宋_GB2312" w:eastAsia="仿宋_GB2312"/>
          <w:b w:val="0"/>
          <w:w w:val="97"/>
          <w:sz w:val="32"/>
        </w:rPr>
        <w:t>3.62%,主要原因是：本年在职人员减少，相应人员经费较上年减少。</w:t>
      </w:r>
    </w:p>
    <w:p w14:paraId="71131AF5">
      <w:pPr>
        <w:spacing w:line="580" w:lineRule="exact"/>
        <w:ind w:firstLine="640"/>
        <w:jc w:val="both"/>
      </w:pPr>
      <w:r>
        <w:rPr>
          <w:rFonts w:ascii="仿宋_GB2312" w:hAnsi="仿宋_GB2312" w:eastAsia="仿宋_GB2312"/>
          <w:b w:val="0"/>
          <w:sz w:val="32"/>
        </w:rPr>
        <w:t>2.一般公共服务支出(类)统计信息事务(款)专项普查活动(项):支出决算数为24.41万元，比上年决算增加12.41万元，增长103.42%,主要原因是：本年增加统计局全国第五次专项经济普查工作经费。</w:t>
      </w:r>
    </w:p>
    <w:p w14:paraId="7CDD473A">
      <w:pPr>
        <w:spacing w:line="580" w:lineRule="exact"/>
        <w:ind w:firstLine="640"/>
        <w:jc w:val="both"/>
      </w:pPr>
      <w:r>
        <w:rPr>
          <w:rFonts w:ascii="仿宋_GB2312" w:hAnsi="仿宋_GB2312" w:eastAsia="仿宋_GB2312"/>
          <w:b w:val="0"/>
          <w:sz w:val="32"/>
        </w:rPr>
        <w:t>3.一般公共服务支出(类)统计信息事务(款)统计抽样调查(项):支出决算数为4.46万元，比上年决算减少32.78万元，下降88.02%,主要原因是：本年减少城乡住户调查项目资金。</w:t>
      </w:r>
    </w:p>
    <w:p w14:paraId="15879DE7">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基本养老保险缴费支出(项):支出决算数为23.66万元，比上年决算增加0.89万元，增长3.91%,主要原因是：本年在职人员工资基数调增，养老缴费基数上涨，相应支出增加。</w:t>
      </w:r>
    </w:p>
    <w:p w14:paraId="0E747BC4">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职业年金缴费支出(项):支出决算数为21.65万元，比上年决算增加21.65万元，增长100.00%,主要原因是：本年新增退休人员，职业年金缴费支出增加。</w:t>
      </w:r>
    </w:p>
    <w:p w14:paraId="542CB348">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医疗(项):支出决算数为10.08万元，比上年决算减少0.19万元，下降1.85%,主要原因是：本年在职人员减少，行政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177B7BC3">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医疗(款)公务员医疗补助(项):支出决算数为0.22万元，比上年决算减少0.67万元，下降75.28%,主要原因是：本年在职人员减少，导致公务员医疗补助较上年减少。</w:t>
      </w:r>
    </w:p>
    <w:p w14:paraId="132F8987">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医疗支出(项):支出决算数为0.16万元，比上年决算减少0.14万元，下降46.67%,主要原因是：本年在职人员减少，大病医疗缴费减少。</w:t>
      </w:r>
    </w:p>
    <w:p w14:paraId="166A6DA9">
      <w:pPr>
        <w:spacing w:line="580" w:lineRule="exact"/>
        <w:ind w:firstLine="640"/>
        <w:jc w:val="both"/>
      </w:pPr>
      <w:r>
        <w:rPr>
          <w:rFonts w:ascii="仿宋_GB2312" w:hAnsi="仿宋_GB2312" w:eastAsia="仿宋_GB2312"/>
          <w:b w:val="0"/>
          <w:sz w:val="32"/>
        </w:rPr>
        <w:t>9.住房保障支出(类)住房改革支出(款)住房公积金(项):支出决算数为18.14万元，比上年决算增加0.74万元，增长4.25%,主要原因是：本年在职人员工资基数调增，公积金缴费基数上涨，相应支出增加。</w:t>
      </w:r>
    </w:p>
    <w:p w14:paraId="5358EC86">
      <w:pPr>
        <w:spacing w:line="640" w:lineRule="exact"/>
        <w:ind w:firstLine="640"/>
        <w:jc w:val="both"/>
        <w:outlineLvl w:val="2"/>
      </w:pPr>
      <w:r>
        <w:rPr>
          <w:rFonts w:ascii="黑体" w:hAnsi="黑体" w:eastAsia="黑体"/>
          <w:sz w:val="32"/>
        </w:rPr>
        <w:t>六、一般公共预算财政拨款基本支出决算情况说明</w:t>
      </w:r>
    </w:p>
    <w:p w14:paraId="31720420">
      <w:pPr>
        <w:spacing w:line="580" w:lineRule="exact"/>
        <w:ind w:firstLine="640"/>
        <w:jc w:val="both"/>
      </w:pPr>
      <w:r>
        <w:rPr>
          <w:rFonts w:ascii="仿宋_GB2312" w:hAnsi="仿宋_GB2312" w:eastAsia="仿宋_GB2312"/>
          <w:b w:val="0"/>
          <w:sz w:val="32"/>
        </w:rPr>
        <w:t>2024年度一般公共预算财政拨款基本支出244.70万元，其中：</w:t>
      </w:r>
      <w:r>
        <w:rPr>
          <w:rFonts w:ascii="仿宋_GB2312" w:hAnsi="仿宋_GB2312" w:eastAsia="仿宋_GB2312"/>
          <w:b/>
          <w:sz w:val="32"/>
        </w:rPr>
        <w:t>人员经费242.01万元，</w:t>
      </w:r>
      <w:r>
        <w:rPr>
          <w:rFonts w:ascii="仿宋_GB2312" w:hAnsi="仿宋_GB2312" w:eastAsia="仿宋_GB2312"/>
          <w:b w:val="0"/>
          <w:sz w:val="32"/>
        </w:rPr>
        <w:t>包括：基本工资、津贴补贴、奖金、机关事业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w:t>
      </w:r>
    </w:p>
    <w:p w14:paraId="175D7DE8">
      <w:pPr>
        <w:spacing w:line="580" w:lineRule="exact"/>
        <w:ind w:firstLine="640"/>
        <w:jc w:val="both"/>
      </w:pPr>
      <w:r>
        <w:rPr>
          <w:rFonts w:ascii="仿宋_GB2312" w:hAnsi="仿宋_GB2312" w:eastAsia="仿宋_GB2312"/>
          <w:b/>
          <w:sz w:val="32"/>
        </w:rPr>
        <w:t>公用经费2.69万元，</w:t>
      </w:r>
      <w:r>
        <w:rPr>
          <w:rFonts w:ascii="仿宋_GB2312" w:hAnsi="仿宋_GB2312" w:eastAsia="仿宋_GB2312"/>
          <w:b w:val="0"/>
          <w:sz w:val="32"/>
        </w:rPr>
        <w:t>包括：办公费、邮电费、差旅费、工会经费、公务用车运行维护费、其他交通费用。</w:t>
      </w:r>
    </w:p>
    <w:p w14:paraId="5A3CFEF4">
      <w:pPr>
        <w:spacing w:line="640" w:lineRule="exact"/>
        <w:ind w:firstLine="640"/>
        <w:jc w:val="both"/>
        <w:outlineLvl w:val="2"/>
      </w:pPr>
      <w:r>
        <w:rPr>
          <w:rFonts w:ascii="黑体" w:hAnsi="黑体" w:eastAsia="黑体"/>
          <w:sz w:val="32"/>
        </w:rPr>
        <w:t>七、政府性基金预算财政拨款收入支出决算情况说明</w:t>
      </w:r>
    </w:p>
    <w:p w14:paraId="3ECE8F6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5A4BE8FF">
      <w:pPr>
        <w:spacing w:line="640" w:lineRule="exact"/>
        <w:ind w:firstLine="640"/>
        <w:jc w:val="both"/>
        <w:outlineLvl w:val="2"/>
      </w:pPr>
      <w:r>
        <w:rPr>
          <w:rFonts w:ascii="黑体" w:hAnsi="黑体" w:eastAsia="黑体"/>
          <w:sz w:val="32"/>
        </w:rPr>
        <w:t>八、国有资本经营预算财政拨款收入支出决算情况说明</w:t>
      </w:r>
    </w:p>
    <w:p w14:paraId="3FFDA6E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3AF4703B">
      <w:pPr>
        <w:spacing w:line="640" w:lineRule="exact"/>
        <w:ind w:firstLine="640"/>
        <w:jc w:val="both"/>
        <w:outlineLvl w:val="2"/>
      </w:pPr>
      <w:r>
        <w:rPr>
          <w:rFonts w:ascii="黑体" w:hAnsi="黑体" w:eastAsia="黑体"/>
          <w:sz w:val="32"/>
        </w:rPr>
        <w:t>九、财政拨款“三公”经费支出决算情况说明</w:t>
      </w:r>
    </w:p>
    <w:p w14:paraId="3A424EEF">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比上年增加0.05万元，增长6.67%，主要原因是：本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0.80万元，占100.00%，比上年增加0.05万元，增长6.67%，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公务用车日渐老化，维修维护成本增加，导致公务用车运行维护费较上年增加。公务接待费支出0.00万元，占0.00%，比上年增加0.00万元，增长0.00%，主要原因是：2023年与2024年均未安排公务接待费支出。</w:t>
      </w:r>
    </w:p>
    <w:p w14:paraId="4FCB21BB">
      <w:pPr>
        <w:spacing w:line="580" w:lineRule="exact"/>
        <w:ind w:firstLine="640"/>
        <w:jc w:val="both"/>
      </w:pPr>
      <w:r>
        <w:rPr>
          <w:rFonts w:ascii="仿宋_GB2312" w:hAnsi="仿宋_GB2312" w:eastAsia="仿宋_GB2312"/>
          <w:b/>
          <w:sz w:val="32"/>
        </w:rPr>
        <w:t>具体情况如下：</w:t>
      </w:r>
    </w:p>
    <w:p w14:paraId="5AC7C743">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EEB789C">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加油费、维修费、保险费、审车费、过路费等。公务用车购置数0辆，公务用车保有量1辆。国有资产占用情况中固定资产车辆1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4B9C8906">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52B616F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0.80万元，决算数0.80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0F552FA">
      <w:pPr>
        <w:spacing w:line="640" w:lineRule="exact"/>
        <w:ind w:firstLine="640"/>
        <w:jc w:val="both"/>
        <w:outlineLvl w:val="2"/>
      </w:pPr>
      <w:r>
        <w:rPr>
          <w:rFonts w:ascii="黑体" w:hAnsi="黑体" w:eastAsia="黑体"/>
          <w:sz w:val="32"/>
        </w:rPr>
        <w:t>十、其他重要事项的情况说明</w:t>
      </w:r>
    </w:p>
    <w:p w14:paraId="61B843B0">
      <w:pPr>
        <w:spacing w:line="640" w:lineRule="exact"/>
        <w:ind w:firstLine="640"/>
        <w:jc w:val="both"/>
        <w:outlineLvl w:val="3"/>
      </w:pPr>
      <w:r>
        <w:rPr>
          <w:rFonts w:ascii="楷体_GB2312" w:hAnsi="楷体_GB2312" w:eastAsia="楷体_GB2312"/>
          <w:b/>
          <w:sz w:val="32"/>
        </w:rPr>
        <w:t>（一）机关运行经费及公用经费支出情况</w:t>
      </w:r>
    </w:p>
    <w:p w14:paraId="38745CC1">
      <w:pPr>
        <w:spacing w:line="580" w:lineRule="exact"/>
        <w:ind w:firstLine="640"/>
        <w:jc w:val="both"/>
      </w:pPr>
      <w:r>
        <w:rPr>
          <w:rFonts w:ascii="仿宋_GB2312" w:hAnsi="仿宋_GB2312" w:eastAsia="仿宋_GB2312"/>
          <w:b w:val="0"/>
          <w:sz w:val="32"/>
        </w:rPr>
        <w:t>2024年度特克斯县统计局（行政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）机关运行经费支出2.69万元，比上年减少0.51万元，下降15.94%，主要原因是：严控经费支出，厉行节约，减少经费支出。</w:t>
      </w:r>
    </w:p>
    <w:p w14:paraId="4D8670A6">
      <w:pPr>
        <w:spacing w:line="640" w:lineRule="exact"/>
        <w:ind w:firstLine="640"/>
        <w:jc w:val="both"/>
        <w:outlineLvl w:val="3"/>
      </w:pPr>
      <w:r>
        <w:rPr>
          <w:rFonts w:ascii="楷体_GB2312" w:hAnsi="楷体_GB2312" w:eastAsia="楷体_GB2312"/>
          <w:b/>
          <w:sz w:val="32"/>
        </w:rPr>
        <w:t>（二）政府采购情况</w:t>
      </w:r>
    </w:p>
    <w:p w14:paraId="04E956CC">
      <w:pPr>
        <w:spacing w:line="580" w:lineRule="exact"/>
        <w:ind w:firstLine="640"/>
        <w:jc w:val="both"/>
      </w:pPr>
      <w:r>
        <w:rPr>
          <w:rFonts w:ascii="仿宋_GB2312" w:hAnsi="仿宋_GB2312" w:eastAsia="仿宋_GB2312"/>
          <w:b w:val="0"/>
          <w:sz w:val="32"/>
        </w:rPr>
        <w:t>2024年度政府采购支出总额2.59万元，其中：政府采购货物支出2.17万元、政府采购工程支出0.00万元、政府采购服务支出0.42万元。</w:t>
      </w:r>
    </w:p>
    <w:p w14:paraId="3BE42E59">
      <w:pPr>
        <w:spacing w:line="580" w:lineRule="exact"/>
        <w:ind w:firstLine="640"/>
        <w:jc w:val="both"/>
      </w:pPr>
      <w:r>
        <w:rPr>
          <w:rFonts w:ascii="仿宋_GB2312" w:hAnsi="仿宋_GB2312" w:eastAsia="仿宋_GB2312"/>
          <w:b w:val="0"/>
          <w:sz w:val="32"/>
        </w:rPr>
        <w:t>授予中小企业合同金额0.42万元，占政府采购支出总额的16.22%，其中：授予小微企业合同金额0.42万元，占政府采购支出总额的16.22%。</w:t>
      </w:r>
    </w:p>
    <w:p w14:paraId="2674F2C8">
      <w:pPr>
        <w:spacing w:line="640" w:lineRule="exact"/>
        <w:ind w:firstLine="640"/>
        <w:jc w:val="both"/>
        <w:outlineLvl w:val="3"/>
      </w:pPr>
      <w:r>
        <w:rPr>
          <w:rFonts w:ascii="楷体_GB2312" w:hAnsi="楷体_GB2312" w:eastAsia="楷体_GB2312"/>
          <w:b/>
          <w:sz w:val="32"/>
        </w:rPr>
        <w:t>（三）国有资产占用情况说明</w:t>
      </w:r>
    </w:p>
    <w:p w14:paraId="703C34F3">
      <w:pPr>
        <w:spacing w:line="580" w:lineRule="exact"/>
        <w:ind w:firstLine="640"/>
        <w:jc w:val="both"/>
      </w:pPr>
      <w:r>
        <w:rPr>
          <w:rFonts w:ascii="仿宋_GB2312" w:hAnsi="仿宋_GB2312" w:eastAsia="仿宋_GB2312"/>
          <w:b w:val="0"/>
          <w:sz w:val="32"/>
        </w:rPr>
        <w:t>截至2024年12月31日，房屋0.00平方米，价值0.00万元。车辆1辆，价值14.98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324D83B5">
      <w:pPr>
        <w:spacing w:line="640" w:lineRule="exact"/>
        <w:ind w:firstLine="640"/>
        <w:jc w:val="both"/>
        <w:outlineLvl w:val="2"/>
      </w:pPr>
      <w:r>
        <w:rPr>
          <w:rFonts w:ascii="黑体" w:hAnsi="黑体" w:eastAsia="黑体"/>
          <w:sz w:val="32"/>
        </w:rPr>
        <w:t>十一、预算绩效的情况说明</w:t>
      </w:r>
    </w:p>
    <w:p w14:paraId="6E91CA14">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286.53万元，实际执行总额286.53万元；预算绩效评价项目3个，全年预算数63.54万元，全年执行数63.54万元。预算绩效管理取得的成效：一是增强了预算绩效管理的工作保障；二是促进财政资金使用效益提高；三是增强了结果导向的管理理念和部门支出责任意识；四是推动了预算绩效管理工作的有序开展。发现的问题及原因：一是对预算绩效管理的重要性认识不足；二是预算绩效管理的组织实施统筹不够；三是预算绩效评价的技术能力有待提升。下一步改进措施：一是加大预算绩效管理宣传培训力度；二是提升预算绩效管理统筹组织能力；三是完善预算绩效管理技术支撑体系。具体附整体支出绩效自评表，项目支出绩效自评表和评价报告。</w:t>
      </w:r>
    </w:p>
    <w:p w14:paraId="3BA925C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EBDCE99">
        <w:tblPrEx>
          <w:tblCellMar>
            <w:top w:w="0" w:type="dxa"/>
            <w:left w:w="108" w:type="dxa"/>
            <w:bottom w:w="0" w:type="dxa"/>
            <w:right w:w="108" w:type="dxa"/>
          </w:tblCellMar>
        </w:tblPrEx>
        <w:tc>
          <w:tcPr>
            <w:tcW w:w="8840" w:type="dxa"/>
            <w:gridSpan w:val="8"/>
            <w:vAlign w:val="center"/>
          </w:tcPr>
          <w:p w14:paraId="6A0133A0">
            <w:pPr>
              <w:jc w:val="center"/>
            </w:pPr>
            <w:r>
              <w:rPr>
                <w:rFonts w:hint="eastAsia" w:ascii="宋体" w:hAnsi="宋体"/>
                <w:sz w:val="24"/>
                <w:lang w:eastAsia="zh-CN"/>
              </w:rPr>
              <w:t>单位</w:t>
            </w:r>
            <w:r>
              <w:rPr>
                <w:rFonts w:ascii="宋体" w:hAnsi="宋体" w:eastAsia="宋体"/>
                <w:sz w:val="24"/>
              </w:rPr>
              <w:t>整体支出绩效自评表</w:t>
            </w:r>
          </w:p>
        </w:tc>
      </w:tr>
      <w:tr w14:paraId="489D1B5A">
        <w:tblPrEx>
          <w:tblCellMar>
            <w:top w:w="0" w:type="dxa"/>
            <w:left w:w="108" w:type="dxa"/>
            <w:bottom w:w="0" w:type="dxa"/>
            <w:right w:w="108" w:type="dxa"/>
          </w:tblCellMar>
        </w:tblPrEx>
        <w:tc>
          <w:tcPr>
            <w:tcW w:w="8840" w:type="dxa"/>
            <w:gridSpan w:val="8"/>
            <w:vAlign w:val="center"/>
          </w:tcPr>
          <w:p w14:paraId="41E294B4">
            <w:pPr>
              <w:jc w:val="center"/>
            </w:pPr>
            <w:r>
              <w:rPr>
                <w:rFonts w:ascii="宋体" w:hAnsi="宋体" w:eastAsia="宋体"/>
                <w:sz w:val="24"/>
              </w:rPr>
              <w:t>（2024年度）</w:t>
            </w:r>
          </w:p>
        </w:tc>
      </w:tr>
      <w:tr w14:paraId="636C3FD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6A1F71">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F7F94">
            <w:pPr>
              <w:jc w:val="center"/>
            </w:pPr>
            <w:r>
              <w:rPr>
                <w:rFonts w:ascii="宋体" w:hAnsi="宋体" w:eastAsia="宋体"/>
                <w:sz w:val="16"/>
              </w:rPr>
              <w:t>特克斯县统计局</w:t>
            </w:r>
          </w:p>
        </w:tc>
      </w:tr>
      <w:tr w14:paraId="4E71222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43D9E">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7671F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62941">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CB69F">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70D172">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ADA92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A025C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487DAD">
            <w:pPr>
              <w:jc w:val="center"/>
            </w:pPr>
            <w:r>
              <w:rPr>
                <w:rFonts w:ascii="宋体" w:hAnsi="宋体" w:eastAsia="宋体"/>
                <w:sz w:val="16"/>
              </w:rPr>
              <w:t>得分</w:t>
            </w:r>
          </w:p>
        </w:tc>
      </w:tr>
      <w:tr w14:paraId="56FD8D6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67093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4F396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99581">
            <w:pPr>
              <w:jc w:val="center"/>
            </w:pPr>
            <w:r>
              <w:rPr>
                <w:rFonts w:ascii="宋体" w:hAnsi="宋体" w:eastAsia="宋体"/>
                <w:sz w:val="16"/>
              </w:rPr>
              <w:t>257.35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586382">
            <w:pPr>
              <w:jc w:val="center"/>
            </w:pPr>
            <w:r>
              <w:rPr>
                <w:rFonts w:ascii="宋体" w:hAnsi="宋体" w:eastAsia="宋体"/>
                <w:sz w:val="16"/>
              </w:rPr>
              <w:t>286.53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C3525D">
            <w:pPr>
              <w:jc w:val="center"/>
            </w:pPr>
            <w:r>
              <w:rPr>
                <w:rFonts w:ascii="宋体" w:hAnsi="宋体" w:eastAsia="宋体"/>
                <w:sz w:val="16"/>
              </w:rPr>
              <w:t>286.53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5EBFF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C0D0E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C938C">
            <w:pPr>
              <w:jc w:val="center"/>
            </w:pPr>
            <w:r>
              <w:rPr>
                <w:rFonts w:ascii="宋体" w:hAnsi="宋体" w:eastAsia="宋体"/>
                <w:sz w:val="16"/>
              </w:rPr>
              <w:t>10</w:t>
            </w:r>
          </w:p>
        </w:tc>
      </w:tr>
      <w:tr w14:paraId="4D13EC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5BA8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BA10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AA81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6ED298">
            <w:pPr>
              <w:jc w:val="center"/>
            </w:pPr>
            <w:r>
              <w:rPr>
                <w:rFonts w:ascii="宋体" w:hAnsi="宋体" w:eastAsia="宋体"/>
                <w:sz w:val="16"/>
              </w:rPr>
              <w:t>19.53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9F8E0C">
            <w:pPr>
              <w:jc w:val="center"/>
            </w:pPr>
            <w:r>
              <w:rPr>
                <w:rFonts w:ascii="宋体" w:hAnsi="宋体" w:eastAsia="宋体"/>
                <w:sz w:val="16"/>
              </w:rPr>
              <w:t>19.53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B1AE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CA4A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57B14E">
            <w:pPr>
              <w:jc w:val="center"/>
            </w:pPr>
            <w:r>
              <w:rPr>
                <w:rFonts w:ascii="宋体" w:hAnsi="宋体" w:eastAsia="宋体"/>
                <w:sz w:val="16"/>
              </w:rPr>
              <w:t>-</w:t>
            </w:r>
          </w:p>
        </w:tc>
      </w:tr>
      <w:tr w14:paraId="05D86A6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F785F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91028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19A3F">
            <w:pPr>
              <w:jc w:val="center"/>
            </w:pPr>
            <w:r>
              <w:rPr>
                <w:rFonts w:ascii="宋体" w:hAnsi="宋体" w:eastAsia="宋体"/>
                <w:sz w:val="16"/>
              </w:rPr>
              <w:t>253.01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0B1C8">
            <w:pPr>
              <w:jc w:val="center"/>
            </w:pPr>
            <w:r>
              <w:rPr>
                <w:rFonts w:ascii="宋体" w:hAnsi="宋体" w:eastAsia="宋体"/>
                <w:sz w:val="16"/>
              </w:rPr>
              <w:t>254.04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0F875B">
            <w:pPr>
              <w:jc w:val="center"/>
            </w:pPr>
            <w:r>
              <w:rPr>
                <w:rFonts w:ascii="宋体" w:hAnsi="宋体" w:eastAsia="宋体"/>
                <w:sz w:val="16"/>
              </w:rPr>
              <w:t>254.04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9A02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DDA03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09A58D">
            <w:pPr>
              <w:jc w:val="center"/>
            </w:pPr>
            <w:r>
              <w:rPr>
                <w:rFonts w:ascii="宋体" w:hAnsi="宋体" w:eastAsia="宋体"/>
                <w:sz w:val="16"/>
              </w:rPr>
              <w:t>-</w:t>
            </w:r>
          </w:p>
        </w:tc>
      </w:tr>
      <w:tr w14:paraId="15EB9D4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4BFDA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15BD1A">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2FA330">
            <w:pPr>
              <w:jc w:val="center"/>
            </w:pPr>
            <w:r>
              <w:rPr>
                <w:rFonts w:ascii="宋体" w:hAnsi="宋体" w:eastAsia="宋体"/>
                <w:sz w:val="16"/>
              </w:rPr>
              <w:t>4.34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F387BF">
            <w:pPr>
              <w:jc w:val="center"/>
            </w:pPr>
            <w:r>
              <w:rPr>
                <w:rFonts w:ascii="宋体" w:hAnsi="宋体" w:eastAsia="宋体"/>
                <w:sz w:val="16"/>
              </w:rPr>
              <w:t>12.96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0093E9">
            <w:pPr>
              <w:jc w:val="center"/>
            </w:pPr>
            <w:r>
              <w:rPr>
                <w:rFonts w:ascii="宋体" w:hAnsi="宋体" w:eastAsia="宋体"/>
                <w:sz w:val="16"/>
              </w:rPr>
              <w:t>12.96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C9EEB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91C70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0F9644">
            <w:pPr>
              <w:jc w:val="center"/>
            </w:pPr>
            <w:r>
              <w:rPr>
                <w:rFonts w:ascii="宋体" w:hAnsi="宋体" w:eastAsia="宋体"/>
                <w:sz w:val="16"/>
              </w:rPr>
              <w:t>-</w:t>
            </w:r>
          </w:p>
        </w:tc>
      </w:tr>
      <w:tr w14:paraId="63D593B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8C6E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821B0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6E43E2">
            <w:pPr>
              <w:jc w:val="center"/>
            </w:pPr>
            <w:r>
              <w:rPr>
                <w:rFonts w:ascii="宋体" w:hAnsi="宋体" w:eastAsia="宋体"/>
                <w:sz w:val="16"/>
              </w:rPr>
              <w:t>实际完成情况</w:t>
            </w:r>
          </w:p>
        </w:tc>
      </w:tr>
      <w:tr w14:paraId="7CAB492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464EE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2B5012">
            <w:pPr>
              <w:jc w:val="both"/>
            </w:pPr>
            <w:r>
              <w:rPr>
                <w:rFonts w:ascii="宋体" w:hAnsi="宋体" w:eastAsia="宋体"/>
                <w:sz w:val="16"/>
              </w:rPr>
              <w:t>为贯彻落实党的二十大精神为主线，坚决落实好中央和自治区、自治州</w:t>
            </w:r>
            <w:r>
              <w:rPr>
                <w:rFonts w:hint="eastAsia" w:ascii="宋体" w:hAnsi="宋体"/>
                <w:sz w:val="16"/>
                <w:lang w:eastAsia="zh-CN"/>
              </w:rPr>
              <w:t>党委、政府</w:t>
            </w:r>
            <w:r>
              <w:rPr>
                <w:rFonts w:ascii="宋体" w:hAnsi="宋体" w:eastAsia="宋体"/>
                <w:sz w:val="16"/>
              </w:rPr>
              <w:t>决策部署，立足统计职能，加强经济形势分析研判，高质量做好年度统计工作。一是进一步夯实统计基础撰写统计分析，提升统计服务水平，为</w:t>
            </w:r>
            <w:r>
              <w:rPr>
                <w:rFonts w:hint="eastAsia" w:ascii="宋体" w:hAnsi="宋体"/>
                <w:sz w:val="16"/>
                <w:lang w:eastAsia="zh-CN"/>
              </w:rPr>
              <w:t>党委、政府</w:t>
            </w:r>
            <w:r>
              <w:rPr>
                <w:rFonts w:ascii="宋体" w:hAnsi="宋体" w:eastAsia="宋体"/>
                <w:sz w:val="16"/>
              </w:rPr>
              <w:t>科学决策提供参考依据。二是编写统计月卡，为政府及各部门提供优质的统计数据服务。三是强化统计监督，聚焦统计法定职责履行、统计违纪违法现象治理、统计数据质量提升，扎实开展自治区统计执法监督检查，坚决纠治统计造假不收手不收敛、屡禁难绝问题。四是完成第五次全国经济普查的工作，举办培训班，开展经济普查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C605F4">
            <w:pPr>
              <w:jc w:val="both"/>
            </w:pPr>
            <w:r>
              <w:rPr>
                <w:rFonts w:ascii="宋体" w:hAnsi="宋体" w:eastAsia="宋体"/>
                <w:sz w:val="16"/>
              </w:rPr>
              <w:t>资金落实到位，一是进一步夯实统计基础撰写统计分析12篇，提升统计服务水平，为</w:t>
            </w:r>
            <w:r>
              <w:rPr>
                <w:rFonts w:hint="eastAsia" w:ascii="宋体" w:hAnsi="宋体"/>
                <w:sz w:val="16"/>
                <w:lang w:eastAsia="zh-CN"/>
              </w:rPr>
              <w:t>党委、政府</w:t>
            </w:r>
            <w:r>
              <w:rPr>
                <w:rFonts w:ascii="宋体" w:hAnsi="宋体" w:eastAsia="宋体"/>
                <w:sz w:val="16"/>
              </w:rPr>
              <w:t>科学决策提供参考依据。二是编写统计月卡12期及经济指标，为政府及各部门提供优质的统计数据服务。三是全年进行统计执法检查、核查，强化统计监督，聚焦统计法定职责履行、统计违纪违法现象治理、统计数据质量提升，扎实开展自治区统计执法监督检查，坚决纠治统计造假不收手不收敛、屡禁难绝问题。四是完成第五次</w:t>
            </w:r>
            <w:r>
              <w:rPr>
                <w:rFonts w:hint="eastAsia" w:ascii="宋体" w:hAnsi="宋体"/>
                <w:sz w:val="16"/>
                <w:lang w:eastAsia="zh-CN"/>
              </w:rPr>
              <w:t>全国经济普查的</w:t>
            </w:r>
            <w:r>
              <w:rPr>
                <w:rFonts w:ascii="宋体" w:hAnsi="宋体" w:eastAsia="宋体"/>
                <w:sz w:val="16"/>
              </w:rPr>
              <w:t>工作，举办培训班2期，开展经济普查工作，对普查数据进行录入、汇总、审核并上报，并保证普查数据的可靠性与真实性，为调整第二、三产业提供有力的依据。</w:t>
            </w:r>
          </w:p>
        </w:tc>
      </w:tr>
      <w:tr w14:paraId="733DEE6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81D69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E127A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613AA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D1231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DF1A2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5B673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D430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25053A">
            <w:pPr>
              <w:jc w:val="center"/>
            </w:pPr>
            <w:r>
              <w:rPr>
                <w:rFonts w:ascii="宋体" w:hAnsi="宋体" w:eastAsia="宋体"/>
                <w:sz w:val="16"/>
              </w:rPr>
              <w:t>得分</w:t>
            </w:r>
          </w:p>
        </w:tc>
      </w:tr>
      <w:tr w14:paraId="0A5C7A8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A4EC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DB6D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1106BA">
            <w:pPr>
              <w:jc w:val="center"/>
            </w:pPr>
            <w:r>
              <w:rPr>
                <w:rFonts w:ascii="宋体" w:hAnsi="宋体" w:eastAsia="宋体"/>
                <w:sz w:val="16"/>
              </w:rPr>
              <w:t>全县统计分析材料</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8E016">
            <w:pPr>
              <w:jc w:val="center"/>
            </w:pPr>
            <w:r>
              <w:rPr>
                <w:rFonts w:ascii="宋体" w:hAnsi="宋体" w:eastAsia="宋体"/>
                <w:sz w:val="16"/>
              </w:rPr>
              <w:t>&gt;=12期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72C19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461B17">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4FC351">
            <w:pPr>
              <w:jc w:val="center"/>
            </w:pPr>
            <w:r>
              <w:rPr>
                <w:rFonts w:ascii="宋体" w:hAnsi="宋体" w:eastAsia="宋体"/>
                <w:sz w:val="16"/>
              </w:rPr>
              <w:t>12期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E2BE7D">
            <w:pPr>
              <w:jc w:val="center"/>
            </w:pPr>
            <w:r>
              <w:rPr>
                <w:rFonts w:ascii="宋体" w:hAnsi="宋体" w:eastAsia="宋体"/>
                <w:sz w:val="16"/>
              </w:rPr>
              <w:t>18</w:t>
            </w:r>
          </w:p>
        </w:tc>
      </w:tr>
      <w:tr w14:paraId="0D63275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BF073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95E26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64BE99">
            <w:pPr>
              <w:jc w:val="center"/>
            </w:pPr>
            <w:r>
              <w:rPr>
                <w:rFonts w:ascii="宋体" w:hAnsi="宋体" w:eastAsia="宋体"/>
                <w:sz w:val="16"/>
              </w:rPr>
              <w:t>全县统计月报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AE5C25">
            <w:pPr>
              <w:jc w:val="center"/>
            </w:pPr>
            <w:r>
              <w:rPr>
                <w:rFonts w:ascii="宋体" w:hAnsi="宋体" w:eastAsia="宋体"/>
                <w:sz w:val="16"/>
              </w:rPr>
              <w:t>&gt;=12期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3442F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ADD8D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3FDCDF">
            <w:pPr>
              <w:jc w:val="center"/>
            </w:pPr>
            <w:r>
              <w:rPr>
                <w:rFonts w:ascii="宋体" w:hAnsi="宋体" w:eastAsia="宋体"/>
                <w:sz w:val="16"/>
              </w:rPr>
              <w:t>12期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1CE9C">
            <w:pPr>
              <w:jc w:val="center"/>
            </w:pPr>
            <w:r>
              <w:rPr>
                <w:rFonts w:ascii="宋体" w:hAnsi="宋体" w:eastAsia="宋体"/>
                <w:sz w:val="16"/>
              </w:rPr>
              <w:t>18</w:t>
            </w:r>
          </w:p>
        </w:tc>
      </w:tr>
      <w:tr w14:paraId="582CCC0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9A4F5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A5ED4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17DD8">
            <w:pPr>
              <w:jc w:val="center"/>
            </w:pPr>
            <w:r>
              <w:rPr>
                <w:rFonts w:ascii="宋体" w:hAnsi="宋体" w:eastAsia="宋体"/>
                <w:sz w:val="16"/>
              </w:rPr>
              <w:t>开展统计执法检查次数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BA7BCE">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7928A">
            <w:pPr>
              <w:jc w:val="center"/>
            </w:pPr>
            <w:r>
              <w:rPr>
                <w:rFonts w:ascii="宋体" w:hAnsi="宋体" w:eastAsia="宋体"/>
                <w:sz w:val="16"/>
              </w:rPr>
              <w:t>《统计执法监督检查办法》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FBC6C5">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6230D0">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1D6C1">
            <w:pPr>
              <w:jc w:val="center"/>
            </w:pPr>
            <w:r>
              <w:rPr>
                <w:rFonts w:ascii="宋体" w:hAnsi="宋体" w:eastAsia="宋体"/>
                <w:sz w:val="16"/>
              </w:rPr>
              <w:t>18</w:t>
            </w:r>
          </w:p>
        </w:tc>
      </w:tr>
      <w:tr w14:paraId="3F0E9A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4847B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31651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F68618">
            <w:pPr>
              <w:jc w:val="center"/>
            </w:pPr>
            <w:r>
              <w:rPr>
                <w:rFonts w:ascii="宋体" w:hAnsi="宋体" w:eastAsia="宋体"/>
                <w:sz w:val="16"/>
              </w:rPr>
              <w:t>第五次全国经济普查业务培训工作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BC3DD">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22C025">
            <w:pPr>
              <w:jc w:val="center"/>
            </w:pPr>
            <w:r>
              <w:rPr>
                <w:rFonts w:ascii="宋体" w:hAnsi="宋体" w:eastAsia="宋体"/>
                <w:sz w:val="16"/>
              </w:rPr>
              <w:t>第五次经济普查相关文件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C568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805DCC">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F3A9F0">
            <w:pPr>
              <w:jc w:val="center"/>
            </w:pPr>
            <w:r>
              <w:rPr>
                <w:rFonts w:ascii="宋体" w:hAnsi="宋体" w:eastAsia="宋体"/>
                <w:sz w:val="16"/>
              </w:rPr>
              <w:t>18</w:t>
            </w:r>
          </w:p>
        </w:tc>
      </w:tr>
      <w:tr w14:paraId="6C4E590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8752B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79D0D">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3848AB">
            <w:pPr>
              <w:jc w:val="center"/>
            </w:pPr>
            <w:r>
              <w:rPr>
                <w:rFonts w:ascii="宋体" w:hAnsi="宋体" w:eastAsia="宋体"/>
                <w:sz w:val="16"/>
              </w:rPr>
              <w:t>普查数据准确率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A462E3">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8EEC7A">
            <w:pPr>
              <w:jc w:val="center"/>
            </w:pPr>
            <w:r>
              <w:rPr>
                <w:rFonts w:ascii="宋体" w:hAnsi="宋体" w:eastAsia="宋体"/>
                <w:sz w:val="16"/>
              </w:rPr>
              <w:t>第五次经济普查相关文件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61414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890F8B">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51011F">
            <w:pPr>
              <w:jc w:val="center"/>
            </w:pPr>
            <w:r>
              <w:rPr>
                <w:rFonts w:ascii="宋体" w:hAnsi="宋体" w:eastAsia="宋体"/>
                <w:sz w:val="16"/>
              </w:rPr>
              <w:t>18</w:t>
            </w:r>
          </w:p>
        </w:tc>
      </w:tr>
    </w:tbl>
    <w:p w14:paraId="775B33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AAA46F1">
        <w:tblPrEx>
          <w:tblCellMar>
            <w:top w:w="0" w:type="dxa"/>
            <w:left w:w="108" w:type="dxa"/>
            <w:bottom w:w="0" w:type="dxa"/>
            <w:right w:w="108" w:type="dxa"/>
          </w:tblCellMar>
        </w:tblPrEx>
        <w:tc>
          <w:tcPr>
            <w:tcW w:w="8848" w:type="dxa"/>
            <w:gridSpan w:val="14"/>
            <w:vAlign w:val="center"/>
          </w:tcPr>
          <w:p w14:paraId="2868D463">
            <w:pPr>
              <w:jc w:val="center"/>
            </w:pPr>
            <w:r>
              <w:rPr>
                <w:rFonts w:ascii="宋体" w:hAnsi="宋体" w:eastAsia="宋体"/>
                <w:sz w:val="24"/>
              </w:rPr>
              <w:t>项目支出绩效自评表</w:t>
            </w:r>
          </w:p>
        </w:tc>
      </w:tr>
      <w:tr w14:paraId="5F9B1F4A">
        <w:tblPrEx>
          <w:tblCellMar>
            <w:top w:w="0" w:type="dxa"/>
            <w:left w:w="108" w:type="dxa"/>
            <w:bottom w:w="0" w:type="dxa"/>
            <w:right w:w="108" w:type="dxa"/>
          </w:tblCellMar>
        </w:tblPrEx>
        <w:tc>
          <w:tcPr>
            <w:tcW w:w="8848" w:type="dxa"/>
            <w:gridSpan w:val="14"/>
            <w:vAlign w:val="center"/>
          </w:tcPr>
          <w:p w14:paraId="5C737315">
            <w:pPr>
              <w:jc w:val="center"/>
            </w:pPr>
            <w:r>
              <w:rPr>
                <w:rFonts w:ascii="宋体" w:hAnsi="宋体" w:eastAsia="宋体"/>
                <w:sz w:val="24"/>
              </w:rPr>
              <w:t>(2024年度)</w:t>
            </w:r>
          </w:p>
        </w:tc>
      </w:tr>
      <w:tr w14:paraId="348750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82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DF4A04">
            <w:pPr>
              <w:jc w:val="center"/>
            </w:pPr>
            <w:r>
              <w:rPr>
                <w:rFonts w:ascii="宋体" w:hAnsi="宋体" w:eastAsia="宋体"/>
                <w:sz w:val="16"/>
              </w:rPr>
              <w:t>2024年统计业务调查经费（自有资金）</w:t>
            </w:r>
          </w:p>
        </w:tc>
      </w:tr>
      <w:tr w14:paraId="6D6734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9C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A1C60B">
            <w:pPr>
              <w:jc w:val="center"/>
            </w:pPr>
            <w:r>
              <w:rPr>
                <w:rFonts w:ascii="宋体" w:hAnsi="宋体" w:eastAsia="宋体"/>
                <w:sz w:val="16"/>
              </w:rPr>
              <w:t>特克斯县统计局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CDE7">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69EBB4">
            <w:pPr>
              <w:jc w:val="center"/>
            </w:pPr>
            <w:r>
              <w:rPr>
                <w:rFonts w:ascii="宋体" w:hAnsi="宋体" w:eastAsia="宋体"/>
                <w:sz w:val="16"/>
              </w:rPr>
              <w:t>特克斯县统计局</w:t>
            </w:r>
          </w:p>
        </w:tc>
      </w:tr>
      <w:tr w14:paraId="76A5E8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B838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584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89D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2BD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1DB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366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95E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6066">
            <w:pPr>
              <w:jc w:val="center"/>
            </w:pPr>
            <w:r>
              <w:rPr>
                <w:rFonts w:ascii="宋体" w:hAnsi="宋体" w:eastAsia="宋体"/>
                <w:sz w:val="16"/>
              </w:rPr>
              <w:t>得分</w:t>
            </w:r>
          </w:p>
        </w:tc>
      </w:tr>
      <w:tr w14:paraId="2108F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C8A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FB8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7680F">
            <w:pPr>
              <w:jc w:val="center"/>
            </w:pPr>
            <w:r>
              <w:rPr>
                <w:rFonts w:ascii="宋体" w:hAnsi="宋体" w:eastAsia="宋体"/>
                <w:sz w:val="16"/>
              </w:rPr>
              <w:t>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56025">
            <w:pPr>
              <w:jc w:val="center"/>
            </w:pPr>
            <w:r>
              <w:rPr>
                <w:rFonts w:ascii="宋体" w:hAnsi="宋体" w:eastAsia="宋体"/>
                <w:sz w:val="16"/>
              </w:rPr>
              <w:t>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0598D">
            <w:pPr>
              <w:jc w:val="center"/>
            </w:pPr>
            <w:r>
              <w:rPr>
                <w:rFonts w:ascii="宋体" w:hAnsi="宋体" w:eastAsia="宋体"/>
                <w:sz w:val="16"/>
              </w:rPr>
              <w:t>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A8D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2F4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F0A9">
            <w:pPr>
              <w:jc w:val="center"/>
            </w:pPr>
            <w:r>
              <w:rPr>
                <w:rFonts w:ascii="宋体" w:hAnsi="宋体" w:eastAsia="宋体"/>
                <w:sz w:val="16"/>
              </w:rPr>
              <w:t>10.00</w:t>
            </w:r>
          </w:p>
        </w:tc>
      </w:tr>
      <w:tr w14:paraId="57D46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E8D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36D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61A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0CA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74B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F22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40D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3955">
            <w:pPr>
              <w:jc w:val="center"/>
            </w:pPr>
            <w:r>
              <w:rPr>
                <w:rFonts w:ascii="宋体" w:hAnsi="宋体" w:eastAsia="宋体"/>
                <w:sz w:val="16"/>
              </w:rPr>
              <w:t>—</w:t>
            </w:r>
          </w:p>
        </w:tc>
      </w:tr>
      <w:tr w14:paraId="600FED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B7B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71EB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960A7">
            <w:pPr>
              <w:jc w:val="center"/>
            </w:pPr>
            <w:r>
              <w:rPr>
                <w:rFonts w:ascii="宋体" w:hAnsi="宋体" w:eastAsia="宋体"/>
                <w:sz w:val="16"/>
              </w:rPr>
              <w:t>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91697">
            <w:pPr>
              <w:jc w:val="center"/>
            </w:pPr>
            <w:r>
              <w:rPr>
                <w:rFonts w:ascii="宋体" w:hAnsi="宋体" w:eastAsia="宋体"/>
                <w:sz w:val="16"/>
              </w:rPr>
              <w:t>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C93E9">
            <w:pPr>
              <w:jc w:val="center"/>
              <w:rPr>
                <w:rFonts w:hint="eastAsia" w:eastAsia="宋体"/>
                <w:lang w:val="en-US" w:eastAsia="zh-CN"/>
              </w:rPr>
            </w:pPr>
            <w:r>
              <w:rPr>
                <w:rFonts w:ascii="宋体" w:hAnsi="宋体" w:eastAsia="宋体"/>
                <w:sz w:val="16"/>
              </w:rPr>
              <w:t>3.7</w:t>
            </w:r>
            <w:r>
              <w:rPr>
                <w:rFonts w:hint="eastAsia" w:ascii="宋体" w:hAnsi="宋体"/>
                <w:sz w:val="16"/>
                <w:lang w:val="en-US" w:eastAsia="zh-CN"/>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D4F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606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9613">
            <w:pPr>
              <w:jc w:val="center"/>
            </w:pPr>
            <w:r>
              <w:rPr>
                <w:rFonts w:ascii="宋体" w:hAnsi="宋体" w:eastAsia="宋体"/>
                <w:sz w:val="16"/>
              </w:rPr>
              <w:t>—</w:t>
            </w:r>
          </w:p>
        </w:tc>
      </w:tr>
      <w:tr w14:paraId="5C055E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39E7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BB8C7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CF1EBE">
            <w:pPr>
              <w:jc w:val="center"/>
            </w:pPr>
            <w:r>
              <w:rPr>
                <w:rFonts w:ascii="宋体" w:hAnsi="宋体" w:eastAsia="宋体"/>
                <w:sz w:val="16"/>
              </w:rPr>
              <w:t>实际完成情况</w:t>
            </w:r>
          </w:p>
        </w:tc>
      </w:tr>
      <w:tr w14:paraId="789571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440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E3CA8">
            <w:pPr>
              <w:jc w:val="both"/>
            </w:pPr>
            <w:r>
              <w:rPr>
                <w:rFonts w:ascii="宋体" w:hAnsi="宋体" w:eastAsia="宋体"/>
                <w:sz w:val="16"/>
              </w:rPr>
              <w:t>完成年度统计工作目标任务，州局、县委、县政府交办的其他任务。加强统计工作改革和统计执法，发布调查的统计数据，并分析研究相关产业的发展结构，监测、预测地方宏观经济运行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FF5EB8">
            <w:pPr>
              <w:jc w:val="both"/>
            </w:pPr>
            <w:r>
              <w:rPr>
                <w:rFonts w:ascii="宋体" w:hAnsi="宋体" w:eastAsia="宋体"/>
                <w:sz w:val="16"/>
              </w:rPr>
              <w:t>结合全年工作情况，特克斯县统计局积极完成了州局、县委、县政府交办的各项任务。做好日常统计数据的分析预测，掌握全县经济发展趋势，定期调研，同时做好统计数据的审核、把关，开展企业统计服务工作，扎实开展统计执法工作，定时发布调查的统计数据，并分析研究相关产业的发展结构，监测、预测地方宏观经济运行。</w:t>
            </w:r>
          </w:p>
        </w:tc>
      </w:tr>
      <w:tr w14:paraId="7216E2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A5A1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6A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B5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FA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34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99C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EA4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9C6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0F5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BA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2D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21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88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DA00">
            <w:pPr>
              <w:jc w:val="center"/>
            </w:pPr>
            <w:r>
              <w:rPr>
                <w:rFonts w:ascii="宋体" w:hAnsi="宋体" w:eastAsia="宋体"/>
                <w:sz w:val="16"/>
              </w:rPr>
              <w:t>偏差原因分析及改进措施</w:t>
            </w:r>
          </w:p>
        </w:tc>
      </w:tr>
      <w:tr w14:paraId="4B8BF4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E1D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15E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AFD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2716">
            <w:pPr>
              <w:jc w:val="center"/>
            </w:pPr>
            <w:r>
              <w:rPr>
                <w:rFonts w:ascii="宋体" w:hAnsi="宋体" w:eastAsia="宋体"/>
                <w:sz w:val="16"/>
              </w:rPr>
              <w:t>统计执法检查</w:t>
            </w:r>
            <w:r>
              <w:rPr>
                <w:rFonts w:hint="eastAsia" w:ascii="宋体" w:hAnsi="宋体"/>
                <w:sz w:val="16"/>
                <w:lang w:eastAsia="zh-CN"/>
              </w:rPr>
              <w:t>单位</w:t>
            </w:r>
            <w:r>
              <w:rPr>
                <w:rFonts w:ascii="宋体" w:hAnsi="宋体" w:eastAsia="宋体"/>
                <w:sz w:val="16"/>
              </w:rPr>
              <w:t>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609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E999">
            <w:pPr>
              <w:jc w:val="center"/>
            </w:pPr>
            <w:r>
              <w:rPr>
                <w:rFonts w:ascii="宋体" w:hAnsi="宋体" w:eastAsia="宋体"/>
                <w:sz w:val="16"/>
              </w:rPr>
              <w:t>&gt;=15家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F6EE">
            <w:pPr>
              <w:jc w:val="center"/>
            </w:pPr>
            <w:r>
              <w:rPr>
                <w:rFonts w:ascii="宋体" w:hAnsi="宋体" w:eastAsia="宋体"/>
                <w:sz w:val="16"/>
              </w:rPr>
              <w:t>15家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3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1D3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1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F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2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4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3526">
            <w:pPr>
              <w:jc w:val="center"/>
            </w:pPr>
          </w:p>
        </w:tc>
      </w:tr>
      <w:tr w14:paraId="01B46B4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3B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6E1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3F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B78C">
            <w:pPr>
              <w:jc w:val="center"/>
            </w:pPr>
            <w:r>
              <w:rPr>
                <w:rFonts w:ascii="宋体" w:hAnsi="宋体" w:eastAsia="宋体"/>
                <w:sz w:val="16"/>
              </w:rPr>
              <w:t>统计人员人数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83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D6C1">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A38E">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DF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10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4E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5D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DB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03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1712">
            <w:pPr>
              <w:jc w:val="center"/>
            </w:pPr>
          </w:p>
        </w:tc>
      </w:tr>
      <w:tr w14:paraId="58FF9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E6E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131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3FE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8242">
            <w:pPr>
              <w:jc w:val="center"/>
            </w:pPr>
            <w:r>
              <w:rPr>
                <w:rFonts w:ascii="宋体" w:hAnsi="宋体" w:eastAsia="宋体"/>
                <w:sz w:val="16"/>
              </w:rPr>
              <w:t>数据上报及时、准确率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AA3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43D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850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2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9A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EE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70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35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EF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F9F8">
            <w:pPr>
              <w:jc w:val="center"/>
            </w:pPr>
          </w:p>
        </w:tc>
      </w:tr>
      <w:tr w14:paraId="4D7F5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947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12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492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7E62">
            <w:pPr>
              <w:jc w:val="center"/>
            </w:pPr>
            <w:r>
              <w:rPr>
                <w:rFonts w:ascii="宋体" w:hAnsi="宋体" w:eastAsia="宋体"/>
                <w:sz w:val="16"/>
              </w:rPr>
              <w:t>报表完成率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E07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90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C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CA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194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9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5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FC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83A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47D7">
            <w:pPr>
              <w:jc w:val="center"/>
            </w:pPr>
          </w:p>
        </w:tc>
      </w:tr>
      <w:tr w14:paraId="510BC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623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798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99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C283">
            <w:pPr>
              <w:jc w:val="center"/>
            </w:pPr>
            <w:r>
              <w:rPr>
                <w:rFonts w:ascii="宋体" w:hAnsi="宋体" w:eastAsia="宋体"/>
                <w:sz w:val="16"/>
              </w:rPr>
              <w:t>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C3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4D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E2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06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062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4F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95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5F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769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A3ED">
            <w:pPr>
              <w:jc w:val="center"/>
            </w:pPr>
          </w:p>
        </w:tc>
      </w:tr>
      <w:tr w14:paraId="04292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0E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248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B2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9E07">
            <w:pPr>
              <w:jc w:val="center"/>
            </w:pPr>
            <w:r>
              <w:rPr>
                <w:rFonts w:ascii="宋体" w:hAnsi="宋体" w:eastAsia="宋体"/>
                <w:sz w:val="16"/>
              </w:rPr>
              <w:t>业务经费的成本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26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01C0">
            <w:pPr>
              <w:jc w:val="center"/>
            </w:pPr>
            <w:r>
              <w:rPr>
                <w:rFonts w:ascii="宋体" w:hAnsi="宋体" w:eastAsia="宋体"/>
                <w:sz w:val="16"/>
              </w:rPr>
              <w:t>&lt;=3.70万元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FAF8">
            <w:pPr>
              <w:jc w:val="center"/>
            </w:pPr>
            <w:r>
              <w:rPr>
                <w:rFonts w:ascii="宋体" w:hAnsi="宋体" w:eastAsia="宋体"/>
                <w:sz w:val="16"/>
              </w:rPr>
              <w: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3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BE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FB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32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7E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FD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7FBA">
            <w:pPr>
              <w:jc w:val="center"/>
            </w:pPr>
          </w:p>
        </w:tc>
      </w:tr>
      <w:tr w14:paraId="34C7E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49F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7A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4C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76B5">
            <w:pPr>
              <w:jc w:val="center"/>
            </w:pPr>
            <w:r>
              <w:rPr>
                <w:rFonts w:ascii="宋体" w:hAnsi="宋体" w:eastAsia="宋体"/>
                <w:sz w:val="16"/>
              </w:rPr>
              <w:t>提高党政、人大、政协机关和部门的认可度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80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B06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E6D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E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F4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1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87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A2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AE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36FA">
            <w:pPr>
              <w:jc w:val="center"/>
            </w:pPr>
          </w:p>
        </w:tc>
      </w:tr>
      <w:tr w14:paraId="2E635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84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73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8C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72A5">
            <w:pPr>
              <w:jc w:val="center"/>
            </w:pPr>
            <w:r>
              <w:rPr>
                <w:rFonts w:ascii="宋体" w:hAnsi="宋体" w:eastAsia="宋体"/>
                <w:sz w:val="16"/>
              </w:rPr>
              <w:t>基层统计机构及调查户人员的满意度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53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20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91C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8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81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E7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23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C7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F6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6FED">
            <w:pPr>
              <w:jc w:val="center"/>
            </w:pPr>
          </w:p>
        </w:tc>
      </w:tr>
      <w:tr w14:paraId="0C9F3A7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5506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2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BEDD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9D04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CBED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9E6D">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6DC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BCC2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3D24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89EA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E0B1E3"/>
        </w:tc>
      </w:tr>
    </w:tbl>
    <w:p w14:paraId="5B373C7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5A1A585D">
        <w:tblPrEx>
          <w:tblCellMar>
            <w:top w:w="0" w:type="dxa"/>
            <w:left w:w="108" w:type="dxa"/>
            <w:bottom w:w="0" w:type="dxa"/>
            <w:right w:w="108" w:type="dxa"/>
          </w:tblCellMar>
        </w:tblPrEx>
        <w:tc>
          <w:tcPr>
            <w:tcW w:w="8848" w:type="dxa"/>
            <w:gridSpan w:val="14"/>
            <w:vAlign w:val="center"/>
          </w:tcPr>
          <w:p w14:paraId="05732D2D">
            <w:pPr>
              <w:jc w:val="center"/>
            </w:pPr>
            <w:r>
              <w:rPr>
                <w:rFonts w:ascii="宋体" w:hAnsi="宋体" w:eastAsia="宋体"/>
                <w:sz w:val="24"/>
              </w:rPr>
              <w:t>项目支出绩效自评表</w:t>
            </w:r>
          </w:p>
        </w:tc>
      </w:tr>
      <w:tr w14:paraId="0321AE5C">
        <w:tblPrEx>
          <w:tblCellMar>
            <w:top w:w="0" w:type="dxa"/>
            <w:left w:w="108" w:type="dxa"/>
            <w:bottom w:w="0" w:type="dxa"/>
            <w:right w:w="108" w:type="dxa"/>
          </w:tblCellMar>
        </w:tblPrEx>
        <w:tc>
          <w:tcPr>
            <w:tcW w:w="8848" w:type="dxa"/>
            <w:gridSpan w:val="14"/>
            <w:vAlign w:val="center"/>
          </w:tcPr>
          <w:p w14:paraId="54AF0325">
            <w:pPr>
              <w:jc w:val="center"/>
            </w:pPr>
            <w:r>
              <w:rPr>
                <w:rFonts w:ascii="宋体" w:hAnsi="宋体" w:eastAsia="宋体"/>
                <w:sz w:val="24"/>
              </w:rPr>
              <w:t>(2024年度)</w:t>
            </w:r>
          </w:p>
        </w:tc>
      </w:tr>
      <w:tr w14:paraId="5DAE70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83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A1B37C">
            <w:pPr>
              <w:jc w:val="center"/>
            </w:pPr>
            <w:r>
              <w:rPr>
                <w:rFonts w:ascii="宋体" w:hAnsi="宋体" w:eastAsia="宋体"/>
                <w:sz w:val="16"/>
              </w:rPr>
              <w:t>第五次全国经济普查工作经费</w:t>
            </w:r>
          </w:p>
        </w:tc>
      </w:tr>
      <w:tr w14:paraId="77BE69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32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4D749">
            <w:pPr>
              <w:jc w:val="center"/>
            </w:pPr>
            <w:r>
              <w:rPr>
                <w:rFonts w:ascii="宋体" w:hAnsi="宋体" w:eastAsia="宋体"/>
                <w:sz w:val="16"/>
              </w:rPr>
              <w:t>特克斯县统计局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0FC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DEE7CD">
            <w:pPr>
              <w:jc w:val="center"/>
            </w:pPr>
            <w:r>
              <w:rPr>
                <w:rFonts w:ascii="宋体" w:hAnsi="宋体" w:eastAsia="宋体"/>
                <w:sz w:val="16"/>
              </w:rPr>
              <w:t>特克斯县统计局</w:t>
            </w:r>
          </w:p>
        </w:tc>
      </w:tr>
      <w:tr w14:paraId="23E983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E1A5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499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881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A62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D8E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89F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52B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423B">
            <w:pPr>
              <w:jc w:val="center"/>
            </w:pPr>
            <w:r>
              <w:rPr>
                <w:rFonts w:ascii="宋体" w:hAnsi="宋体" w:eastAsia="宋体"/>
                <w:sz w:val="16"/>
              </w:rPr>
              <w:t>得分</w:t>
            </w:r>
          </w:p>
        </w:tc>
      </w:tr>
      <w:tr w14:paraId="07CD2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151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39C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476B7">
            <w:pPr>
              <w:jc w:val="center"/>
            </w:pPr>
            <w:r>
              <w:rPr>
                <w:rFonts w:ascii="宋体" w:hAnsi="宋体" w:eastAsia="宋体"/>
                <w:sz w:val="16"/>
              </w:rPr>
              <w:t>23.12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17FD3">
            <w:pPr>
              <w:jc w:val="center"/>
            </w:pPr>
            <w:r>
              <w:rPr>
                <w:rFonts w:ascii="宋体" w:hAnsi="宋体" w:eastAsia="宋体"/>
                <w:sz w:val="16"/>
              </w:rPr>
              <w:t>23.12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46C91">
            <w:pPr>
              <w:jc w:val="center"/>
            </w:pPr>
            <w:r>
              <w:rPr>
                <w:rFonts w:ascii="宋体" w:hAnsi="宋体" w:eastAsia="宋体"/>
                <w:sz w:val="16"/>
              </w:rPr>
              <w:t>23.12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FB0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AF91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EB2F">
            <w:pPr>
              <w:jc w:val="center"/>
            </w:pPr>
            <w:r>
              <w:rPr>
                <w:rFonts w:ascii="宋体" w:hAnsi="宋体" w:eastAsia="宋体"/>
                <w:sz w:val="16"/>
              </w:rPr>
              <w:t>10.00</w:t>
            </w:r>
          </w:p>
        </w:tc>
      </w:tr>
      <w:tr w14:paraId="00A06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8CD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E70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E912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6B32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231E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653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14C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486E">
            <w:pPr>
              <w:jc w:val="center"/>
            </w:pPr>
            <w:r>
              <w:rPr>
                <w:rFonts w:ascii="宋体" w:hAnsi="宋体" w:eastAsia="宋体"/>
                <w:sz w:val="16"/>
              </w:rPr>
              <w:t>—</w:t>
            </w:r>
          </w:p>
        </w:tc>
      </w:tr>
      <w:tr w14:paraId="000D0F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695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2C4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7ED74">
            <w:pPr>
              <w:jc w:val="center"/>
            </w:pPr>
            <w:r>
              <w:rPr>
                <w:rFonts w:ascii="宋体" w:hAnsi="宋体" w:eastAsia="宋体"/>
                <w:sz w:val="16"/>
              </w:rPr>
              <w:t>18.12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D7BD6">
            <w:pPr>
              <w:jc w:val="center"/>
            </w:pPr>
            <w:r>
              <w:rPr>
                <w:rFonts w:ascii="宋体" w:hAnsi="宋体" w:eastAsia="宋体"/>
                <w:sz w:val="16"/>
              </w:rPr>
              <w:t>18.12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EE300">
            <w:pPr>
              <w:jc w:val="center"/>
            </w:pPr>
            <w:r>
              <w:rPr>
                <w:rFonts w:ascii="宋体" w:hAnsi="宋体" w:eastAsia="宋体"/>
                <w:sz w:val="16"/>
              </w:rPr>
              <w:t>18.12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AB5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08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1F12">
            <w:pPr>
              <w:jc w:val="center"/>
            </w:pPr>
            <w:r>
              <w:rPr>
                <w:rFonts w:ascii="宋体" w:hAnsi="宋体" w:eastAsia="宋体"/>
                <w:sz w:val="16"/>
              </w:rPr>
              <w:t>—</w:t>
            </w:r>
          </w:p>
        </w:tc>
      </w:tr>
      <w:tr w14:paraId="19911F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5DFC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B79A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870927">
            <w:pPr>
              <w:jc w:val="center"/>
            </w:pPr>
            <w:r>
              <w:rPr>
                <w:rFonts w:ascii="宋体" w:hAnsi="宋体" w:eastAsia="宋体"/>
                <w:sz w:val="16"/>
              </w:rPr>
              <w:t>实际完成情况</w:t>
            </w:r>
          </w:p>
        </w:tc>
      </w:tr>
      <w:tr w14:paraId="572B5F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5F2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C5ABE">
            <w:pPr>
              <w:jc w:val="both"/>
            </w:pPr>
            <w:r>
              <w:rPr>
                <w:rFonts w:ascii="宋体" w:hAnsi="宋体" w:eastAsia="宋体"/>
                <w:sz w:val="16"/>
              </w:rPr>
              <w:t>2024年是第五次经济普查的正式登记阶段，主要目标是开展普查清查、普查登记、数据审核验收，开展数据事后质量抽查和评估普查数据质量。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B22DE5">
            <w:pPr>
              <w:jc w:val="both"/>
            </w:pPr>
            <w:r>
              <w:rPr>
                <w:rFonts w:ascii="宋体" w:hAnsi="宋体" w:eastAsia="宋体"/>
                <w:sz w:val="16"/>
              </w:rPr>
              <w:t>2024年开展了第五次全国经济普查正式登记工作，对特克斯县52个一套表企业、1290个非一套表</w:t>
            </w:r>
            <w:r>
              <w:rPr>
                <w:rFonts w:hint="eastAsia" w:ascii="宋体" w:hAnsi="宋体"/>
                <w:sz w:val="16"/>
                <w:lang w:eastAsia="zh-CN"/>
              </w:rPr>
              <w:t>单位</w:t>
            </w:r>
            <w:r>
              <w:rPr>
                <w:rFonts w:ascii="宋体" w:hAnsi="宋体" w:eastAsia="宋体"/>
                <w:sz w:val="16"/>
              </w:rPr>
              <w:t>、449个个体抽样户已全部上报、审核、验收完毕，并进行了事后质量抽查，顺利完成了第五次全国经济普查工作。</w:t>
            </w:r>
          </w:p>
        </w:tc>
      </w:tr>
      <w:tr w14:paraId="15FD30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3E2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55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7E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C5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5F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1B4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419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C4F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311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F8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D8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A3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96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C1A5">
            <w:pPr>
              <w:jc w:val="center"/>
            </w:pPr>
            <w:r>
              <w:rPr>
                <w:rFonts w:ascii="宋体" w:hAnsi="宋体" w:eastAsia="宋体"/>
                <w:sz w:val="16"/>
              </w:rPr>
              <w:t>偏差原因分析及改进措施</w:t>
            </w:r>
          </w:p>
        </w:tc>
      </w:tr>
      <w:tr w14:paraId="7AEE0F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FFD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06F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626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C75C">
            <w:pPr>
              <w:jc w:val="center"/>
            </w:pPr>
            <w:r>
              <w:rPr>
                <w:rFonts w:ascii="宋体" w:hAnsi="宋体" w:eastAsia="宋体"/>
                <w:sz w:val="16"/>
              </w:rPr>
              <w:t>普查员及普查指导员清查阶段人数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F3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182F">
            <w:pPr>
              <w:jc w:val="center"/>
            </w:pPr>
            <w:r>
              <w:rPr>
                <w:rFonts w:ascii="宋体" w:hAnsi="宋体" w:eastAsia="宋体"/>
                <w:sz w:val="16"/>
              </w:rPr>
              <w:t>=149人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CD6E">
            <w:pPr>
              <w:jc w:val="center"/>
            </w:pPr>
            <w:r>
              <w:rPr>
                <w:rFonts w:ascii="宋体" w:hAnsi="宋体" w:eastAsia="宋体"/>
                <w:sz w:val="16"/>
              </w:rPr>
              <w:t>149人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18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10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6D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FF6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DE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DB8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23A2">
            <w:pPr>
              <w:jc w:val="center"/>
            </w:pPr>
          </w:p>
        </w:tc>
      </w:tr>
      <w:tr w14:paraId="72FD1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34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BE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5C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BD8B">
            <w:pPr>
              <w:jc w:val="center"/>
            </w:pPr>
            <w:r>
              <w:rPr>
                <w:rFonts w:ascii="宋体" w:hAnsi="宋体" w:eastAsia="宋体"/>
                <w:sz w:val="16"/>
              </w:rPr>
              <w:t>普查员及普查指导员登记阶段人数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EF8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C5B9">
            <w:pPr>
              <w:jc w:val="center"/>
            </w:pPr>
            <w:r>
              <w:rPr>
                <w:rFonts w:ascii="宋体" w:hAnsi="宋体" w:eastAsia="宋体"/>
                <w:sz w:val="16"/>
              </w:rPr>
              <w:t>=161人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B055">
            <w:pPr>
              <w:jc w:val="center"/>
            </w:pPr>
            <w:r>
              <w:rPr>
                <w:rFonts w:ascii="宋体" w:hAnsi="宋体" w:eastAsia="宋体"/>
                <w:sz w:val="16"/>
              </w:rPr>
              <w:t>161人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76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A1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92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264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08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9C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C6B8">
            <w:pPr>
              <w:jc w:val="center"/>
            </w:pPr>
          </w:p>
        </w:tc>
      </w:tr>
      <w:tr w14:paraId="6E0E2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67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3D5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55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BD8B">
            <w:pPr>
              <w:jc w:val="center"/>
            </w:pPr>
            <w:r>
              <w:rPr>
                <w:rFonts w:ascii="宋体" w:hAnsi="宋体" w:eastAsia="宋体"/>
                <w:sz w:val="16"/>
              </w:rPr>
              <w:t>普查员及普查指导员工作出勤率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B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71A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813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A1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BD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98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F17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E3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8E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F1CD">
            <w:pPr>
              <w:jc w:val="center"/>
            </w:pPr>
          </w:p>
        </w:tc>
      </w:tr>
      <w:tr w14:paraId="6F71B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04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CB3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69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C8A9">
            <w:pPr>
              <w:jc w:val="center"/>
            </w:pPr>
            <w:r>
              <w:rPr>
                <w:rFonts w:ascii="宋体" w:hAnsi="宋体" w:eastAsia="宋体"/>
                <w:sz w:val="16"/>
              </w:rPr>
              <w:t>普查员及指导员补助发放及时率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64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23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D4E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86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C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CD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357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C7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6D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783C">
            <w:pPr>
              <w:jc w:val="center"/>
            </w:pPr>
          </w:p>
        </w:tc>
      </w:tr>
      <w:tr w14:paraId="53E62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072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8B0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175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6F13">
            <w:pPr>
              <w:jc w:val="center"/>
            </w:pPr>
            <w:r>
              <w:rPr>
                <w:rFonts w:ascii="宋体" w:hAnsi="宋体" w:eastAsia="宋体"/>
                <w:sz w:val="16"/>
              </w:rPr>
              <w:t>普查员及指导员补贴发放数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22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9DFC">
            <w:pPr>
              <w:jc w:val="center"/>
            </w:pPr>
            <w:r>
              <w:rPr>
                <w:rFonts w:ascii="宋体" w:hAnsi="宋体" w:eastAsia="宋体"/>
                <w:sz w:val="16"/>
              </w:rPr>
              <w:t>&lt;=18.12万元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83CF">
            <w:pPr>
              <w:jc w:val="center"/>
            </w:pPr>
            <w:r>
              <w:rPr>
                <w:rFonts w:ascii="宋体" w:hAnsi="宋体" w:eastAsia="宋体"/>
                <w:sz w:val="16"/>
              </w:rPr>
              <w:t>18.12万元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31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4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61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9DA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A8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1F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6A81">
            <w:pPr>
              <w:jc w:val="center"/>
            </w:pPr>
          </w:p>
        </w:tc>
      </w:tr>
      <w:tr w14:paraId="4E970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2C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DC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C1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0C1A">
            <w:pPr>
              <w:jc w:val="center"/>
            </w:pPr>
            <w:r>
              <w:rPr>
                <w:rFonts w:ascii="宋体" w:hAnsi="宋体" w:eastAsia="宋体"/>
                <w:sz w:val="16"/>
              </w:rPr>
              <w:t>普查宣传费、办公等工作经费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F9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7FD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4896">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2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8D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0D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D1E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55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52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1D7E">
            <w:pPr>
              <w:jc w:val="center"/>
            </w:pPr>
          </w:p>
        </w:tc>
      </w:tr>
      <w:tr w14:paraId="64B58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E0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C7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4FD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5E3B">
            <w:pPr>
              <w:jc w:val="center"/>
            </w:pPr>
            <w:r>
              <w:rPr>
                <w:rFonts w:ascii="宋体" w:hAnsi="宋体" w:eastAsia="宋体"/>
                <w:sz w:val="16"/>
              </w:rPr>
              <w:t>普查数据提高政府统计公信力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44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D44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7CE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E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C4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1C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0AF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7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280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F727">
            <w:pPr>
              <w:jc w:val="center"/>
            </w:pPr>
          </w:p>
        </w:tc>
      </w:tr>
      <w:tr w14:paraId="456744D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BEF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A8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74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F1AB">
            <w:pPr>
              <w:jc w:val="center"/>
            </w:pPr>
            <w:r>
              <w:rPr>
                <w:rFonts w:ascii="宋体" w:hAnsi="宋体" w:eastAsia="宋体"/>
                <w:sz w:val="16"/>
              </w:rPr>
              <w:t>普查员</w:t>
            </w:r>
            <w:r>
              <w:rPr>
                <w:rFonts w:hint="eastAsia" w:ascii="宋体" w:hAnsi="宋体"/>
                <w:sz w:val="16"/>
                <w:lang w:eastAsia="zh-CN"/>
              </w:rPr>
              <w:t>普查</w:t>
            </w:r>
            <w:r>
              <w:rPr>
                <w:rFonts w:ascii="宋体" w:hAnsi="宋体" w:eastAsia="宋体"/>
                <w:sz w:val="16"/>
              </w:rPr>
              <w:t>数据精确度及普查对象满意度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52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5FC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372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1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39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E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4A5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2B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DB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2640">
            <w:pPr>
              <w:jc w:val="center"/>
            </w:pPr>
          </w:p>
        </w:tc>
      </w:tr>
      <w:tr w14:paraId="153B740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5B677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9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D61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A1CF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16F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0D4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13B1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5E51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4F45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96D2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B6CFA2"/>
        </w:tc>
      </w:tr>
    </w:tbl>
    <w:p w14:paraId="7F7C41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92A3733">
        <w:tblPrEx>
          <w:tblCellMar>
            <w:top w:w="0" w:type="dxa"/>
            <w:left w:w="108" w:type="dxa"/>
            <w:bottom w:w="0" w:type="dxa"/>
            <w:right w:w="108" w:type="dxa"/>
          </w:tblCellMar>
        </w:tblPrEx>
        <w:tc>
          <w:tcPr>
            <w:tcW w:w="8848" w:type="dxa"/>
            <w:gridSpan w:val="14"/>
            <w:vAlign w:val="center"/>
          </w:tcPr>
          <w:p w14:paraId="566569B2">
            <w:pPr>
              <w:jc w:val="center"/>
            </w:pPr>
            <w:r>
              <w:rPr>
                <w:rFonts w:ascii="宋体" w:hAnsi="宋体" w:eastAsia="宋体"/>
                <w:sz w:val="24"/>
              </w:rPr>
              <w:t>项目支出绩效自评表</w:t>
            </w:r>
          </w:p>
        </w:tc>
      </w:tr>
      <w:tr w14:paraId="5978E020">
        <w:tblPrEx>
          <w:tblCellMar>
            <w:top w:w="0" w:type="dxa"/>
            <w:left w:w="108" w:type="dxa"/>
            <w:bottom w:w="0" w:type="dxa"/>
            <w:right w:w="108" w:type="dxa"/>
          </w:tblCellMar>
        </w:tblPrEx>
        <w:tc>
          <w:tcPr>
            <w:tcW w:w="8848" w:type="dxa"/>
            <w:gridSpan w:val="14"/>
            <w:vAlign w:val="center"/>
          </w:tcPr>
          <w:p w14:paraId="3415D0FC">
            <w:pPr>
              <w:jc w:val="center"/>
            </w:pPr>
            <w:r>
              <w:rPr>
                <w:rFonts w:ascii="宋体" w:hAnsi="宋体" w:eastAsia="宋体"/>
                <w:sz w:val="24"/>
              </w:rPr>
              <w:t>(2024年度)</w:t>
            </w:r>
          </w:p>
        </w:tc>
      </w:tr>
      <w:tr w14:paraId="70293C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F4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6D24B5">
            <w:pPr>
              <w:jc w:val="center"/>
            </w:pPr>
            <w:r>
              <w:rPr>
                <w:rFonts w:ascii="宋体" w:hAnsi="宋体" w:eastAsia="宋体"/>
                <w:sz w:val="16"/>
              </w:rPr>
              <w:t>统计专项业务经费（城乡住户调查费）</w:t>
            </w:r>
          </w:p>
        </w:tc>
      </w:tr>
      <w:tr w14:paraId="3D18F3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2D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5618D">
            <w:pPr>
              <w:jc w:val="center"/>
            </w:pPr>
            <w:r>
              <w:rPr>
                <w:rFonts w:ascii="宋体" w:hAnsi="宋体" w:eastAsia="宋体"/>
                <w:sz w:val="16"/>
              </w:rPr>
              <w:t>特克斯县统计局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7CF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1A55C4">
            <w:pPr>
              <w:jc w:val="center"/>
            </w:pPr>
            <w:r>
              <w:rPr>
                <w:rFonts w:ascii="宋体" w:hAnsi="宋体" w:eastAsia="宋体"/>
                <w:sz w:val="16"/>
              </w:rPr>
              <w:t>特克斯县统计局</w:t>
            </w:r>
          </w:p>
        </w:tc>
      </w:tr>
      <w:tr w14:paraId="1E7D48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6978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47C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2AF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ADE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AE2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3E8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AC4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B62C">
            <w:pPr>
              <w:jc w:val="center"/>
            </w:pPr>
            <w:r>
              <w:rPr>
                <w:rFonts w:ascii="宋体" w:hAnsi="宋体" w:eastAsia="宋体"/>
                <w:sz w:val="16"/>
              </w:rPr>
              <w:t>得分</w:t>
            </w:r>
          </w:p>
        </w:tc>
      </w:tr>
      <w:tr w14:paraId="65BB5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95E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91B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E907F">
            <w:pPr>
              <w:jc w:val="center"/>
            </w:pPr>
            <w:r>
              <w:rPr>
                <w:rFonts w:ascii="宋体" w:hAnsi="宋体" w:eastAsia="宋体"/>
                <w:sz w:val="16"/>
              </w:rPr>
              <w:t>36.72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8E338">
            <w:pPr>
              <w:jc w:val="center"/>
            </w:pPr>
            <w:r>
              <w:rPr>
                <w:rFonts w:ascii="宋体" w:hAnsi="宋体" w:eastAsia="宋体"/>
                <w:sz w:val="16"/>
              </w:rPr>
              <w:t>36.72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28838">
            <w:pPr>
              <w:jc w:val="center"/>
            </w:pPr>
            <w:r>
              <w:rPr>
                <w:rFonts w:ascii="宋体" w:hAnsi="宋体" w:eastAsia="宋体"/>
                <w:sz w:val="16"/>
              </w:rPr>
              <w:t>36.72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A5E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2C02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DA5C">
            <w:pPr>
              <w:jc w:val="center"/>
            </w:pPr>
            <w:r>
              <w:rPr>
                <w:rFonts w:ascii="宋体" w:hAnsi="宋体" w:eastAsia="宋体"/>
                <w:sz w:val="16"/>
              </w:rPr>
              <w:t>10.00</w:t>
            </w:r>
          </w:p>
        </w:tc>
      </w:tr>
      <w:tr w14:paraId="4D8030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25F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C32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0BC3E">
            <w:pPr>
              <w:jc w:val="center"/>
            </w:pPr>
            <w:r>
              <w:rPr>
                <w:rFonts w:ascii="宋体" w:hAnsi="宋体" w:eastAsia="宋体"/>
                <w:sz w:val="16"/>
              </w:rPr>
              <w:t>36.72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AD388">
            <w:pPr>
              <w:jc w:val="center"/>
            </w:pPr>
            <w:r>
              <w:rPr>
                <w:rFonts w:ascii="宋体" w:hAnsi="宋体" w:eastAsia="宋体"/>
                <w:sz w:val="16"/>
              </w:rPr>
              <w:t>36.72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A6122">
            <w:pPr>
              <w:jc w:val="center"/>
            </w:pPr>
            <w:r>
              <w:rPr>
                <w:rFonts w:ascii="宋体" w:hAnsi="宋体" w:eastAsia="宋体"/>
                <w:sz w:val="16"/>
              </w:rPr>
              <w:t>36.72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DD6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957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9BC0">
            <w:pPr>
              <w:jc w:val="center"/>
            </w:pPr>
            <w:r>
              <w:rPr>
                <w:rFonts w:ascii="宋体" w:hAnsi="宋体" w:eastAsia="宋体"/>
                <w:sz w:val="16"/>
              </w:rPr>
              <w:t>—</w:t>
            </w:r>
          </w:p>
        </w:tc>
      </w:tr>
      <w:tr w14:paraId="506BD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F58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A3D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28F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5D4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1C1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83A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68A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791A">
            <w:pPr>
              <w:jc w:val="center"/>
            </w:pPr>
            <w:r>
              <w:rPr>
                <w:rFonts w:ascii="宋体" w:hAnsi="宋体" w:eastAsia="宋体"/>
                <w:sz w:val="16"/>
              </w:rPr>
              <w:t>—</w:t>
            </w:r>
          </w:p>
        </w:tc>
      </w:tr>
      <w:tr w14:paraId="7D5E72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A50A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7A41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05FFB6">
            <w:pPr>
              <w:jc w:val="center"/>
            </w:pPr>
            <w:r>
              <w:rPr>
                <w:rFonts w:ascii="宋体" w:hAnsi="宋体" w:eastAsia="宋体"/>
                <w:sz w:val="16"/>
              </w:rPr>
              <w:t>实际完成情况</w:t>
            </w:r>
          </w:p>
        </w:tc>
      </w:tr>
      <w:tr w14:paraId="51911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2A6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7055A2">
            <w:pPr>
              <w:jc w:val="both"/>
            </w:pPr>
            <w:r>
              <w:rPr>
                <w:rFonts w:ascii="宋体" w:hAnsi="宋体" w:eastAsia="宋体"/>
                <w:sz w:val="16"/>
              </w:rPr>
              <w:t>完成城乡住户120户调查工作，确保方案科学可行，调查实施严谨认真，调查经费有效合理使用，调查数据质量及时、可靠、全面，统计数据和分析得到充分应用，统计科学化水平有力提升。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5CFB2B">
            <w:pPr>
              <w:jc w:val="both"/>
            </w:pPr>
            <w:r>
              <w:rPr>
                <w:rFonts w:ascii="宋体" w:hAnsi="宋体" w:eastAsia="宋体"/>
                <w:sz w:val="16"/>
              </w:rPr>
              <w:t>按时发放120户住户调查记账补贴。完成国民经济、社会发展、科技进步和资源环境等多项调查，确保方案科学可行，调查实施严谨认真，调查经费有效合理使用，调查数据质量及时、可靠、全面，统计数据和分析得到充分应用，统计科学化水平有力提升。</w:t>
            </w:r>
          </w:p>
        </w:tc>
      </w:tr>
      <w:tr w14:paraId="6E2872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A1A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DE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73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1AD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25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18C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79A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E4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7BE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34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DC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63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58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EAE4">
            <w:pPr>
              <w:jc w:val="center"/>
            </w:pPr>
            <w:r>
              <w:rPr>
                <w:rFonts w:ascii="宋体" w:hAnsi="宋体" w:eastAsia="宋体"/>
                <w:sz w:val="16"/>
              </w:rPr>
              <w:t>偏差原因分析及改进措施</w:t>
            </w:r>
          </w:p>
        </w:tc>
      </w:tr>
      <w:tr w14:paraId="0BB533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12C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ACB3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B77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3F4B">
            <w:pPr>
              <w:jc w:val="center"/>
            </w:pPr>
            <w:r>
              <w:rPr>
                <w:rFonts w:ascii="宋体" w:hAnsi="宋体" w:eastAsia="宋体"/>
                <w:sz w:val="16"/>
              </w:rPr>
              <w:t>补助住户调查对象样本量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1C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A25F">
            <w:pPr>
              <w:jc w:val="center"/>
            </w:pPr>
            <w:r>
              <w:rPr>
                <w:rFonts w:ascii="宋体" w:hAnsi="宋体" w:eastAsia="宋体"/>
                <w:sz w:val="16"/>
              </w:rPr>
              <w:t>&gt;=120户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B599">
            <w:pPr>
              <w:jc w:val="center"/>
            </w:pPr>
            <w:r>
              <w:rPr>
                <w:rFonts w:ascii="宋体" w:hAnsi="宋体" w:eastAsia="宋体"/>
                <w:sz w:val="16"/>
              </w:rPr>
              <w:t>120户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80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5D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3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051E">
            <w:pPr>
              <w:jc w:val="center"/>
            </w:pPr>
            <w:r>
              <w:rPr>
                <w:rFonts w:ascii="宋体" w:hAnsi="宋体" w:eastAsia="宋体"/>
                <w:sz w:val="16"/>
              </w:rPr>
              <w:t>120户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12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15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9E7B">
            <w:pPr>
              <w:jc w:val="center"/>
            </w:pPr>
          </w:p>
        </w:tc>
      </w:tr>
      <w:tr w14:paraId="5B34AE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8A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EC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786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B952">
            <w:pPr>
              <w:jc w:val="center"/>
            </w:pPr>
            <w:r>
              <w:rPr>
                <w:rFonts w:ascii="宋体" w:hAnsi="宋体" w:eastAsia="宋体"/>
                <w:sz w:val="16"/>
              </w:rPr>
              <w:t>辅助调查员补贴人数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AF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F79F">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C3EE">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65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9D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38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C305">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7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E9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A307">
            <w:pPr>
              <w:jc w:val="center"/>
            </w:pPr>
          </w:p>
        </w:tc>
      </w:tr>
      <w:tr w14:paraId="5E4DF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85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62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5ED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B692">
            <w:pPr>
              <w:jc w:val="center"/>
            </w:pPr>
            <w:r>
              <w:rPr>
                <w:rFonts w:ascii="宋体" w:hAnsi="宋体" w:eastAsia="宋体"/>
                <w:sz w:val="16"/>
              </w:rPr>
              <w:t>按月度发放补助次数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5D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5D1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545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7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74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DA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E6F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9B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8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526D">
            <w:pPr>
              <w:jc w:val="center"/>
            </w:pPr>
          </w:p>
        </w:tc>
      </w:tr>
      <w:tr w14:paraId="101ADC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E39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48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AC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C9EF">
            <w:pPr>
              <w:jc w:val="center"/>
            </w:pPr>
            <w:r>
              <w:rPr>
                <w:rFonts w:ascii="宋体" w:hAnsi="宋体" w:eastAsia="宋体"/>
                <w:sz w:val="16"/>
              </w:rPr>
              <w:t>调查数据真实、可靠，调查分析客观实际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5B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44D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362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8B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54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7D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5A9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A7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EE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0022">
            <w:pPr>
              <w:jc w:val="center"/>
            </w:pPr>
          </w:p>
        </w:tc>
      </w:tr>
      <w:tr w14:paraId="23D36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9E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CCE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3F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6C54">
            <w:pPr>
              <w:jc w:val="center"/>
            </w:pPr>
            <w:r>
              <w:rPr>
                <w:rFonts w:ascii="宋体" w:hAnsi="宋体" w:eastAsia="宋体"/>
                <w:sz w:val="16"/>
              </w:rPr>
              <w:t>住户调查补贴及辅调员补贴费支付及时性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E5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F34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757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EA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2E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35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8D1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3E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B4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1CBE">
            <w:pPr>
              <w:jc w:val="center"/>
            </w:pPr>
          </w:p>
        </w:tc>
      </w:tr>
      <w:tr w14:paraId="601A2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DED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42E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3E9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1DA3">
            <w:pPr>
              <w:jc w:val="center"/>
            </w:pPr>
            <w:r>
              <w:rPr>
                <w:rFonts w:ascii="宋体" w:hAnsi="宋体" w:eastAsia="宋体"/>
                <w:sz w:val="16"/>
              </w:rPr>
              <w:t>调查户每月每户补贴费用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9AC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ADAE">
            <w:pPr>
              <w:jc w:val="center"/>
            </w:pPr>
            <w:r>
              <w:rPr>
                <w:rFonts w:ascii="宋体" w:hAnsi="宋体" w:eastAsia="宋体"/>
                <w:sz w:val="16"/>
              </w:rPr>
              <w:t>&lt;=200元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341A">
            <w:pPr>
              <w:jc w:val="center"/>
            </w:pPr>
            <w:r>
              <w:rPr>
                <w:rFonts w:ascii="宋体" w:hAnsi="宋体" w:eastAsia="宋体"/>
                <w:sz w:val="16"/>
              </w:rPr>
              <w:t>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F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CC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2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BF5A">
            <w:pPr>
              <w:jc w:val="center"/>
            </w:pPr>
            <w:r>
              <w:rPr>
                <w:rFonts w:ascii="宋体" w:hAnsi="宋体" w:eastAsia="宋体"/>
                <w:sz w:val="16"/>
              </w:rPr>
              <w:t>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B0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6A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12B7">
            <w:pPr>
              <w:jc w:val="center"/>
            </w:pPr>
          </w:p>
        </w:tc>
      </w:tr>
      <w:tr w14:paraId="41134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0CB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1E1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A18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E4E7">
            <w:pPr>
              <w:jc w:val="center"/>
            </w:pPr>
            <w:r>
              <w:rPr>
                <w:rFonts w:ascii="宋体" w:hAnsi="宋体" w:eastAsia="宋体"/>
                <w:sz w:val="16"/>
              </w:rPr>
              <w:t>辅助调查员每月每人补贴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3A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5CD5">
            <w:pPr>
              <w:jc w:val="center"/>
            </w:pPr>
            <w:r>
              <w:rPr>
                <w:rFonts w:ascii="宋体" w:hAnsi="宋体" w:eastAsia="宋体"/>
                <w:sz w:val="16"/>
              </w:rPr>
              <w:t>&lt;=550元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4058">
            <w:pPr>
              <w:jc w:val="center"/>
            </w:pPr>
            <w:r>
              <w:rPr>
                <w:rFonts w:ascii="宋体" w:hAnsi="宋体" w:eastAsia="宋体"/>
                <w:sz w:val="16"/>
              </w:rPr>
              <w:t>550元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0A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68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A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2F5D">
            <w:pPr>
              <w:jc w:val="center"/>
            </w:pPr>
            <w:r>
              <w:rPr>
                <w:rFonts w:ascii="宋体" w:hAnsi="宋体" w:eastAsia="宋体"/>
                <w:sz w:val="16"/>
              </w:rPr>
              <w:t>550元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2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19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B59F">
            <w:pPr>
              <w:jc w:val="center"/>
            </w:pPr>
          </w:p>
        </w:tc>
      </w:tr>
      <w:tr w14:paraId="52C21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C9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AF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3A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F0BB">
            <w:pPr>
              <w:jc w:val="center"/>
            </w:pPr>
            <w:r>
              <w:rPr>
                <w:rFonts w:ascii="宋体" w:hAnsi="宋体" w:eastAsia="宋体"/>
                <w:sz w:val="16"/>
              </w:rPr>
              <w:t>提高党政、人大、政协机关和部门的认可度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2D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FB1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D3A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1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B8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7A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713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49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3C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A4F7">
            <w:pPr>
              <w:jc w:val="center"/>
            </w:pPr>
          </w:p>
        </w:tc>
      </w:tr>
      <w:tr w14:paraId="4E9CB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AEB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E5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D8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68B3">
            <w:pPr>
              <w:jc w:val="center"/>
            </w:pPr>
            <w:r>
              <w:rPr>
                <w:rFonts w:ascii="宋体" w:hAnsi="宋体" w:eastAsia="宋体"/>
                <w:sz w:val="16"/>
              </w:rPr>
              <w:t>基层统计机构和调查户满意度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04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A2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A18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E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47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FD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D15E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EE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32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3656">
            <w:pPr>
              <w:jc w:val="center"/>
            </w:pPr>
          </w:p>
        </w:tc>
      </w:tr>
      <w:tr w14:paraId="3FDF51B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1579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7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4222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627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F8D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F1C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93F3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1CE9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FD5D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7D22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A0ECAB"/>
        </w:tc>
      </w:tr>
    </w:tbl>
    <w:p w14:paraId="4A6118A2">
      <w:r>
        <w:br w:type="page"/>
      </w:r>
    </w:p>
    <w:p w14:paraId="0BB561ED">
      <w:pPr>
        <w:spacing w:line="640" w:lineRule="exact"/>
        <w:ind w:firstLine="640"/>
        <w:jc w:val="both"/>
        <w:outlineLvl w:val="2"/>
      </w:pPr>
      <w:r>
        <w:rPr>
          <w:rFonts w:ascii="黑体" w:hAnsi="黑体" w:eastAsia="黑体"/>
          <w:sz w:val="32"/>
        </w:rPr>
        <w:t>十二、其他需说明的事项</w:t>
      </w:r>
    </w:p>
    <w:p w14:paraId="234BE1E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333A021F">
      <w:r>
        <w:br w:type="page"/>
      </w:r>
    </w:p>
    <w:p w14:paraId="6C907FF8">
      <w:pPr>
        <w:spacing w:line="240" w:lineRule="auto"/>
        <w:jc w:val="center"/>
        <w:outlineLvl w:val="1"/>
      </w:pPr>
      <w:r>
        <w:rPr>
          <w:rFonts w:ascii="黑体" w:hAnsi="黑体" w:eastAsia="黑体"/>
          <w:sz w:val="32"/>
        </w:rPr>
        <w:t>第三部分 专业名词解释</w:t>
      </w:r>
    </w:p>
    <w:p w14:paraId="7BFBA4A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6A5728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7801FF3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C475FD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4CFB8E6">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332C283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33FF749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6DC598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1405E7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02C2B8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11FAF6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46F9CBF">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09F715F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EF5E2D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EB9D9BD">
      <w:r>
        <w:br w:type="page"/>
      </w:r>
    </w:p>
    <w:p w14:paraId="5FD4AC93">
      <w:pPr>
        <w:spacing w:line="240" w:lineRule="auto"/>
        <w:jc w:val="center"/>
        <w:outlineLvl w:val="1"/>
      </w:pPr>
      <w:r>
        <w:rPr>
          <w:rFonts w:ascii="黑体" w:hAnsi="黑体" w:eastAsia="黑体"/>
          <w:sz w:val="32"/>
        </w:rPr>
        <w:t>第四部分 部门决算报表（见附表）</w:t>
      </w:r>
    </w:p>
    <w:p w14:paraId="6BC80CB6">
      <w:pPr>
        <w:spacing w:line="240" w:lineRule="auto"/>
        <w:ind w:firstLine="640"/>
        <w:jc w:val="both"/>
      </w:pPr>
      <w:r>
        <w:rPr>
          <w:rFonts w:ascii="仿宋_GB2312" w:hAnsi="仿宋_GB2312" w:eastAsia="仿宋_GB2312"/>
          <w:b w:val="0"/>
          <w:sz w:val="32"/>
        </w:rPr>
        <w:t>一、《收入支出决算总表》</w:t>
      </w:r>
    </w:p>
    <w:p w14:paraId="082A7ADC">
      <w:pPr>
        <w:spacing w:line="240" w:lineRule="auto"/>
        <w:ind w:firstLine="640"/>
        <w:jc w:val="both"/>
      </w:pPr>
      <w:r>
        <w:rPr>
          <w:rFonts w:ascii="仿宋_GB2312" w:hAnsi="仿宋_GB2312" w:eastAsia="仿宋_GB2312"/>
          <w:b w:val="0"/>
          <w:sz w:val="32"/>
        </w:rPr>
        <w:t>二、《收入决算表》</w:t>
      </w:r>
    </w:p>
    <w:p w14:paraId="51CCECE4">
      <w:pPr>
        <w:spacing w:line="240" w:lineRule="auto"/>
        <w:ind w:firstLine="640"/>
        <w:jc w:val="both"/>
      </w:pPr>
      <w:r>
        <w:rPr>
          <w:rFonts w:ascii="仿宋_GB2312" w:hAnsi="仿宋_GB2312" w:eastAsia="仿宋_GB2312"/>
          <w:b w:val="0"/>
          <w:sz w:val="32"/>
        </w:rPr>
        <w:t>三、《支出决算表》</w:t>
      </w:r>
    </w:p>
    <w:p w14:paraId="50F5072D">
      <w:pPr>
        <w:spacing w:line="240" w:lineRule="auto"/>
        <w:ind w:firstLine="640"/>
        <w:jc w:val="both"/>
      </w:pPr>
      <w:r>
        <w:rPr>
          <w:rFonts w:ascii="仿宋_GB2312" w:hAnsi="仿宋_GB2312" w:eastAsia="仿宋_GB2312"/>
          <w:b w:val="0"/>
          <w:sz w:val="32"/>
        </w:rPr>
        <w:t>四、《财政拨款收入支出决算总表》</w:t>
      </w:r>
    </w:p>
    <w:p w14:paraId="6B0F2E3A">
      <w:pPr>
        <w:spacing w:line="240" w:lineRule="auto"/>
        <w:ind w:firstLine="640"/>
        <w:jc w:val="both"/>
      </w:pPr>
      <w:r>
        <w:rPr>
          <w:rFonts w:ascii="仿宋_GB2312" w:hAnsi="仿宋_GB2312" w:eastAsia="仿宋_GB2312"/>
          <w:b w:val="0"/>
          <w:sz w:val="32"/>
        </w:rPr>
        <w:t>五、《一般公共预算财政拨款支出决算表》</w:t>
      </w:r>
    </w:p>
    <w:p w14:paraId="238DFF35">
      <w:pPr>
        <w:spacing w:line="240" w:lineRule="auto"/>
        <w:ind w:firstLine="640"/>
        <w:jc w:val="both"/>
      </w:pPr>
      <w:r>
        <w:rPr>
          <w:rFonts w:ascii="仿宋_GB2312" w:hAnsi="仿宋_GB2312" w:eastAsia="仿宋_GB2312"/>
          <w:b w:val="0"/>
          <w:sz w:val="32"/>
        </w:rPr>
        <w:t>六、《一般公共预算财政拨款基本支出决算表》</w:t>
      </w:r>
    </w:p>
    <w:p w14:paraId="791B90B5">
      <w:pPr>
        <w:spacing w:line="240" w:lineRule="auto"/>
        <w:ind w:firstLine="640"/>
        <w:jc w:val="both"/>
      </w:pPr>
      <w:r>
        <w:rPr>
          <w:rFonts w:ascii="仿宋_GB2312" w:hAnsi="仿宋_GB2312" w:eastAsia="仿宋_GB2312"/>
          <w:b w:val="0"/>
          <w:sz w:val="32"/>
        </w:rPr>
        <w:t>七、《政府性基金预算财政拨款收入支出决算表》</w:t>
      </w:r>
    </w:p>
    <w:p w14:paraId="1752A9D5">
      <w:pPr>
        <w:spacing w:line="240" w:lineRule="auto"/>
        <w:ind w:firstLine="640"/>
        <w:jc w:val="both"/>
      </w:pPr>
      <w:r>
        <w:rPr>
          <w:rFonts w:ascii="仿宋_GB2312" w:hAnsi="仿宋_GB2312" w:eastAsia="仿宋_GB2312"/>
          <w:b w:val="0"/>
          <w:sz w:val="32"/>
        </w:rPr>
        <w:t>八、《国有资本经营预算财政拨款收入支出决算表》</w:t>
      </w:r>
    </w:p>
    <w:p w14:paraId="5FC21AD3">
      <w:pPr>
        <w:spacing w:line="240" w:lineRule="auto"/>
        <w:ind w:firstLine="640"/>
        <w:jc w:val="both"/>
      </w:pPr>
      <w:r>
        <w:rPr>
          <w:rFonts w:ascii="仿宋_GB2312" w:hAnsi="仿宋_GB2312" w:eastAsia="仿宋_GB2312"/>
          <w:b w:val="0"/>
          <w:sz w:val="32"/>
        </w:rPr>
        <w:t>九、《财政拨款“三公”经费支出决算表》</w:t>
      </w:r>
    </w:p>
    <w:p w14:paraId="46748237">
      <w:pPr>
        <w:spacing w:line="240" w:lineRule="auto"/>
        <w:ind w:firstLine="640"/>
        <w:jc w:val="both"/>
      </w:pPr>
    </w:p>
    <w:p w14:paraId="3EC10870">
      <w:pPr>
        <w:spacing w:line="240" w:lineRule="auto"/>
        <w:ind w:firstLine="640"/>
        <w:jc w:val="both"/>
      </w:pPr>
    </w:p>
    <w:p w14:paraId="35CE85F2">
      <w:pPr>
        <w:spacing w:line="240" w:lineRule="auto"/>
        <w:ind w:firstLine="640"/>
        <w:jc w:val="both"/>
      </w:pPr>
    </w:p>
    <w:p w14:paraId="51A9E0FD">
      <w:pPr>
        <w:spacing w:line="240" w:lineRule="auto"/>
        <w:ind w:firstLine="640"/>
        <w:jc w:val="both"/>
      </w:pPr>
    </w:p>
    <w:p w14:paraId="06157F8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6F9761F"/>
    <w:rsid w:val="47445515"/>
    <w:rsid w:val="49706145"/>
    <w:rsid w:val="4B4C0111"/>
    <w:rsid w:val="4BB23021"/>
    <w:rsid w:val="4F3F074E"/>
    <w:rsid w:val="4FDC62DF"/>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5305</Words>
  <Characters>5955</Characters>
  <Lines>0</Lines>
  <Paragraphs>0</Paragraphs>
  <TotalTime>4</TotalTime>
  <ScaleCrop>false</ScaleCrop>
  <LinksUpToDate>false</LinksUpToDate>
  <CharactersWithSpaces>5963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