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10AAC7CD">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特克斯县疾病预防控制中心2024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A6CA05B">
      <w:r>
        <w:br w:type="page"/>
      </w:r>
    </w:p>
    <w:p w14:paraId="0339F0AF">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41DE87A9">
      <w:pPr>
        <w:spacing w:line="640" w:lineRule="exact"/>
        <w:ind w:firstLine="640"/>
        <w:jc w:val="both"/>
        <w:outlineLvl w:val="2"/>
      </w:pPr>
      <w:r>
        <w:rPr>
          <w:rFonts w:ascii="黑体" w:hAnsi="黑体" w:eastAsia="黑体"/>
          <w:sz w:val="32"/>
        </w:rPr>
        <w:t>一、主要职能</w:t>
      </w:r>
    </w:p>
    <w:p w14:paraId="342CA757">
      <w:pPr>
        <w:spacing w:line="580" w:lineRule="exact"/>
        <w:ind w:firstLine="640"/>
        <w:jc w:val="both"/>
      </w:pPr>
      <w:r>
        <w:rPr>
          <w:rFonts w:ascii="仿宋_GB2312" w:hAnsi="仿宋_GB2312" w:eastAsia="仿宋_GB2312"/>
          <w:sz w:val="32"/>
        </w:rPr>
        <w:t>1、拟定并实施疾病预防控制、公共卫生工作计划，落实相应措施，进行质量检查和效果评估。</w:t>
      </w:r>
    </w:p>
    <w:p w14:paraId="0BAD7646">
      <w:pPr>
        <w:spacing w:line="580" w:lineRule="exact"/>
        <w:ind w:firstLine="640"/>
        <w:jc w:val="both"/>
      </w:pPr>
      <w:r>
        <w:rPr>
          <w:rFonts w:ascii="仿宋_GB2312" w:hAnsi="仿宋_GB2312" w:eastAsia="仿宋_GB2312"/>
          <w:sz w:val="32"/>
        </w:rPr>
        <w:t>2、负责对影响人群生活、学习、工作等环境质量及生命质量危险因素的卫生学监测，对传染病、地方病、寄生虫病、职业病、慢性非传染性疾病、公害病、学生常见病及意外伤害、中毒等发生、发展和分布的规律进行流行病学监测分析和防治，并制定预防控制对策。</w:t>
      </w:r>
    </w:p>
    <w:p w14:paraId="263B4273">
      <w:pPr>
        <w:spacing w:line="580" w:lineRule="exact"/>
        <w:ind w:firstLine="640"/>
        <w:jc w:val="both"/>
      </w:pPr>
      <w:r>
        <w:rPr>
          <w:rFonts w:ascii="仿宋_GB2312" w:hAnsi="仿宋_GB2312" w:eastAsia="仿宋_GB2312"/>
          <w:sz w:val="32"/>
        </w:rPr>
        <w:t>3、承担对传染病的发生、流行、中毒、卫生污染、救灾防病等重大公共卫生问题的调查处理。</w:t>
      </w:r>
    </w:p>
    <w:p w14:paraId="0C10929B">
      <w:pPr>
        <w:spacing w:line="580" w:lineRule="exact"/>
        <w:ind w:firstLine="640"/>
        <w:jc w:val="both"/>
      </w:pPr>
      <w:r>
        <w:rPr>
          <w:rFonts w:ascii="仿宋_GB2312" w:hAnsi="仿宋_GB2312" w:eastAsia="仿宋_GB2312"/>
          <w:sz w:val="32"/>
        </w:rPr>
        <w:t>4、开展卫生防病检验和实验室质量控制；受卫生行政部门认定，承担卫生监测检验、预防性健康检查。</w:t>
      </w:r>
    </w:p>
    <w:p w14:paraId="570ECCF7">
      <w:pPr>
        <w:spacing w:line="580" w:lineRule="exact"/>
        <w:ind w:firstLine="640"/>
        <w:jc w:val="both"/>
      </w:pPr>
      <w:r>
        <w:rPr>
          <w:rFonts w:ascii="仿宋_GB2312" w:hAnsi="仿宋_GB2312" w:eastAsia="仿宋_GB2312"/>
          <w:sz w:val="32"/>
        </w:rPr>
        <w:t>5、开展计划免疫预防接种工作，负责预防用生物制品的使用与管理。</w:t>
      </w:r>
    </w:p>
    <w:p w14:paraId="29401CDC">
      <w:pPr>
        <w:spacing w:line="580" w:lineRule="exact"/>
        <w:ind w:firstLine="640"/>
        <w:jc w:val="both"/>
      </w:pPr>
      <w:r>
        <w:rPr>
          <w:rFonts w:ascii="仿宋_GB2312" w:hAnsi="仿宋_GB2312" w:eastAsia="仿宋_GB2312"/>
          <w:sz w:val="32"/>
        </w:rPr>
        <w:t>6、承担疾病预防控制及有关公共卫生信息的管理、报告及预测、预报，负责卫生监测统计报告，为疾病预防控制决策提供依据。</w:t>
      </w:r>
    </w:p>
    <w:p w14:paraId="7396E5ED">
      <w:pPr>
        <w:spacing w:line="580" w:lineRule="exact"/>
        <w:ind w:firstLine="640"/>
        <w:jc w:val="both"/>
      </w:pPr>
      <w:r>
        <w:rPr>
          <w:rFonts w:ascii="仿宋_GB2312" w:hAnsi="仿宋_GB2312" w:eastAsia="仿宋_GB2312"/>
          <w:sz w:val="32"/>
        </w:rPr>
        <w:t>7、开展健康教育，参与社区卫生服务工作，促进社会健康环境的建立和人群健康行为的形成。</w:t>
      </w:r>
    </w:p>
    <w:p w14:paraId="41D6C46A">
      <w:pPr>
        <w:spacing w:line="580" w:lineRule="exact"/>
        <w:ind w:firstLine="640"/>
        <w:jc w:val="both"/>
      </w:pPr>
      <w:r>
        <w:rPr>
          <w:rFonts w:ascii="仿宋_GB2312" w:hAnsi="仿宋_GB2312" w:eastAsia="仿宋_GB2312"/>
          <w:sz w:val="32"/>
        </w:rPr>
        <w:t>8、协助和配合上级部门开展应用性科研和</w:t>
      </w:r>
      <w:r>
        <w:rPr>
          <w:rFonts w:hint="eastAsia" w:ascii="仿宋_GB2312" w:hAnsi="仿宋_GB2312" w:eastAsia="仿宋_GB2312"/>
          <w:sz w:val="32"/>
          <w:lang w:eastAsia="zh-CN"/>
        </w:rPr>
        <w:t>其他</w:t>
      </w:r>
      <w:r>
        <w:rPr>
          <w:rFonts w:ascii="仿宋_GB2312" w:hAnsi="仿宋_GB2312" w:eastAsia="仿宋_GB2312"/>
          <w:sz w:val="32"/>
        </w:rPr>
        <w:t>相关工作。</w:t>
      </w:r>
    </w:p>
    <w:p w14:paraId="5CE72F8E">
      <w:pPr>
        <w:spacing w:line="580" w:lineRule="exact"/>
        <w:ind w:firstLine="640"/>
        <w:jc w:val="both"/>
      </w:pPr>
      <w:r>
        <w:rPr>
          <w:rFonts w:ascii="仿宋_GB2312" w:hAnsi="仿宋_GB2312" w:eastAsia="仿宋_GB2312"/>
          <w:sz w:val="32"/>
        </w:rPr>
        <w:t>9、参与卫生标准、规范的研究制定，开展预防医学应用研究,开发和推广先进技术。</w:t>
      </w:r>
    </w:p>
    <w:p w14:paraId="0FCF7140">
      <w:pPr>
        <w:spacing w:line="580" w:lineRule="exact"/>
        <w:ind w:firstLine="640"/>
        <w:jc w:val="both"/>
      </w:pPr>
      <w:r>
        <w:rPr>
          <w:rFonts w:ascii="仿宋_GB2312" w:hAnsi="仿宋_GB2312" w:eastAsia="仿宋_GB2312"/>
          <w:sz w:val="32"/>
        </w:rPr>
        <w:t>10、负责爱国卫生及创建国家卫生城市的技术指导和经常性的公共卫生管理工作。</w:t>
      </w:r>
    </w:p>
    <w:p w14:paraId="458FAB01">
      <w:pPr>
        <w:spacing w:line="580" w:lineRule="exact"/>
        <w:ind w:firstLine="640"/>
        <w:jc w:val="both"/>
      </w:pPr>
      <w:r>
        <w:rPr>
          <w:rFonts w:ascii="仿宋_GB2312" w:hAnsi="仿宋_GB2312" w:eastAsia="仿宋_GB2312"/>
          <w:sz w:val="32"/>
        </w:rPr>
        <w:t>11、负责</w:t>
      </w:r>
      <w:r>
        <w:rPr>
          <w:rFonts w:hint="eastAsia" w:ascii="仿宋_GB2312" w:hAnsi="仿宋_GB2312" w:eastAsia="仿宋_GB2312"/>
          <w:sz w:val="32"/>
          <w:lang w:eastAsia="zh-CN"/>
        </w:rPr>
        <w:t>防疫</w:t>
      </w:r>
      <w:r>
        <w:rPr>
          <w:rFonts w:ascii="仿宋_GB2312" w:hAnsi="仿宋_GB2312" w:eastAsia="仿宋_GB2312"/>
          <w:sz w:val="32"/>
        </w:rPr>
        <w:t>收集、分析、组织各级医疗机构开展</w:t>
      </w:r>
      <w:r>
        <w:rPr>
          <w:rFonts w:hint="eastAsia" w:ascii="仿宋_GB2312" w:hAnsi="仿宋_GB2312" w:eastAsia="仿宋_GB2312"/>
          <w:sz w:val="32"/>
          <w:lang w:eastAsia="zh-CN"/>
        </w:rPr>
        <w:t>卫生防疫</w:t>
      </w:r>
      <w:r>
        <w:rPr>
          <w:rFonts w:ascii="仿宋_GB2312" w:hAnsi="仿宋_GB2312" w:eastAsia="仿宋_GB2312"/>
          <w:sz w:val="32"/>
        </w:rPr>
        <w:t>工作，承担初级预防医学专业</w:t>
      </w:r>
      <w:r>
        <w:rPr>
          <w:rFonts w:hint="eastAsia" w:ascii="仿宋_GB2312" w:hAnsi="仿宋_GB2312" w:eastAsia="仿宋_GB2312"/>
          <w:sz w:val="32"/>
          <w:lang w:eastAsia="zh-CN"/>
        </w:rPr>
        <w:t>技术人员</w:t>
      </w:r>
      <w:r>
        <w:rPr>
          <w:rFonts w:ascii="仿宋_GB2312" w:hAnsi="仿宋_GB2312" w:eastAsia="仿宋_GB2312"/>
          <w:sz w:val="32"/>
        </w:rPr>
        <w:t>的培训。</w:t>
      </w:r>
    </w:p>
    <w:p w14:paraId="03572C3F">
      <w:pPr>
        <w:spacing w:line="640" w:lineRule="exact"/>
        <w:ind w:firstLine="640"/>
        <w:jc w:val="both"/>
        <w:outlineLvl w:val="2"/>
      </w:pPr>
      <w:r>
        <w:rPr>
          <w:rFonts w:ascii="黑体" w:hAnsi="黑体" w:eastAsia="黑体"/>
          <w:sz w:val="32"/>
        </w:rPr>
        <w:t>二、机构设置及人员情况</w:t>
      </w:r>
    </w:p>
    <w:p w14:paraId="664B4F43">
      <w:pPr>
        <w:spacing w:line="580" w:lineRule="exact"/>
        <w:ind w:firstLine="640"/>
        <w:jc w:val="both"/>
      </w:pPr>
      <w:r>
        <w:rPr>
          <w:rFonts w:ascii="仿宋_GB2312" w:hAnsi="仿宋_GB2312" w:eastAsia="仿宋_GB2312"/>
          <w:sz w:val="32"/>
        </w:rPr>
        <w:t>特克斯县疾病预防控制中心2024年度，实有人数67人，其中：在职人员41人，增加9人；离休人员0人，增加0人；退休人员26人,增加1人。</w:t>
      </w:r>
    </w:p>
    <w:p w14:paraId="58BC87BB">
      <w:pPr>
        <w:spacing w:line="580" w:lineRule="exact"/>
        <w:ind w:firstLine="640"/>
        <w:jc w:val="both"/>
      </w:pPr>
      <w:r>
        <w:rPr>
          <w:rFonts w:ascii="仿宋_GB2312" w:hAnsi="仿宋_GB2312" w:eastAsia="仿宋_GB2312"/>
          <w:sz w:val="32"/>
        </w:rPr>
        <w:t>特克斯县疾病预防控制中心无下属预算</w:t>
      </w:r>
      <w:r>
        <w:rPr>
          <w:rFonts w:hint="eastAsia" w:ascii="仿宋_GB2312" w:hAnsi="仿宋_GB2312" w:eastAsia="仿宋_GB2312"/>
          <w:sz w:val="32"/>
          <w:lang w:eastAsia="zh-CN"/>
        </w:rPr>
        <w:t>单位</w:t>
      </w:r>
      <w:r>
        <w:rPr>
          <w:rFonts w:ascii="仿宋_GB2312" w:hAnsi="仿宋_GB2312" w:eastAsia="仿宋_GB2312"/>
          <w:sz w:val="32"/>
        </w:rPr>
        <w:t>，下设11个科室，分别是：卫生监督所、艾防科、结防科、地病科、慢病科、检验科、计免科、职业病防治科、传防科、财务科、办公室。</w:t>
      </w:r>
    </w:p>
    <w:p w14:paraId="25052F71">
      <w:r>
        <w:br w:type="page"/>
      </w:r>
    </w:p>
    <w:p w14:paraId="278EA5F1">
      <w:pPr>
        <w:spacing w:line="240" w:lineRule="auto"/>
        <w:jc w:val="center"/>
        <w:outlineLvl w:val="1"/>
      </w:pPr>
      <w:r>
        <w:rPr>
          <w:rFonts w:ascii="黑体" w:hAnsi="黑体" w:eastAsia="黑体"/>
          <w:sz w:val="32"/>
        </w:rPr>
        <w:t>第二部分 部门决算情况说明</w:t>
      </w:r>
    </w:p>
    <w:p w14:paraId="5C5C95E2">
      <w:pPr>
        <w:spacing w:line="640" w:lineRule="exact"/>
        <w:ind w:firstLine="640"/>
        <w:jc w:val="both"/>
        <w:outlineLvl w:val="2"/>
      </w:pPr>
      <w:r>
        <w:rPr>
          <w:rFonts w:ascii="黑体" w:hAnsi="黑体" w:eastAsia="黑体"/>
          <w:sz w:val="32"/>
        </w:rPr>
        <w:t>一、收入支出决算总体情况说明</w:t>
      </w:r>
    </w:p>
    <w:p w14:paraId="2D13FDA4">
      <w:pPr>
        <w:spacing w:line="580" w:lineRule="exact"/>
        <w:ind w:firstLine="640"/>
        <w:jc w:val="both"/>
      </w:pPr>
      <w:r>
        <w:rPr>
          <w:rFonts w:ascii="仿宋_GB2312" w:hAnsi="仿宋_GB2312" w:eastAsia="仿宋_GB2312"/>
          <w:b/>
          <w:sz w:val="32"/>
        </w:rPr>
        <w:t>2024年度收入总计2,036.16万元，</w:t>
      </w:r>
      <w:r>
        <w:rPr>
          <w:rFonts w:ascii="仿宋_GB2312" w:hAnsi="仿宋_GB2312" w:eastAsia="仿宋_GB2312"/>
          <w:b w:val="0"/>
          <w:sz w:val="32"/>
        </w:rPr>
        <w:t>其中：本年收入合计2,036.16万元，使用非财政拨款结余（含专用结余）0.00万元，年初结转和结余0.00万元。</w:t>
      </w:r>
    </w:p>
    <w:p w14:paraId="1C48C337">
      <w:pPr>
        <w:spacing w:line="580" w:lineRule="exact"/>
        <w:ind w:firstLine="640"/>
        <w:jc w:val="both"/>
      </w:pPr>
      <w:r>
        <w:rPr>
          <w:rFonts w:ascii="仿宋_GB2312" w:hAnsi="仿宋_GB2312" w:eastAsia="仿宋_GB2312"/>
          <w:b/>
          <w:sz w:val="32"/>
        </w:rPr>
        <w:t>2024年度支出总计2,036.16万元，</w:t>
      </w:r>
      <w:r>
        <w:rPr>
          <w:rFonts w:ascii="仿宋_GB2312" w:hAnsi="仿宋_GB2312" w:eastAsia="仿宋_GB2312"/>
          <w:b w:val="0"/>
          <w:sz w:val="32"/>
        </w:rPr>
        <w:t>其中：本年支出合计</w:t>
      </w:r>
      <w:r>
        <w:rPr>
          <w:rFonts w:ascii="仿宋_GB2312" w:hAnsi="仿宋_GB2312" w:eastAsia="仿宋_GB2312"/>
          <w:b w:val="0"/>
          <w:w w:val="97"/>
          <w:sz w:val="32"/>
        </w:rPr>
        <w:t>2,036.16万元，结余分配0.00万元，年末结转和结余0.00万元。</w:t>
      </w:r>
    </w:p>
    <w:p w14:paraId="04C7D168">
      <w:pPr>
        <w:spacing w:line="580" w:lineRule="exact"/>
        <w:ind w:firstLine="640"/>
        <w:jc w:val="both"/>
      </w:pPr>
      <w:r>
        <w:rPr>
          <w:rFonts w:ascii="仿宋_GB2312" w:hAnsi="仿宋_GB2312" w:eastAsia="仿宋_GB2312"/>
          <w:b w:val="0"/>
          <w:sz w:val="32"/>
        </w:rPr>
        <w:t>收入支出总体与上年相比，增加1,164.31万元，增长133.54%，主要原因是：本年机构改革，原特克斯县卫生健康综合监督执法局撤销，合并至特克斯县疾病预防控制中心，人员增加，在职人员工资调增，社保、公积金基数调增，人员经费增加；增加特克斯县疾病预防控制中心能力提升建设项目、中央医疗服务与保障能力提升项目，基本公共卫生服务补助资金、重大传染病防控经费，导致经费较上年增加。</w:t>
      </w:r>
    </w:p>
    <w:p w14:paraId="60F12E89">
      <w:pPr>
        <w:spacing w:line="640" w:lineRule="exact"/>
        <w:ind w:firstLine="640"/>
        <w:jc w:val="both"/>
        <w:outlineLvl w:val="2"/>
      </w:pPr>
      <w:r>
        <w:rPr>
          <w:rFonts w:ascii="黑体" w:hAnsi="黑体" w:eastAsia="黑体"/>
          <w:sz w:val="32"/>
        </w:rPr>
        <w:t>二、收入决算情况说明</w:t>
      </w:r>
    </w:p>
    <w:p w14:paraId="5640926F">
      <w:pPr>
        <w:spacing w:line="580" w:lineRule="exact"/>
        <w:ind w:firstLine="640"/>
        <w:jc w:val="both"/>
      </w:pPr>
      <w:r>
        <w:rPr>
          <w:rFonts w:ascii="仿宋_GB2312" w:hAnsi="仿宋_GB2312" w:eastAsia="仿宋_GB2312"/>
          <w:b/>
          <w:sz w:val="32"/>
        </w:rPr>
        <w:t>本年收入2,036.16万元，</w:t>
      </w:r>
      <w:r>
        <w:rPr>
          <w:rFonts w:ascii="仿宋_GB2312" w:hAnsi="仿宋_GB2312" w:eastAsia="仿宋_GB2312"/>
          <w:b w:val="0"/>
          <w:sz w:val="32"/>
        </w:rPr>
        <w:t>其中：财政拨款收入1,973.64万元，占96.93%；上级补助收入0.00万元，占0.00%；事业收入62.53万元，占3.07%；经营收入0.00万元，占0.00%；附属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20DB13F5">
      <w:pPr>
        <w:spacing w:line="640" w:lineRule="exact"/>
        <w:ind w:firstLine="640"/>
        <w:jc w:val="both"/>
        <w:outlineLvl w:val="2"/>
      </w:pPr>
      <w:r>
        <w:rPr>
          <w:rFonts w:ascii="黑体" w:hAnsi="黑体" w:eastAsia="黑体"/>
          <w:sz w:val="32"/>
        </w:rPr>
        <w:t>三、支出决算情况说明</w:t>
      </w:r>
    </w:p>
    <w:p w14:paraId="16E62D32">
      <w:pPr>
        <w:spacing w:line="580" w:lineRule="exact"/>
        <w:ind w:firstLine="640"/>
        <w:jc w:val="both"/>
      </w:pPr>
      <w:r>
        <w:rPr>
          <w:rFonts w:ascii="仿宋_GB2312" w:hAnsi="仿宋_GB2312" w:eastAsia="仿宋_GB2312"/>
          <w:b/>
          <w:sz w:val="32"/>
        </w:rPr>
        <w:t>本年支出2,036.16万元，</w:t>
      </w:r>
      <w:r>
        <w:rPr>
          <w:rFonts w:ascii="仿宋_GB2312" w:hAnsi="仿宋_GB2312" w:eastAsia="仿宋_GB2312"/>
          <w:b w:val="0"/>
          <w:sz w:val="32"/>
        </w:rPr>
        <w:t>其中：基本支出629.15万元，占30.90%；项目支出1,407.01万元，占69.10%；上缴上级支出0.00万元，占0.00%；经营支出0.00万元，占0.00%；对附属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1993C86A">
      <w:pPr>
        <w:spacing w:line="640" w:lineRule="exact"/>
        <w:ind w:firstLine="640"/>
        <w:jc w:val="both"/>
        <w:outlineLvl w:val="2"/>
      </w:pPr>
      <w:r>
        <w:rPr>
          <w:rFonts w:ascii="黑体" w:hAnsi="黑体" w:eastAsia="黑体"/>
          <w:sz w:val="32"/>
        </w:rPr>
        <w:t>四、财政拨款收入支出决算总体情况说明</w:t>
      </w:r>
    </w:p>
    <w:p w14:paraId="0EA72C94">
      <w:pPr>
        <w:spacing w:line="580" w:lineRule="exact"/>
        <w:ind w:firstLine="640"/>
        <w:jc w:val="both"/>
      </w:pPr>
      <w:r>
        <w:rPr>
          <w:rFonts w:ascii="仿宋_GB2312" w:hAnsi="仿宋_GB2312" w:eastAsia="仿宋_GB2312"/>
          <w:b/>
          <w:sz w:val="32"/>
        </w:rPr>
        <w:t>2024年度财政拨款收入总计1,973.64万元，</w:t>
      </w:r>
      <w:r>
        <w:rPr>
          <w:rFonts w:ascii="仿宋_GB2312" w:hAnsi="仿宋_GB2312" w:eastAsia="仿宋_GB2312"/>
          <w:b w:val="0"/>
          <w:sz w:val="32"/>
        </w:rPr>
        <w:t>其中：年初财政拨款结转和结余0.00万元，本年财政拨款收入1,973.64万元。</w:t>
      </w:r>
      <w:r>
        <w:rPr>
          <w:rFonts w:ascii="仿宋_GB2312" w:hAnsi="仿宋_GB2312" w:eastAsia="仿宋_GB2312"/>
          <w:b/>
          <w:sz w:val="32"/>
        </w:rPr>
        <w:t>财政拨款支出总计1,973.64万元，</w:t>
      </w:r>
      <w:r>
        <w:rPr>
          <w:rFonts w:ascii="仿宋_GB2312" w:hAnsi="仿宋_GB2312" w:eastAsia="仿宋_GB2312"/>
          <w:b w:val="0"/>
          <w:sz w:val="32"/>
        </w:rPr>
        <w:t>其中：年末财政拨款结转和结余0.00万元，本年财政拨款支出1,973.64万元。</w:t>
      </w:r>
    </w:p>
    <w:p w14:paraId="298F49AE">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1,178.60万元，增长148.24%，主要原因是：本年机构改革，原特克斯县卫生健康综合监督执法局撤销，合并至特克斯县疾病预防控制中心，人员增加，在职人员工资调增，社保、公积金基数调增，人员经费增加；增加特克斯县疾病预防控制中心能力提升建设项目、中央医疗服务与保障能力提升项目，基本公共卫生服务补助资金、重大传染病防控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859.76万元，决算数1,973.64万元，预决算差异率129.56%，主要原因是：本年机构改革，原特克斯县卫生健康综合监督执法局撤销，合并至特克斯县疾病预防控制中心，人员增加，年中追加人员经费及人员工资、社保、公积金基数调增部分资金，年中追加特克斯县疾病预防控制中心能力提升建设项目，导致预决算差异。</w:t>
      </w:r>
    </w:p>
    <w:p w14:paraId="1C66FB99">
      <w:pPr>
        <w:spacing w:line="640" w:lineRule="exact"/>
        <w:ind w:firstLine="640"/>
        <w:jc w:val="both"/>
        <w:outlineLvl w:val="2"/>
      </w:pPr>
      <w:r>
        <w:rPr>
          <w:rFonts w:ascii="黑体" w:hAnsi="黑体" w:eastAsia="黑体"/>
          <w:sz w:val="32"/>
        </w:rPr>
        <w:t>五、一般公共预算财政拨款支出决算情况说明</w:t>
      </w:r>
    </w:p>
    <w:p w14:paraId="33241758">
      <w:pPr>
        <w:spacing w:line="640" w:lineRule="exact"/>
        <w:ind w:firstLine="640"/>
        <w:jc w:val="both"/>
        <w:outlineLvl w:val="3"/>
      </w:pPr>
      <w:r>
        <w:rPr>
          <w:rFonts w:ascii="楷体_GB2312" w:hAnsi="楷体_GB2312" w:eastAsia="楷体_GB2312"/>
          <w:b/>
          <w:sz w:val="32"/>
        </w:rPr>
        <w:t>（一）一般公共预算财政拨款支出决算总体情况</w:t>
      </w:r>
    </w:p>
    <w:p w14:paraId="28AF7058">
      <w:pPr>
        <w:spacing w:line="580" w:lineRule="exact"/>
        <w:ind w:firstLine="640"/>
        <w:jc w:val="both"/>
      </w:pPr>
      <w:r>
        <w:rPr>
          <w:rFonts w:ascii="仿宋_GB2312" w:hAnsi="仿宋_GB2312" w:eastAsia="仿宋_GB2312"/>
          <w:b/>
          <w:sz w:val="32"/>
        </w:rPr>
        <w:t>2024年度一般公共预算财政拨款支出1,973.64万元，</w:t>
      </w:r>
      <w:r>
        <w:rPr>
          <w:rFonts w:ascii="仿宋_GB2312" w:hAnsi="仿宋_GB2312" w:eastAsia="仿宋_GB2312"/>
          <w:b w:val="0"/>
          <w:sz w:val="32"/>
        </w:rPr>
        <w:t>占本年支出合计的96.93%。</w:t>
      </w:r>
      <w:r>
        <w:rPr>
          <w:rFonts w:ascii="仿宋_GB2312" w:hAnsi="仿宋_GB2312" w:eastAsia="仿宋_GB2312"/>
          <w:b/>
          <w:sz w:val="32"/>
        </w:rPr>
        <w:t>与上年相比，</w:t>
      </w:r>
      <w:r>
        <w:rPr>
          <w:rFonts w:ascii="仿宋_GB2312" w:hAnsi="仿宋_GB2312" w:eastAsia="仿宋_GB2312"/>
          <w:b w:val="0"/>
          <w:sz w:val="32"/>
        </w:rPr>
        <w:t>增加1,178.60万元，增长148.24%，主要原因是：本年机构改革，原特克斯县卫生健康综合监督执法局撤销，合并至特克斯县疾病预防控制中心，人员增加，在职人员工资调增，社保、公积金基数调增，人员经费增加；增加特克斯县疾病预防控制中心能力提升建设项目、中央医疗服务与保障能力提升项目，基本公共卫生服务补助资金、重大传染病防控经费，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859.76万元，决算数1,973.64万元，预决算差异率129.56%，主要原因是：本年机构改革，原特克斯县卫生健康综合监督执法局撤销，合并至特克斯县疾病预防控制中心，人员增加，年中追加人员经费及人员工资、社保、公积金基数调增部分资金，年中追加特克斯县疾病预防控制中心能力提升建设项目，导致预决算差异。</w:t>
      </w:r>
    </w:p>
    <w:p w14:paraId="3017B1CC">
      <w:pPr>
        <w:spacing w:line="640" w:lineRule="exact"/>
        <w:ind w:firstLine="640"/>
        <w:jc w:val="both"/>
        <w:outlineLvl w:val="3"/>
      </w:pPr>
      <w:r>
        <w:rPr>
          <w:rFonts w:ascii="楷体_GB2312" w:hAnsi="楷体_GB2312" w:eastAsia="楷体_GB2312"/>
          <w:b/>
          <w:sz w:val="32"/>
        </w:rPr>
        <w:t>（二）一般公共预算财政拨款支出决算结构情况</w:t>
      </w:r>
    </w:p>
    <w:p w14:paraId="7E1A2069">
      <w:pPr>
        <w:spacing w:line="580" w:lineRule="exact"/>
        <w:ind w:firstLine="640"/>
        <w:jc w:val="both"/>
      </w:pPr>
      <w:r>
        <w:rPr>
          <w:rFonts w:ascii="仿宋_GB2312" w:hAnsi="仿宋_GB2312" w:eastAsia="仿宋_GB2312"/>
          <w:b w:val="0"/>
          <w:sz w:val="32"/>
        </w:rPr>
        <w:t>1.一般公共服务支出(类)1.46万元,占0.07%。</w:t>
      </w:r>
    </w:p>
    <w:p w14:paraId="33084AF8">
      <w:pPr>
        <w:spacing w:line="580" w:lineRule="exact"/>
        <w:ind w:firstLine="640"/>
        <w:jc w:val="both"/>
      </w:pPr>
      <w:r>
        <w:rPr>
          <w:rFonts w:ascii="仿宋_GB2312" w:hAnsi="仿宋_GB2312" w:eastAsia="仿宋_GB2312"/>
          <w:b w:val="0"/>
          <w:sz w:val="32"/>
        </w:rPr>
        <w:t>2.社会保障和就业支出(类)94.05万元,占4.77%。</w:t>
      </w:r>
    </w:p>
    <w:p w14:paraId="00C682A8">
      <w:pPr>
        <w:spacing w:line="580" w:lineRule="exact"/>
        <w:ind w:firstLine="640"/>
        <w:jc w:val="both"/>
      </w:pPr>
      <w:r>
        <w:rPr>
          <w:rFonts w:ascii="仿宋_GB2312" w:hAnsi="仿宋_GB2312" w:eastAsia="仿宋_GB2312"/>
          <w:b w:val="0"/>
          <w:sz w:val="32"/>
        </w:rPr>
        <w:t>3.卫生健康支出(类)1,832.33万元,占92.84%。</w:t>
      </w:r>
    </w:p>
    <w:p w14:paraId="281A6B9D">
      <w:pPr>
        <w:spacing w:line="580" w:lineRule="exact"/>
        <w:ind w:firstLine="640"/>
        <w:jc w:val="both"/>
      </w:pPr>
      <w:r>
        <w:rPr>
          <w:rFonts w:ascii="仿宋_GB2312" w:hAnsi="仿宋_GB2312" w:eastAsia="仿宋_GB2312"/>
          <w:b w:val="0"/>
          <w:sz w:val="32"/>
        </w:rPr>
        <w:t>4.住房保障支出(类)45.79万元,占2.32%。</w:t>
      </w:r>
    </w:p>
    <w:p w14:paraId="0BE3C852">
      <w:pPr>
        <w:spacing w:line="640" w:lineRule="exact"/>
        <w:ind w:firstLine="640"/>
        <w:jc w:val="both"/>
        <w:outlineLvl w:val="3"/>
      </w:pPr>
      <w:r>
        <w:rPr>
          <w:rFonts w:ascii="楷体_GB2312" w:hAnsi="楷体_GB2312" w:eastAsia="楷体_GB2312"/>
          <w:b/>
          <w:sz w:val="32"/>
        </w:rPr>
        <w:t>（三）一般公共预算财政拨款支出决算具体情况</w:t>
      </w:r>
    </w:p>
    <w:p w14:paraId="02E1D3ED">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1.46万元，比上年决算增加1.46万元，增长100.00%,主要原因是：本年机构改革，原特克斯县卫生健康综合监督执法局撤销，合并至特克斯县疾病预防控制中心，人员增加，相关人员经费较上年有所增加。</w:t>
      </w:r>
    </w:p>
    <w:p w14:paraId="31DC4784">
      <w:pPr>
        <w:spacing w:line="580" w:lineRule="exact"/>
        <w:ind w:firstLine="640"/>
        <w:jc w:val="both"/>
      </w:pPr>
      <w:r>
        <w:rPr>
          <w:rFonts w:ascii="仿宋_GB2312" w:hAnsi="仿宋_GB2312" w:eastAsia="仿宋_GB2312"/>
          <w:b w:val="0"/>
          <w:sz w:val="32"/>
        </w:rPr>
        <w:t>2.社会保障和就业支出(类)行政事业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基本养老保险缴费支出(项):支出决算数为57.25万元，比上年决算增加8.02万元，增长16.29%,主要原因是：本年机构改革，原特克斯县卫生健康综合监督执法局撤销，合并至特克斯县疾病预防控制中心，人员增加，</w:t>
      </w:r>
      <w:r>
        <w:rPr>
          <w:rFonts w:hint="eastAsia" w:ascii="仿宋_GB2312" w:hAnsi="仿宋_GB2312" w:eastAsia="仿宋_GB2312"/>
          <w:b w:val="0"/>
          <w:sz w:val="32"/>
          <w:lang w:val="en-US" w:eastAsia="zh-CN"/>
        </w:rPr>
        <w:t>人员工资调增</w:t>
      </w:r>
      <w:r>
        <w:rPr>
          <w:rFonts w:ascii="仿宋_GB2312" w:hAnsi="仿宋_GB2312" w:eastAsia="仿宋_GB2312"/>
          <w:b w:val="0"/>
          <w:sz w:val="32"/>
        </w:rPr>
        <w:t>，养老保险</w:t>
      </w:r>
      <w:r>
        <w:rPr>
          <w:rFonts w:hint="eastAsia" w:ascii="仿宋_GB2312" w:hAnsi="仿宋_GB2312" w:eastAsia="仿宋_GB2312"/>
          <w:b w:val="0"/>
          <w:sz w:val="32"/>
          <w:lang w:val="en-US" w:eastAsia="zh-CN"/>
        </w:rPr>
        <w:t>缴费支出</w:t>
      </w:r>
      <w:r>
        <w:rPr>
          <w:rFonts w:ascii="仿宋_GB2312" w:hAnsi="仿宋_GB2312" w:eastAsia="仿宋_GB2312"/>
          <w:b w:val="0"/>
          <w:sz w:val="32"/>
        </w:rPr>
        <w:t>增加。</w:t>
      </w:r>
    </w:p>
    <w:p w14:paraId="0D131A0A">
      <w:pPr>
        <w:spacing w:line="580" w:lineRule="exact"/>
        <w:ind w:firstLine="640"/>
        <w:jc w:val="both"/>
      </w:pPr>
      <w:r>
        <w:rPr>
          <w:rFonts w:ascii="仿宋_GB2312" w:hAnsi="仿宋_GB2312" w:eastAsia="仿宋_GB2312"/>
          <w:b w:val="0"/>
          <w:sz w:val="32"/>
        </w:rPr>
        <w:t>3.社会保障和就业支出(类)行政事业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职业年金缴费支出(项):支出决算数为12.92万元，比上年决算增加7.81万元，增长152.84%,主要原因是：本年新增退休人员，职业年金缴费支出增加。</w:t>
      </w:r>
    </w:p>
    <w:p w14:paraId="3B2686F3">
      <w:pPr>
        <w:spacing w:line="580" w:lineRule="exact"/>
        <w:ind w:firstLine="640"/>
        <w:jc w:val="both"/>
      </w:pPr>
      <w:r>
        <w:rPr>
          <w:rFonts w:ascii="仿宋_GB2312" w:hAnsi="仿宋_GB2312" w:eastAsia="仿宋_GB2312"/>
          <w:b w:val="0"/>
          <w:sz w:val="32"/>
        </w:rPr>
        <w:t>4.社会保障和就业支出(类)抚恤(款)死亡抚恤(项):支出决算数为23.88万元，比上年决算增加9.92万元，增长71.06%,主要原因是：本年新增死亡人员较上年增加，死亡抚恤支出增加。</w:t>
      </w:r>
    </w:p>
    <w:p w14:paraId="32140ECC">
      <w:pPr>
        <w:spacing w:line="580" w:lineRule="exact"/>
        <w:ind w:firstLine="640"/>
        <w:jc w:val="both"/>
      </w:pPr>
      <w:r>
        <w:rPr>
          <w:rFonts w:ascii="仿宋_GB2312" w:hAnsi="仿宋_GB2312" w:eastAsia="仿宋_GB2312"/>
          <w:b w:val="0"/>
          <w:sz w:val="32"/>
        </w:rPr>
        <w:t>5.卫生健康支出(类)卫生健康管理事务(款)其他卫生健康管理事务支出(项):支出决算数为2.00万元，比上年决算增加2.00万元，增长100.00%,主要原因是：本年增加中央医疗服务与保障能力提升项目，相应支出增加。</w:t>
      </w:r>
    </w:p>
    <w:p w14:paraId="6AA047AF">
      <w:pPr>
        <w:spacing w:line="580" w:lineRule="exact"/>
        <w:ind w:firstLine="640"/>
        <w:jc w:val="both"/>
      </w:pPr>
      <w:r>
        <w:rPr>
          <w:rFonts w:ascii="仿宋_GB2312" w:hAnsi="仿宋_GB2312" w:eastAsia="仿宋_GB2312"/>
          <w:b w:val="0"/>
          <w:sz w:val="32"/>
        </w:rPr>
        <w:t>6.卫生健康支出(类)公共卫生(款)疾病预防控制机构(项):支出决算数为463.23万元，比上年决算增加39.64万元，增长9.36%,主要原因是：本年机构改革，原特克斯县卫生健康综合监督执法局撤销，合并至特克斯县疾病预防控制中心，人员增加，人员工资调增，人员经费增加。</w:t>
      </w:r>
    </w:p>
    <w:p w14:paraId="5E487055">
      <w:pPr>
        <w:spacing w:line="580" w:lineRule="exact"/>
        <w:ind w:firstLine="640"/>
        <w:jc w:val="both"/>
      </w:pPr>
      <w:r>
        <w:rPr>
          <w:rFonts w:ascii="仿宋_GB2312" w:hAnsi="仿宋_GB2312" w:eastAsia="仿宋_GB2312"/>
          <w:b w:val="0"/>
          <w:sz w:val="32"/>
        </w:rPr>
        <w:t>7.卫生健康支出(类)公共卫生(款)基本公共卫生服务(项):支出决算数为136.50万元，比上年决算增加8.33万元，增长6.50%,主要原因是：本年基本公共卫生服务补助资金较上年增加。</w:t>
      </w:r>
    </w:p>
    <w:p w14:paraId="25128A92">
      <w:pPr>
        <w:spacing w:line="580" w:lineRule="exact"/>
        <w:ind w:firstLine="640"/>
        <w:jc w:val="both"/>
      </w:pPr>
      <w:r>
        <w:rPr>
          <w:rFonts w:ascii="仿宋_GB2312" w:hAnsi="仿宋_GB2312" w:eastAsia="仿宋_GB2312"/>
          <w:b w:val="0"/>
          <w:sz w:val="32"/>
        </w:rPr>
        <w:t>8.卫生健康支出(类)公共卫生(款)重大公共卫生服务(项):支出决算数为205.50万元，比上年决算增加137.99万元，增长204.40%,主要原因是：本年重大传染病防控经费较上年增加。</w:t>
      </w:r>
    </w:p>
    <w:p w14:paraId="7187462B">
      <w:pPr>
        <w:spacing w:line="580" w:lineRule="exact"/>
        <w:ind w:firstLine="640"/>
        <w:jc w:val="both"/>
      </w:pPr>
      <w:r>
        <w:rPr>
          <w:rFonts w:ascii="仿宋_GB2312" w:hAnsi="仿宋_GB2312" w:eastAsia="仿宋_GB2312"/>
          <w:b w:val="0"/>
          <w:sz w:val="32"/>
        </w:rPr>
        <w:t>9.卫生健康支出(类)公共卫生(款)突发公共卫生事件应急处置(项):支出决算数为1,000.48万元，比上年决算增加954.99万元，增长2,099.34%,主要原因是：本年增加新增特克斯县疾病预防控制中心能力提升建设项目，相应支出增加。</w:t>
      </w:r>
    </w:p>
    <w:p w14:paraId="590A6590">
      <w:pPr>
        <w:spacing w:line="580" w:lineRule="exact"/>
        <w:ind w:firstLine="640"/>
        <w:jc w:val="both"/>
      </w:pPr>
      <w:r>
        <w:rPr>
          <w:rFonts w:ascii="仿宋_GB2312" w:hAnsi="仿宋_GB2312" w:eastAsia="仿宋_GB2312"/>
          <w:b w:val="0"/>
          <w:sz w:val="32"/>
        </w:rPr>
        <w:t>10.卫生健康支出(类)行政事业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24.15万元，比上年决算增加1.67万元，增长7.43%,主要原因是：本年机构改革，原特克斯县卫生健康综合监督执法局撤销，合并至特克斯县疾病预防控制中心，人员增加，在职人员工资基数调增，</w:t>
      </w:r>
      <w:r>
        <w:rPr>
          <w:rFonts w:hint="eastAsia" w:ascii="仿宋_GB2312" w:hAnsi="仿宋_GB2312" w:eastAsia="仿宋_GB2312"/>
          <w:b w:val="0"/>
          <w:sz w:val="32"/>
          <w:lang w:val="en-US" w:eastAsia="zh-CN"/>
        </w:rPr>
        <w:t>单位医疗</w:t>
      </w:r>
      <w:r>
        <w:rPr>
          <w:rFonts w:ascii="仿宋_GB2312" w:hAnsi="仿宋_GB2312" w:eastAsia="仿宋_GB2312"/>
          <w:b w:val="0"/>
          <w:sz w:val="32"/>
        </w:rPr>
        <w:t>缴费基数上涨，相应支出增加。</w:t>
      </w:r>
    </w:p>
    <w:p w14:paraId="4F963C18">
      <w:pPr>
        <w:spacing w:line="580" w:lineRule="exact"/>
        <w:ind w:firstLine="640"/>
        <w:jc w:val="both"/>
      </w:pPr>
      <w:r>
        <w:rPr>
          <w:rFonts w:ascii="仿宋_GB2312" w:hAnsi="仿宋_GB2312" w:eastAsia="仿宋_GB2312"/>
          <w:b w:val="0"/>
          <w:sz w:val="32"/>
        </w:rPr>
        <w:t>11.卫生健康支出(类)行政事业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0.05万元，比上年决算增加0.05万元，增长100.00%,主要原因是：本年机构改革，原特克斯县卫生健康综合监督执法局撤销，合并至特克斯县疾病预防控制中心，人员增加，公务员医疗补助支出增加。</w:t>
      </w:r>
    </w:p>
    <w:p w14:paraId="1CDD1F73">
      <w:pPr>
        <w:spacing w:line="580" w:lineRule="exact"/>
        <w:ind w:firstLine="640"/>
        <w:jc w:val="both"/>
      </w:pPr>
      <w:r>
        <w:rPr>
          <w:rFonts w:ascii="仿宋_GB2312" w:hAnsi="仿宋_GB2312" w:eastAsia="仿宋_GB2312"/>
          <w:b w:val="0"/>
          <w:sz w:val="32"/>
        </w:rPr>
        <w:t>12.卫生健康支出(类)行政事业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医疗支出(项):支出决算数为0.41万元，比上年决算减少0.26万元，下降38.81%,主要原因是：因退休人员医疗保险制度改革，退休人员基本医疗不再由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49E0FF4C">
      <w:pPr>
        <w:spacing w:line="580" w:lineRule="exact"/>
        <w:ind w:firstLine="640"/>
        <w:jc w:val="both"/>
      </w:pPr>
      <w:r>
        <w:rPr>
          <w:rFonts w:ascii="仿宋_GB2312" w:hAnsi="仿宋_GB2312" w:eastAsia="仿宋_GB2312"/>
          <w:b w:val="0"/>
          <w:sz w:val="32"/>
        </w:rPr>
        <w:t>13.住房保障支出(类)住房改革支出(款)住房公积金(项):支出决算数为45.79万元，比上年决算增加6.95万元，增长17.89%,主要原因是：本年机构改革，原特克斯县卫生健康综合监督执法局撤销，合并至特克斯县疾病预防控制中心，人员增加，在职人员工资基数调增，公积金缴费基数上涨，相应支出增加。</w:t>
      </w:r>
    </w:p>
    <w:p w14:paraId="25F951B5">
      <w:pPr>
        <w:spacing w:line="640" w:lineRule="exact"/>
        <w:ind w:firstLine="640"/>
        <w:jc w:val="both"/>
        <w:outlineLvl w:val="2"/>
      </w:pPr>
      <w:r>
        <w:rPr>
          <w:rFonts w:ascii="黑体" w:hAnsi="黑体" w:eastAsia="黑体"/>
          <w:sz w:val="32"/>
        </w:rPr>
        <w:t>六、一般公共预算财政拨款基本支出决算情况说明</w:t>
      </w:r>
    </w:p>
    <w:p w14:paraId="11D75238">
      <w:pPr>
        <w:spacing w:line="580" w:lineRule="exact"/>
        <w:ind w:firstLine="640"/>
        <w:jc w:val="both"/>
      </w:pPr>
      <w:r>
        <w:rPr>
          <w:rFonts w:ascii="仿宋_GB2312" w:hAnsi="仿宋_GB2312" w:eastAsia="仿宋_GB2312"/>
          <w:b w:val="0"/>
          <w:sz w:val="32"/>
        </w:rPr>
        <w:t>2024年度一般公共预算财政拨款基本支出629.15万元，其中：</w:t>
      </w:r>
      <w:r>
        <w:rPr>
          <w:rFonts w:ascii="仿宋_GB2312" w:hAnsi="仿宋_GB2312" w:eastAsia="仿宋_GB2312"/>
          <w:b/>
          <w:sz w:val="32"/>
        </w:rPr>
        <w:t>人员经费618.56万元，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基本养老保险缴费、职业年金缴费、职工基本医疗保险缴费、公务员医疗补助缴费、其他社会保障缴费、住房公积金、退休费、抚恤金。</w:t>
      </w:r>
    </w:p>
    <w:p w14:paraId="1E0F23C3">
      <w:pPr>
        <w:spacing w:line="580" w:lineRule="exact"/>
        <w:ind w:firstLine="640"/>
        <w:jc w:val="both"/>
      </w:pPr>
      <w:r>
        <w:rPr>
          <w:rFonts w:ascii="仿宋_GB2312" w:hAnsi="仿宋_GB2312" w:eastAsia="仿宋_GB2312"/>
          <w:b/>
          <w:sz w:val="32"/>
        </w:rPr>
        <w:t>公用经费10.59万元，</w:t>
      </w:r>
      <w:r>
        <w:rPr>
          <w:rFonts w:ascii="仿宋_GB2312" w:hAnsi="仿宋_GB2312" w:eastAsia="仿宋_GB2312"/>
          <w:b w:val="0"/>
          <w:sz w:val="32"/>
        </w:rPr>
        <w:t>包括：取暖费、工会经费、公务用车运行维护费。</w:t>
      </w:r>
    </w:p>
    <w:p w14:paraId="430A3954">
      <w:pPr>
        <w:spacing w:line="640" w:lineRule="exact"/>
        <w:ind w:firstLine="640"/>
        <w:jc w:val="both"/>
        <w:outlineLvl w:val="2"/>
      </w:pPr>
      <w:r>
        <w:rPr>
          <w:rFonts w:ascii="黑体" w:hAnsi="黑体" w:eastAsia="黑体"/>
          <w:sz w:val="32"/>
        </w:rPr>
        <w:t>七、政府性基金预算财政拨款收入支出决算情况说明</w:t>
      </w:r>
    </w:p>
    <w:p w14:paraId="3D7AF7D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706323F7">
      <w:pPr>
        <w:spacing w:line="640" w:lineRule="exact"/>
        <w:ind w:firstLine="640"/>
        <w:jc w:val="both"/>
        <w:outlineLvl w:val="2"/>
      </w:pPr>
      <w:r>
        <w:rPr>
          <w:rFonts w:ascii="黑体" w:hAnsi="黑体" w:eastAsia="黑体"/>
          <w:sz w:val="32"/>
        </w:rPr>
        <w:t>八、国有资本经营预算财政拨款收入支出决算情况说明</w:t>
      </w:r>
    </w:p>
    <w:p w14:paraId="4659D885">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79AAAF36">
      <w:pPr>
        <w:spacing w:line="640" w:lineRule="exact"/>
        <w:ind w:firstLine="640"/>
        <w:jc w:val="both"/>
        <w:outlineLvl w:val="2"/>
      </w:pPr>
      <w:r>
        <w:rPr>
          <w:rFonts w:ascii="黑体" w:hAnsi="黑体" w:eastAsia="黑体"/>
          <w:sz w:val="32"/>
        </w:rPr>
        <w:t>九、财政拨款“三公”经费支出决算情况说明</w:t>
      </w:r>
    </w:p>
    <w:p w14:paraId="0CA4E8C7">
      <w:pPr>
        <w:spacing w:line="580" w:lineRule="exact"/>
        <w:ind w:firstLine="640"/>
        <w:jc w:val="both"/>
      </w:pPr>
      <w:r>
        <w:rPr>
          <w:rFonts w:ascii="仿宋_GB2312" w:hAnsi="仿宋_GB2312" w:eastAsia="仿宋_GB2312"/>
          <w:b/>
          <w:sz w:val="32"/>
        </w:rPr>
        <w:t>2024年度财政拨款“三公”经费支出5.79万元，</w:t>
      </w:r>
      <w:r>
        <w:rPr>
          <w:rFonts w:ascii="仿宋_GB2312" w:hAnsi="仿宋_GB2312" w:eastAsia="仿宋_GB2312"/>
          <w:b w:val="0"/>
          <w:sz w:val="32"/>
        </w:rPr>
        <w:t>比上年增加5.52万元，增长2,044.44%，主要原因是：本年因特克斯县卫生健康综合监督执法局机构合并至本</w:t>
      </w:r>
      <w:r>
        <w:rPr>
          <w:rFonts w:hint="eastAsia" w:ascii="仿宋_GB2312" w:hAnsi="仿宋_GB2312" w:eastAsia="仿宋_GB2312"/>
          <w:b w:val="0"/>
          <w:sz w:val="32"/>
          <w:lang w:eastAsia="zh-CN"/>
        </w:rPr>
        <w:t>单位</w:t>
      </w:r>
      <w:r>
        <w:rPr>
          <w:rFonts w:ascii="仿宋_GB2312" w:hAnsi="仿宋_GB2312" w:eastAsia="仿宋_GB2312"/>
          <w:b w:val="0"/>
          <w:sz w:val="32"/>
        </w:rPr>
        <w:t>，车辆并入本</w:t>
      </w:r>
      <w:r>
        <w:rPr>
          <w:rFonts w:hint="eastAsia" w:ascii="仿宋_GB2312" w:hAnsi="仿宋_GB2312" w:eastAsia="仿宋_GB2312"/>
          <w:b w:val="0"/>
          <w:sz w:val="32"/>
          <w:lang w:eastAsia="zh-CN"/>
        </w:rPr>
        <w:t>单位</w:t>
      </w:r>
      <w:r>
        <w:rPr>
          <w:rFonts w:ascii="仿宋_GB2312" w:hAnsi="仿宋_GB2312" w:eastAsia="仿宋_GB2312"/>
          <w:b w:val="0"/>
          <w:sz w:val="32"/>
        </w:rPr>
        <w:t>，公务用车运行费增加。其中：因公出国（境）费支出0.00万元，占0.00%，比上年增加0.00万元，增长0.00%，主要原因是：2023年与2024年均未安排因公出国（境）费支出。公务用车购置及运行维护费支出5.79万元，占100.00%，比上年增加5.52万元，增长2,044.44%，主要原因是：本年因特克斯县卫生健康综合监督执法局机构合并至本</w:t>
      </w:r>
      <w:r>
        <w:rPr>
          <w:rFonts w:hint="eastAsia" w:ascii="仿宋_GB2312" w:hAnsi="仿宋_GB2312" w:eastAsia="仿宋_GB2312"/>
          <w:b w:val="0"/>
          <w:sz w:val="32"/>
          <w:lang w:eastAsia="zh-CN"/>
        </w:rPr>
        <w:t>单位</w:t>
      </w:r>
      <w:r>
        <w:rPr>
          <w:rFonts w:ascii="仿宋_GB2312" w:hAnsi="仿宋_GB2312" w:eastAsia="仿宋_GB2312"/>
          <w:b w:val="0"/>
          <w:sz w:val="32"/>
        </w:rPr>
        <w:t>，车辆并入本</w:t>
      </w:r>
      <w:r>
        <w:rPr>
          <w:rFonts w:hint="eastAsia" w:ascii="仿宋_GB2312" w:hAnsi="仿宋_GB2312" w:eastAsia="仿宋_GB2312"/>
          <w:b w:val="0"/>
          <w:sz w:val="32"/>
          <w:lang w:eastAsia="zh-CN"/>
        </w:rPr>
        <w:t>单位</w:t>
      </w:r>
      <w:r>
        <w:rPr>
          <w:rFonts w:ascii="仿宋_GB2312" w:hAnsi="仿宋_GB2312" w:eastAsia="仿宋_GB2312"/>
          <w:b w:val="0"/>
          <w:sz w:val="32"/>
        </w:rPr>
        <w:t>，公务用车运行费增加。公务接待费支出0.00万元，占0.00%，比上年增加0.00万元，增长0.00%，主要原因是：2023年与2024年均未安排公务接待费支出。</w:t>
      </w:r>
    </w:p>
    <w:p w14:paraId="64B72B0D">
      <w:pPr>
        <w:spacing w:line="580" w:lineRule="exact"/>
        <w:ind w:firstLine="640"/>
        <w:jc w:val="both"/>
      </w:pPr>
      <w:r>
        <w:rPr>
          <w:rFonts w:ascii="仿宋_GB2312" w:hAnsi="仿宋_GB2312" w:eastAsia="仿宋_GB2312"/>
          <w:b/>
          <w:sz w:val="32"/>
        </w:rPr>
        <w:t>具体情况如下：</w:t>
      </w:r>
    </w:p>
    <w:p w14:paraId="6E6B89DC">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07457877">
      <w:pPr>
        <w:spacing w:line="580" w:lineRule="exact"/>
        <w:ind w:firstLine="640"/>
        <w:jc w:val="both"/>
      </w:pPr>
      <w:r>
        <w:rPr>
          <w:rFonts w:ascii="仿宋_GB2312" w:hAnsi="仿宋_GB2312" w:eastAsia="仿宋_GB2312"/>
          <w:b w:val="0"/>
          <w:sz w:val="32"/>
        </w:rPr>
        <w:t>公务用车购置及运行维护费5.79万元，其中：公务用车购置费0.00万元，公务用车运行维护费5.79万元。公务用车运行维护费开支内容包括车辆燃油费、保险费。公务用车购置数0辆，公务用车保有量7辆。国有资产占用情况中固定资产车辆7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5FB08945">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6E10FB13">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5.79万元，决算数5.79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5.79万元，决算数5.79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6640013B">
      <w:pPr>
        <w:spacing w:line="640" w:lineRule="exact"/>
        <w:ind w:firstLine="640"/>
        <w:jc w:val="both"/>
        <w:outlineLvl w:val="2"/>
      </w:pPr>
      <w:r>
        <w:rPr>
          <w:rFonts w:ascii="黑体" w:hAnsi="黑体" w:eastAsia="黑体"/>
          <w:sz w:val="32"/>
        </w:rPr>
        <w:t>十、其他重要事项的情况说明</w:t>
      </w:r>
    </w:p>
    <w:p w14:paraId="152EC8D3">
      <w:pPr>
        <w:spacing w:line="640" w:lineRule="exact"/>
        <w:ind w:firstLine="640"/>
        <w:jc w:val="both"/>
        <w:outlineLvl w:val="3"/>
      </w:pPr>
      <w:r>
        <w:rPr>
          <w:rFonts w:ascii="楷体_GB2312" w:hAnsi="楷体_GB2312" w:eastAsia="楷体_GB2312"/>
          <w:b/>
          <w:sz w:val="32"/>
        </w:rPr>
        <w:t>（一）机关运行经费及公用经费支出情况</w:t>
      </w:r>
    </w:p>
    <w:p w14:paraId="510E6C48">
      <w:pPr>
        <w:spacing w:line="580" w:lineRule="exact"/>
        <w:ind w:firstLine="640"/>
        <w:jc w:val="both"/>
      </w:pPr>
      <w:r>
        <w:rPr>
          <w:rFonts w:ascii="仿宋_GB2312" w:hAnsi="仿宋_GB2312" w:eastAsia="仿宋_GB2312"/>
          <w:b w:val="0"/>
          <w:sz w:val="32"/>
        </w:rPr>
        <w:t>2024年度特克斯县疾病预防控制中心（事业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）公用经费支出10.59万元，比上年减少3.00万元，下降22.08%，主要原因是：严控经费支出，厉行节约，减少经费支出。</w:t>
      </w:r>
    </w:p>
    <w:p w14:paraId="04989A9F">
      <w:pPr>
        <w:spacing w:line="640" w:lineRule="exact"/>
        <w:ind w:firstLine="640"/>
        <w:jc w:val="both"/>
        <w:outlineLvl w:val="3"/>
      </w:pPr>
      <w:r>
        <w:rPr>
          <w:rFonts w:ascii="楷体_GB2312" w:hAnsi="楷体_GB2312" w:eastAsia="楷体_GB2312"/>
          <w:b/>
          <w:sz w:val="32"/>
        </w:rPr>
        <w:t>（二）政府采购情况</w:t>
      </w:r>
    </w:p>
    <w:p w14:paraId="4B545E80">
      <w:pPr>
        <w:spacing w:line="580" w:lineRule="exact"/>
        <w:ind w:firstLine="640"/>
        <w:jc w:val="both"/>
      </w:pPr>
      <w:r>
        <w:rPr>
          <w:rFonts w:ascii="仿宋_GB2312" w:hAnsi="仿宋_GB2312" w:eastAsia="仿宋_GB2312"/>
          <w:b w:val="0"/>
          <w:sz w:val="32"/>
        </w:rPr>
        <w:t>2024年度政府采购支出总额93.71万元，其中：政府采购货物支出79.48万元、政府采购工程支出0.00万元、政府采购服务支出14.23万元。</w:t>
      </w:r>
    </w:p>
    <w:p w14:paraId="7F3B991E">
      <w:pPr>
        <w:spacing w:line="580" w:lineRule="exact"/>
        <w:ind w:firstLine="640"/>
        <w:jc w:val="both"/>
      </w:pPr>
      <w:r>
        <w:rPr>
          <w:rFonts w:ascii="仿宋_GB2312" w:hAnsi="仿宋_GB2312" w:eastAsia="仿宋_GB2312"/>
          <w:b w:val="0"/>
          <w:sz w:val="32"/>
        </w:rPr>
        <w:t>授予中小企业合同金额93.71万元，占政府采购支出总额的100.00%，其中：授予小微企业合同金额93.71万元，占政府采购支出总额的100.00%。</w:t>
      </w:r>
    </w:p>
    <w:p w14:paraId="5C0F6BF3">
      <w:pPr>
        <w:spacing w:line="640" w:lineRule="exact"/>
        <w:ind w:firstLine="640"/>
        <w:jc w:val="both"/>
        <w:outlineLvl w:val="3"/>
      </w:pPr>
      <w:r>
        <w:rPr>
          <w:rFonts w:ascii="楷体_GB2312" w:hAnsi="楷体_GB2312" w:eastAsia="楷体_GB2312"/>
          <w:b/>
          <w:sz w:val="32"/>
        </w:rPr>
        <w:t>（三）国有资产占用情况说明</w:t>
      </w:r>
    </w:p>
    <w:p w14:paraId="23A2CE7D">
      <w:pPr>
        <w:spacing w:line="580" w:lineRule="exact"/>
        <w:ind w:firstLine="640"/>
        <w:jc w:val="both"/>
      </w:pPr>
      <w:r>
        <w:rPr>
          <w:rFonts w:ascii="仿宋_GB2312" w:hAnsi="仿宋_GB2312" w:eastAsia="仿宋_GB2312"/>
          <w:b w:val="0"/>
          <w:sz w:val="32"/>
        </w:rPr>
        <w:t>截至2024年12月31日，房屋5,068.30平方米，价值1,382.89万元。车辆7辆，价值121.45万元，其中：副部（省）级及以上领导用车0辆、主要负责人用车0辆、机要通信用车0辆、应急保障用车0辆、执法执勤用车1辆、特种专业技术用车2辆、离退休干部服务用车0辆、其他用车4辆，其他用车主要是：一般公务用车2辆，疫苗运输车2辆。单价100万元（含）以上设备（不含车辆）2台（套）。</w:t>
      </w:r>
    </w:p>
    <w:p w14:paraId="5E262DE9">
      <w:pPr>
        <w:spacing w:line="640" w:lineRule="exact"/>
        <w:ind w:firstLine="640"/>
        <w:jc w:val="both"/>
        <w:outlineLvl w:val="2"/>
      </w:pPr>
      <w:r>
        <w:rPr>
          <w:rFonts w:ascii="黑体" w:hAnsi="黑体" w:eastAsia="黑体"/>
          <w:sz w:val="32"/>
        </w:rPr>
        <w:t>十一、预算绩效的情况说明</w:t>
      </w:r>
    </w:p>
    <w:p w14:paraId="4CA94C6F">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2,036.16万元，实际执行总额2,036.16万元；预算绩效评价项目5个，全年预算数434.66万元，全年执行数422.96万元。预算绩效管理取得的成效：一是建立健全绩效管理工作机制；二是抓好绩效目标机制；三是探索绩效跟踪监控；四是深入开展支出绩效评价。发现的问题及原因：一是资金使用效益有待进一步提高。虽然设立了项目及资金绩效目标，但使用时间进度不够明确、细化和量化。二是预算绩效管理水平仍有欠缺。在预算绩效管理工作中，存在“重投入轻管理、重支出轻绩效”的情况，对全面实施预算绩效管理的要求认识还不到位，项目申报、实施等环节与预算绩效管理各个环节联系不够紧密。下一步改进措施：一是严格资金管理，规范使用经费，加强新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会计制度和新预算法学习培训、规范账务处理，加强新《中华人民共和国预算法</w:t>
      </w:r>
      <w:r>
        <w:rPr>
          <w:rFonts w:hint="eastAsia" w:ascii="仿宋_GB2312" w:hAnsi="仿宋_GB2312" w:eastAsia="仿宋_GB2312"/>
          <w:b w:val="0"/>
          <w:sz w:val="32"/>
          <w:lang w:eastAsia="zh-CN"/>
        </w:rPr>
        <w:t>》《</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会计制度</w:t>
      </w:r>
      <w:r>
        <w:rPr>
          <w:rFonts w:hint="eastAsia" w:ascii="仿宋_GB2312" w:hAnsi="仿宋_GB2312" w:eastAsia="仿宋_GB2312"/>
          <w:b w:val="0"/>
          <w:sz w:val="32"/>
          <w:lang w:eastAsia="zh-CN"/>
        </w:rPr>
        <w:t>》《中华人民共和国会计法》《</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财务规则》等学习培训,规范部门预算收支核算强化综合预算，强化合理合法使用项目资金，让项目资金真正落到实处，</w:t>
      </w:r>
      <w:r>
        <w:rPr>
          <w:rFonts w:hint="eastAsia" w:ascii="仿宋_GB2312" w:hAnsi="仿宋_GB2312" w:eastAsia="仿宋_GB2312"/>
          <w:b w:val="0"/>
          <w:sz w:val="32"/>
          <w:lang w:eastAsia="zh-CN"/>
        </w:rPr>
        <w:t>使</w:t>
      </w:r>
      <w:r>
        <w:rPr>
          <w:rFonts w:ascii="仿宋_GB2312" w:hAnsi="仿宋_GB2312" w:eastAsia="仿宋_GB2312"/>
          <w:b w:val="0"/>
          <w:sz w:val="32"/>
        </w:rPr>
        <w:t>项目资金合理分配，严格绩效考核，突出实施质量，实施效果。二是扩大绩效工作培训范围，将业务科室纳入资金绩效评价工作培训中。三是做好项目资金预算，加强对业务科室资金使用通报频率，督促业务科室推进项目开展、推进项目资金高效使用。具体附整体支出绩效自评表，项目支出绩效自评表和评价报告。</w:t>
      </w:r>
    </w:p>
    <w:p w14:paraId="286F1672">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472"/>
        <w:gridCol w:w="738"/>
        <w:gridCol w:w="1105"/>
        <w:gridCol w:w="1105"/>
      </w:tblGrid>
      <w:tr w14:paraId="3F9D802D">
        <w:tblPrEx>
          <w:tblCellMar>
            <w:top w:w="0" w:type="dxa"/>
            <w:left w:w="108" w:type="dxa"/>
            <w:bottom w:w="0" w:type="dxa"/>
            <w:right w:w="108" w:type="dxa"/>
          </w:tblCellMar>
        </w:tblPrEx>
        <w:tc>
          <w:tcPr>
            <w:tcW w:w="8840" w:type="dxa"/>
            <w:gridSpan w:val="8"/>
            <w:vAlign w:val="center"/>
          </w:tcPr>
          <w:p w14:paraId="2F6FF646">
            <w:pPr>
              <w:jc w:val="center"/>
            </w:pPr>
            <w:r>
              <w:rPr>
                <w:rFonts w:hint="eastAsia" w:ascii="宋体" w:hAnsi="宋体"/>
                <w:sz w:val="24"/>
                <w:lang w:eastAsia="zh-CN"/>
              </w:rPr>
              <w:t>单位</w:t>
            </w:r>
            <w:r>
              <w:rPr>
                <w:rFonts w:ascii="宋体" w:hAnsi="宋体" w:eastAsia="宋体"/>
                <w:sz w:val="24"/>
              </w:rPr>
              <w:t>整体支出绩效自评表</w:t>
            </w:r>
          </w:p>
        </w:tc>
      </w:tr>
      <w:tr w14:paraId="4A621081">
        <w:tblPrEx>
          <w:tblCellMar>
            <w:top w:w="0" w:type="dxa"/>
            <w:left w:w="108" w:type="dxa"/>
            <w:bottom w:w="0" w:type="dxa"/>
            <w:right w:w="108" w:type="dxa"/>
          </w:tblCellMar>
        </w:tblPrEx>
        <w:tc>
          <w:tcPr>
            <w:tcW w:w="8840" w:type="dxa"/>
            <w:gridSpan w:val="8"/>
            <w:vAlign w:val="center"/>
          </w:tcPr>
          <w:p w14:paraId="005FEE18">
            <w:pPr>
              <w:jc w:val="center"/>
            </w:pPr>
            <w:r>
              <w:rPr>
                <w:rFonts w:ascii="宋体" w:hAnsi="宋体" w:eastAsia="宋体"/>
                <w:sz w:val="24"/>
              </w:rPr>
              <w:t>（2024年度）</w:t>
            </w:r>
          </w:p>
        </w:tc>
      </w:tr>
      <w:tr w14:paraId="231847DB">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5D0F44">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0CCA024">
            <w:pPr>
              <w:jc w:val="center"/>
            </w:pPr>
            <w:r>
              <w:rPr>
                <w:rFonts w:ascii="宋体" w:hAnsi="宋体" w:eastAsia="宋体"/>
                <w:sz w:val="16"/>
              </w:rPr>
              <w:t>特克斯县疾病预防控制中心</w:t>
            </w:r>
          </w:p>
        </w:tc>
      </w:tr>
      <w:tr w14:paraId="48A1B943">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E327D6">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C83443">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25BA15">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509C535">
            <w:pPr>
              <w:jc w:val="center"/>
            </w:pPr>
            <w:r>
              <w:rPr>
                <w:rFonts w:ascii="宋体" w:hAnsi="宋体" w:eastAsia="宋体"/>
                <w:sz w:val="16"/>
              </w:rPr>
              <w:t>全年预算数</w:t>
            </w:r>
          </w:p>
        </w:tc>
        <w:tc>
          <w:tcPr>
            <w:tcW w:w="1472" w:type="dxa"/>
            <w:tcBorders>
              <w:top w:val="single" w:color="auto" w:sz="10" w:space="0"/>
              <w:left w:val="single" w:color="auto" w:sz="10" w:space="0"/>
              <w:bottom w:val="single" w:color="auto" w:sz="10" w:space="0"/>
              <w:right w:val="single" w:color="auto" w:sz="10" w:space="0"/>
              <w:insideV w:val="single" w:sz="10" w:space="0"/>
            </w:tcBorders>
            <w:vAlign w:val="center"/>
          </w:tcPr>
          <w:p w14:paraId="79042ECB">
            <w:pPr>
              <w:jc w:val="center"/>
            </w:pPr>
            <w:r>
              <w:rPr>
                <w:rFonts w:ascii="宋体" w:hAnsi="宋体" w:eastAsia="宋体"/>
                <w:sz w:val="16"/>
              </w:rPr>
              <w:t>全年执行数</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423CFAA3">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910F3E">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2260532">
            <w:pPr>
              <w:jc w:val="center"/>
            </w:pPr>
            <w:r>
              <w:rPr>
                <w:rFonts w:ascii="宋体" w:hAnsi="宋体" w:eastAsia="宋体"/>
                <w:sz w:val="16"/>
              </w:rPr>
              <w:t>得分</w:t>
            </w:r>
          </w:p>
        </w:tc>
      </w:tr>
      <w:tr w14:paraId="268363A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A76407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EE5944">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73E185">
            <w:pPr>
              <w:jc w:val="center"/>
            </w:pPr>
            <w:r>
              <w:rPr>
                <w:rFonts w:ascii="宋体" w:hAnsi="宋体" w:eastAsia="宋体"/>
                <w:sz w:val="16"/>
              </w:rPr>
              <w:t>916.06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4D9CC3B">
            <w:pPr>
              <w:jc w:val="center"/>
            </w:pPr>
            <w:r>
              <w:rPr>
                <w:rFonts w:ascii="宋体" w:hAnsi="宋体" w:eastAsia="宋体"/>
                <w:sz w:val="16"/>
              </w:rPr>
              <w:t>2,036.16</w:t>
            </w:r>
          </w:p>
        </w:tc>
        <w:tc>
          <w:tcPr>
            <w:tcW w:w="1472" w:type="dxa"/>
            <w:tcBorders>
              <w:top w:val="single" w:color="auto" w:sz="10" w:space="0"/>
              <w:left w:val="single" w:color="auto" w:sz="10" w:space="0"/>
              <w:bottom w:val="single" w:color="auto" w:sz="10" w:space="0"/>
              <w:right w:val="single" w:color="auto" w:sz="10" w:space="0"/>
              <w:insideV w:val="single" w:sz="10" w:space="0"/>
            </w:tcBorders>
            <w:vAlign w:val="center"/>
          </w:tcPr>
          <w:p w14:paraId="4E14DD2A">
            <w:pPr>
              <w:jc w:val="center"/>
            </w:pPr>
            <w:r>
              <w:rPr>
                <w:rFonts w:ascii="宋体" w:hAnsi="宋体" w:eastAsia="宋体"/>
                <w:sz w:val="16"/>
              </w:rPr>
              <w:t>2,036.16</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769A3515">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3B99D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213A3E">
            <w:pPr>
              <w:jc w:val="center"/>
            </w:pPr>
            <w:r>
              <w:rPr>
                <w:rFonts w:ascii="宋体" w:hAnsi="宋体" w:eastAsia="宋体"/>
                <w:sz w:val="16"/>
              </w:rPr>
              <w:t>10</w:t>
            </w:r>
          </w:p>
        </w:tc>
      </w:tr>
      <w:tr w14:paraId="1D960D3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07C13E"/>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34179C9">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E2326F">
            <w:pPr>
              <w:jc w:val="center"/>
            </w:pPr>
            <w:r>
              <w:rPr>
                <w:rFonts w:ascii="宋体" w:hAnsi="宋体" w:eastAsia="宋体"/>
                <w:sz w:val="16"/>
              </w:rPr>
              <w:t>291.45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A7E4EC">
            <w:pPr>
              <w:jc w:val="center"/>
            </w:pPr>
            <w:r>
              <w:rPr>
                <w:rFonts w:ascii="宋体" w:hAnsi="宋体" w:eastAsia="宋体"/>
                <w:sz w:val="16"/>
              </w:rPr>
              <w:t>344.00</w:t>
            </w:r>
          </w:p>
        </w:tc>
        <w:tc>
          <w:tcPr>
            <w:tcW w:w="1472" w:type="dxa"/>
            <w:tcBorders>
              <w:top w:val="single" w:color="auto" w:sz="10" w:space="0"/>
              <w:left w:val="single" w:color="auto" w:sz="10" w:space="0"/>
              <w:bottom w:val="single" w:color="auto" w:sz="10" w:space="0"/>
              <w:right w:val="single" w:color="auto" w:sz="10" w:space="0"/>
              <w:insideV w:val="single" w:sz="10" w:space="0"/>
            </w:tcBorders>
            <w:vAlign w:val="center"/>
          </w:tcPr>
          <w:p w14:paraId="5B05EC84">
            <w:pPr>
              <w:jc w:val="center"/>
            </w:pPr>
            <w:r>
              <w:rPr>
                <w:rFonts w:ascii="宋体" w:hAnsi="宋体" w:eastAsia="宋体"/>
                <w:sz w:val="16"/>
              </w:rPr>
              <w:t>344.00</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26228D7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66D51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821025">
            <w:pPr>
              <w:jc w:val="center"/>
            </w:pPr>
            <w:r>
              <w:rPr>
                <w:rFonts w:ascii="宋体" w:hAnsi="宋体" w:eastAsia="宋体"/>
                <w:sz w:val="16"/>
              </w:rPr>
              <w:t>-</w:t>
            </w:r>
          </w:p>
        </w:tc>
      </w:tr>
      <w:tr w14:paraId="0465D50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ED5631B"/>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677DD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50930CA">
            <w:pPr>
              <w:jc w:val="center"/>
            </w:pPr>
            <w:r>
              <w:rPr>
                <w:rFonts w:ascii="宋体" w:hAnsi="宋体" w:eastAsia="宋体"/>
                <w:sz w:val="16"/>
              </w:rPr>
              <w:t>550.16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C5B877">
            <w:pPr>
              <w:jc w:val="center"/>
            </w:pPr>
            <w:r>
              <w:rPr>
                <w:rFonts w:ascii="宋体" w:hAnsi="宋体" w:eastAsia="宋体"/>
                <w:sz w:val="16"/>
              </w:rPr>
              <w:t>1,629.63</w:t>
            </w:r>
          </w:p>
        </w:tc>
        <w:tc>
          <w:tcPr>
            <w:tcW w:w="1472" w:type="dxa"/>
            <w:tcBorders>
              <w:top w:val="single" w:color="auto" w:sz="10" w:space="0"/>
              <w:left w:val="single" w:color="auto" w:sz="10" w:space="0"/>
              <w:bottom w:val="single" w:color="auto" w:sz="10" w:space="0"/>
              <w:right w:val="single" w:color="auto" w:sz="10" w:space="0"/>
              <w:insideV w:val="single" w:sz="10" w:space="0"/>
            </w:tcBorders>
            <w:vAlign w:val="center"/>
          </w:tcPr>
          <w:p w14:paraId="388BE8A2">
            <w:pPr>
              <w:jc w:val="center"/>
            </w:pPr>
            <w:r>
              <w:rPr>
                <w:rFonts w:ascii="宋体" w:hAnsi="宋体" w:eastAsia="宋体"/>
                <w:sz w:val="16"/>
              </w:rPr>
              <w:t>1,629.63</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05A7E8E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D286F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1C3AAD">
            <w:pPr>
              <w:jc w:val="center"/>
            </w:pPr>
            <w:r>
              <w:rPr>
                <w:rFonts w:ascii="宋体" w:hAnsi="宋体" w:eastAsia="宋体"/>
                <w:sz w:val="16"/>
              </w:rPr>
              <w:t>-</w:t>
            </w:r>
          </w:p>
        </w:tc>
      </w:tr>
      <w:tr w14:paraId="7B91E2D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9E6F3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59B45D6">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5D143A">
            <w:pPr>
              <w:jc w:val="center"/>
            </w:pPr>
            <w:r>
              <w:rPr>
                <w:rFonts w:ascii="宋体" w:hAnsi="宋体" w:eastAsia="宋体"/>
                <w:sz w:val="16"/>
              </w:rPr>
              <w:t>74.45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AE0BEF9">
            <w:pPr>
              <w:jc w:val="center"/>
            </w:pPr>
            <w:r>
              <w:rPr>
                <w:rFonts w:ascii="宋体" w:hAnsi="宋体" w:eastAsia="宋体"/>
                <w:sz w:val="16"/>
              </w:rPr>
              <w:t>62.53</w:t>
            </w:r>
          </w:p>
        </w:tc>
        <w:tc>
          <w:tcPr>
            <w:tcW w:w="1472" w:type="dxa"/>
            <w:tcBorders>
              <w:top w:val="single" w:color="auto" w:sz="10" w:space="0"/>
              <w:left w:val="single" w:color="auto" w:sz="10" w:space="0"/>
              <w:bottom w:val="single" w:color="auto" w:sz="10" w:space="0"/>
              <w:right w:val="single" w:color="auto" w:sz="10" w:space="0"/>
              <w:insideV w:val="single" w:sz="10" w:space="0"/>
            </w:tcBorders>
            <w:vAlign w:val="center"/>
          </w:tcPr>
          <w:p w14:paraId="0C003342">
            <w:pPr>
              <w:jc w:val="center"/>
            </w:pPr>
            <w:r>
              <w:rPr>
                <w:rFonts w:ascii="宋体" w:hAnsi="宋体" w:eastAsia="宋体"/>
                <w:sz w:val="16"/>
              </w:rPr>
              <w:t>62.53</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2AE2757A">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C9B73A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D57498">
            <w:pPr>
              <w:jc w:val="center"/>
            </w:pPr>
            <w:r>
              <w:rPr>
                <w:rFonts w:ascii="宋体" w:hAnsi="宋体" w:eastAsia="宋体"/>
                <w:sz w:val="16"/>
              </w:rPr>
              <w:t>-</w:t>
            </w:r>
          </w:p>
        </w:tc>
      </w:tr>
      <w:tr w14:paraId="4CD76331">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FA2DF95">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9151A9">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AEDA4B">
            <w:pPr>
              <w:jc w:val="center"/>
            </w:pPr>
            <w:r>
              <w:rPr>
                <w:rFonts w:ascii="宋体" w:hAnsi="宋体" w:eastAsia="宋体"/>
                <w:sz w:val="16"/>
              </w:rPr>
              <w:t>实际完成情况</w:t>
            </w:r>
          </w:p>
        </w:tc>
      </w:tr>
      <w:tr w14:paraId="3A3D7F50">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11EE4C3"/>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CB42B7">
            <w:pPr>
              <w:jc w:val="both"/>
            </w:pPr>
            <w:r>
              <w:rPr>
                <w:rFonts w:ascii="宋体" w:hAnsi="宋体" w:eastAsia="宋体"/>
                <w:sz w:val="16"/>
              </w:rPr>
              <w:t>贯彻落实自治区专项补助资金项目实施方案、特克斯县国民经济和社会发展第十四个五年规划和2023年远景目标纲。要全面推进疾病预防控制体系建设。一是传染病、寄生虫病、地方病、非传染性疾病等预防与控制；二是突发公共卫生事件与灾害YQ应急处置；三是YQ及健康相关因素信息管理，开展疾病监测，收集、分析和评价疾病与健康危害因素等公共卫生信息；四是健康危害因素的监测与干预，开展食源性、职业性、放射性、环境性等疾病的监测评价和流行病学调查；五是疾病病原生物检测、鉴定和物理、化学因子检测、评价；六是健康教育与健康促进，对公众进行健康指导和不良健康行为干预。</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0A4F2AC">
            <w:pPr>
              <w:jc w:val="both"/>
            </w:pPr>
            <w:r>
              <w:rPr>
                <w:rFonts w:ascii="宋体" w:hAnsi="宋体" w:eastAsia="宋体"/>
                <w:sz w:val="16"/>
              </w:rPr>
              <w:t>完成碘缺乏病监测任务完成人数300人、适龄儿童国家免疫规划疫苗接种人数19000人、肺结核病患者健康管理人数113人、地方性氟中毒监测任务数50人，有效降低传染病发病率和死亡率，消除或接近消除传染病，提高了治疗效果，降低耐药性风险。</w:t>
            </w:r>
          </w:p>
        </w:tc>
      </w:tr>
      <w:tr w14:paraId="3DE44286">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728B5D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8FA34F">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FA2664">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49C361">
            <w:pPr>
              <w:jc w:val="center"/>
            </w:pPr>
            <w:r>
              <w:rPr>
                <w:rFonts w:ascii="宋体" w:hAnsi="宋体" w:eastAsia="宋体"/>
                <w:sz w:val="16"/>
              </w:rPr>
              <w:t>预期指标值</w:t>
            </w:r>
          </w:p>
        </w:tc>
        <w:tc>
          <w:tcPr>
            <w:tcW w:w="1472" w:type="dxa"/>
            <w:tcBorders>
              <w:top w:val="single" w:color="auto" w:sz="10" w:space="0"/>
              <w:left w:val="single" w:color="auto" w:sz="10" w:space="0"/>
              <w:bottom w:val="single" w:color="auto" w:sz="10" w:space="0"/>
              <w:right w:val="single" w:color="auto" w:sz="10" w:space="0"/>
              <w:insideV w:val="single" w:sz="10" w:space="0"/>
            </w:tcBorders>
            <w:vAlign w:val="center"/>
          </w:tcPr>
          <w:p w14:paraId="4E4A0DAD">
            <w:pPr>
              <w:jc w:val="center"/>
            </w:pPr>
            <w:r>
              <w:rPr>
                <w:rFonts w:ascii="宋体" w:hAnsi="宋体" w:eastAsia="宋体"/>
                <w:sz w:val="16"/>
              </w:rPr>
              <w:t>指标值设定依据</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198C4D49">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B0F277">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1C2F51">
            <w:pPr>
              <w:jc w:val="center"/>
            </w:pPr>
            <w:r>
              <w:rPr>
                <w:rFonts w:ascii="宋体" w:hAnsi="宋体" w:eastAsia="宋体"/>
                <w:sz w:val="16"/>
              </w:rPr>
              <w:t>得分</w:t>
            </w:r>
          </w:p>
        </w:tc>
      </w:tr>
      <w:tr w14:paraId="14BEC52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501E0">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0FEAA0">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B245D9D">
            <w:pPr>
              <w:jc w:val="center"/>
            </w:pPr>
            <w:r>
              <w:rPr>
                <w:rFonts w:ascii="宋体" w:hAnsi="宋体" w:eastAsia="宋体"/>
                <w:sz w:val="16"/>
              </w:rPr>
              <w:t>适龄儿童国家免疫规划疫苗接种人数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FA154A">
            <w:pPr>
              <w:jc w:val="center"/>
            </w:pPr>
            <w:r>
              <w:rPr>
                <w:rFonts w:ascii="宋体" w:hAnsi="宋体" w:eastAsia="宋体"/>
                <w:sz w:val="16"/>
              </w:rPr>
              <w:t>&gt;=19000人</w:t>
            </w:r>
          </w:p>
        </w:tc>
        <w:tc>
          <w:tcPr>
            <w:tcW w:w="1472" w:type="dxa"/>
            <w:tcBorders>
              <w:top w:val="single" w:color="auto" w:sz="10" w:space="0"/>
              <w:left w:val="single" w:color="auto" w:sz="10" w:space="0"/>
              <w:bottom w:val="single" w:color="auto" w:sz="10" w:space="0"/>
              <w:right w:val="single" w:color="auto" w:sz="10" w:space="0"/>
              <w:insideV w:val="single" w:sz="10" w:space="0"/>
            </w:tcBorders>
            <w:vAlign w:val="center"/>
          </w:tcPr>
          <w:p w14:paraId="0FC729C4">
            <w:pPr>
              <w:jc w:val="center"/>
            </w:pPr>
            <w:r>
              <w:rPr>
                <w:rFonts w:ascii="宋体" w:hAnsi="宋体" w:eastAsia="宋体"/>
                <w:sz w:val="16"/>
              </w:rPr>
              <w:t>特克斯县国民经济和社会发展第十四个五年规划和2023年远景目标纲要</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16C00B4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0FCACD">
            <w:pPr>
              <w:jc w:val="center"/>
            </w:pPr>
            <w:r>
              <w:rPr>
                <w:rFonts w:ascii="宋体" w:hAnsi="宋体" w:eastAsia="宋体"/>
                <w:sz w:val="16"/>
              </w:rPr>
              <w:t>19000人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8490C31">
            <w:pPr>
              <w:jc w:val="center"/>
            </w:pPr>
            <w:r>
              <w:rPr>
                <w:rFonts w:ascii="宋体" w:hAnsi="宋体" w:eastAsia="宋体"/>
                <w:sz w:val="16"/>
              </w:rPr>
              <w:t>15</w:t>
            </w:r>
          </w:p>
        </w:tc>
      </w:tr>
      <w:tr w14:paraId="08ED65D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BC1D385"/>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A0388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A2AB22F">
            <w:pPr>
              <w:jc w:val="center"/>
            </w:pPr>
            <w:r>
              <w:rPr>
                <w:rFonts w:ascii="宋体" w:hAnsi="宋体" w:eastAsia="宋体"/>
                <w:sz w:val="16"/>
              </w:rPr>
              <w:t>肺结核病患者健康管理人数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734D8FD">
            <w:pPr>
              <w:jc w:val="center"/>
            </w:pPr>
            <w:r>
              <w:rPr>
                <w:rFonts w:ascii="宋体" w:hAnsi="宋体" w:eastAsia="宋体"/>
                <w:sz w:val="16"/>
              </w:rPr>
              <w:t>&gt;=113人</w:t>
            </w:r>
          </w:p>
        </w:tc>
        <w:tc>
          <w:tcPr>
            <w:tcW w:w="1472" w:type="dxa"/>
            <w:tcBorders>
              <w:top w:val="single" w:color="auto" w:sz="10" w:space="0"/>
              <w:left w:val="single" w:color="auto" w:sz="10" w:space="0"/>
              <w:bottom w:val="single" w:color="auto" w:sz="10" w:space="0"/>
              <w:right w:val="single" w:color="auto" w:sz="10" w:space="0"/>
              <w:insideV w:val="single" w:sz="10" w:space="0"/>
            </w:tcBorders>
            <w:vAlign w:val="center"/>
          </w:tcPr>
          <w:p w14:paraId="36A1C4D8">
            <w:pPr>
              <w:jc w:val="center"/>
            </w:pPr>
            <w:r>
              <w:rPr>
                <w:rFonts w:ascii="宋体" w:hAnsi="宋体" w:eastAsia="宋体"/>
                <w:sz w:val="16"/>
              </w:rPr>
              <w:t>特克斯县国民经济和社会发展第十四个五年规划和2023年远景目标纲要</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2062B9A8">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6C952C">
            <w:pPr>
              <w:jc w:val="center"/>
            </w:pPr>
            <w:r>
              <w:rPr>
                <w:rFonts w:ascii="宋体" w:hAnsi="宋体" w:eastAsia="宋体"/>
                <w:sz w:val="16"/>
              </w:rPr>
              <w:t>113人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D741CF">
            <w:pPr>
              <w:jc w:val="center"/>
            </w:pPr>
            <w:r>
              <w:rPr>
                <w:rFonts w:ascii="宋体" w:hAnsi="宋体" w:eastAsia="宋体"/>
                <w:sz w:val="16"/>
              </w:rPr>
              <w:t>15</w:t>
            </w:r>
          </w:p>
        </w:tc>
      </w:tr>
      <w:tr w14:paraId="15BE5C7B">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C3D0E78"/>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C6C0F0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6EA2BD4">
            <w:pPr>
              <w:jc w:val="center"/>
            </w:pPr>
            <w:r>
              <w:rPr>
                <w:rFonts w:ascii="宋体" w:hAnsi="宋体" w:eastAsia="宋体"/>
                <w:sz w:val="16"/>
              </w:rPr>
              <w:t>碘缺乏病监测任务完成人数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379353">
            <w:pPr>
              <w:jc w:val="center"/>
            </w:pPr>
            <w:r>
              <w:rPr>
                <w:rFonts w:ascii="宋体" w:hAnsi="宋体" w:eastAsia="宋体"/>
                <w:sz w:val="16"/>
              </w:rPr>
              <w:t>&gt;=300人</w:t>
            </w:r>
          </w:p>
        </w:tc>
        <w:tc>
          <w:tcPr>
            <w:tcW w:w="1472" w:type="dxa"/>
            <w:tcBorders>
              <w:top w:val="single" w:color="auto" w:sz="10" w:space="0"/>
              <w:left w:val="single" w:color="auto" w:sz="10" w:space="0"/>
              <w:bottom w:val="single" w:color="auto" w:sz="10" w:space="0"/>
              <w:right w:val="single" w:color="auto" w:sz="10" w:space="0"/>
              <w:insideV w:val="single" w:sz="10" w:space="0"/>
            </w:tcBorders>
            <w:vAlign w:val="center"/>
          </w:tcPr>
          <w:p w14:paraId="5D9812CD">
            <w:pPr>
              <w:jc w:val="center"/>
            </w:pPr>
            <w:r>
              <w:rPr>
                <w:rFonts w:ascii="宋体" w:hAnsi="宋体" w:eastAsia="宋体"/>
                <w:sz w:val="16"/>
              </w:rPr>
              <w:t>特克斯县国民经济和社会发展第十四个五年规划和2023年远景目标纲要</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666F398F">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8D1408">
            <w:pPr>
              <w:jc w:val="center"/>
            </w:pPr>
            <w:r>
              <w:rPr>
                <w:rFonts w:ascii="宋体" w:hAnsi="宋体" w:eastAsia="宋体"/>
                <w:sz w:val="16"/>
              </w:rPr>
              <w:t>300人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23B3CE">
            <w:pPr>
              <w:jc w:val="center"/>
            </w:pPr>
            <w:r>
              <w:rPr>
                <w:rFonts w:ascii="宋体" w:hAnsi="宋体" w:eastAsia="宋体"/>
                <w:sz w:val="16"/>
              </w:rPr>
              <w:t>10</w:t>
            </w:r>
          </w:p>
        </w:tc>
      </w:tr>
      <w:tr w14:paraId="4611ADE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B05CB39"/>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1867D20"/>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B838B1C">
            <w:pPr>
              <w:jc w:val="center"/>
            </w:pPr>
            <w:r>
              <w:rPr>
                <w:rFonts w:ascii="宋体" w:hAnsi="宋体" w:eastAsia="宋体"/>
                <w:sz w:val="16"/>
              </w:rPr>
              <w:t>地方性氟中毒监测任务数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6DCFDEA">
            <w:pPr>
              <w:jc w:val="center"/>
            </w:pPr>
            <w:r>
              <w:rPr>
                <w:rFonts w:ascii="宋体" w:hAnsi="宋体" w:eastAsia="宋体"/>
                <w:sz w:val="16"/>
              </w:rPr>
              <w:t>&gt;=50人</w:t>
            </w:r>
          </w:p>
        </w:tc>
        <w:tc>
          <w:tcPr>
            <w:tcW w:w="1472" w:type="dxa"/>
            <w:tcBorders>
              <w:top w:val="single" w:color="auto" w:sz="10" w:space="0"/>
              <w:left w:val="single" w:color="auto" w:sz="10" w:space="0"/>
              <w:bottom w:val="single" w:color="auto" w:sz="10" w:space="0"/>
              <w:right w:val="single" w:color="auto" w:sz="10" w:space="0"/>
              <w:insideV w:val="single" w:sz="10" w:space="0"/>
            </w:tcBorders>
            <w:vAlign w:val="center"/>
          </w:tcPr>
          <w:p w14:paraId="13FFACA5">
            <w:pPr>
              <w:jc w:val="center"/>
            </w:pPr>
            <w:r>
              <w:rPr>
                <w:rFonts w:ascii="宋体" w:hAnsi="宋体" w:eastAsia="宋体"/>
                <w:sz w:val="16"/>
              </w:rPr>
              <w:t>特克斯县国民经济和社会发展第十四个五年规划和2023年远景目标</w:t>
            </w:r>
            <w:r>
              <w:rPr>
                <w:rFonts w:hint="eastAsia" w:ascii="宋体" w:hAnsi="宋体"/>
                <w:sz w:val="16"/>
                <w:lang w:eastAsia="zh-CN"/>
              </w:rPr>
              <w:t>纲要</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4BCF1F6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7F22C8">
            <w:pPr>
              <w:jc w:val="center"/>
            </w:pPr>
            <w:r>
              <w:rPr>
                <w:rFonts w:ascii="宋体" w:hAnsi="宋体" w:eastAsia="宋体"/>
                <w:sz w:val="16"/>
              </w:rPr>
              <w:t>50人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0F3B32">
            <w:pPr>
              <w:jc w:val="center"/>
            </w:pPr>
            <w:r>
              <w:rPr>
                <w:rFonts w:ascii="宋体" w:hAnsi="宋体" w:eastAsia="宋体"/>
                <w:sz w:val="16"/>
              </w:rPr>
              <w:t>10</w:t>
            </w:r>
          </w:p>
        </w:tc>
      </w:tr>
      <w:tr w14:paraId="40436B5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D7A4B4"/>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70C9ED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43D1A1">
            <w:pPr>
              <w:jc w:val="center"/>
            </w:pPr>
            <w:r>
              <w:rPr>
                <w:rFonts w:ascii="宋体" w:hAnsi="宋体" w:eastAsia="宋体"/>
                <w:sz w:val="16"/>
              </w:rPr>
              <w:t>包虫病人群主动筛查任务完成率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9FF23A">
            <w:pPr>
              <w:jc w:val="center"/>
            </w:pPr>
            <w:r>
              <w:rPr>
                <w:rFonts w:ascii="宋体" w:hAnsi="宋体" w:eastAsia="宋体"/>
                <w:sz w:val="16"/>
              </w:rPr>
              <w:t>&gt;=85%</w:t>
            </w:r>
          </w:p>
        </w:tc>
        <w:tc>
          <w:tcPr>
            <w:tcW w:w="1472" w:type="dxa"/>
            <w:tcBorders>
              <w:top w:val="single" w:color="auto" w:sz="10" w:space="0"/>
              <w:left w:val="single" w:color="auto" w:sz="10" w:space="0"/>
              <w:bottom w:val="single" w:color="auto" w:sz="10" w:space="0"/>
              <w:right w:val="single" w:color="auto" w:sz="10" w:space="0"/>
              <w:insideV w:val="single" w:sz="10" w:space="0"/>
            </w:tcBorders>
            <w:vAlign w:val="center"/>
          </w:tcPr>
          <w:p w14:paraId="662C01FE">
            <w:pPr>
              <w:jc w:val="center"/>
            </w:pPr>
            <w:r>
              <w:rPr>
                <w:rFonts w:ascii="宋体" w:hAnsi="宋体" w:eastAsia="宋体"/>
                <w:sz w:val="16"/>
              </w:rPr>
              <w:t>特克斯县国民经济和社会发展第十四个五年规划和2023年远景目标纲要</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4884CF0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91E243">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3B72F7">
            <w:pPr>
              <w:jc w:val="center"/>
            </w:pPr>
            <w:r>
              <w:rPr>
                <w:rFonts w:ascii="宋体" w:hAnsi="宋体" w:eastAsia="宋体"/>
                <w:sz w:val="16"/>
              </w:rPr>
              <w:t>10</w:t>
            </w:r>
          </w:p>
        </w:tc>
      </w:tr>
      <w:tr w14:paraId="3E02195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8A386FD"/>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099B12">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AA5F413">
            <w:pPr>
              <w:jc w:val="center"/>
            </w:pPr>
            <w:r>
              <w:rPr>
                <w:rFonts w:ascii="宋体" w:hAnsi="宋体" w:eastAsia="宋体"/>
                <w:sz w:val="16"/>
              </w:rPr>
              <w:t>AZB抗病毒免费治疗率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FCC77C">
            <w:pPr>
              <w:jc w:val="center"/>
            </w:pPr>
            <w:r>
              <w:rPr>
                <w:rFonts w:ascii="宋体" w:hAnsi="宋体" w:eastAsia="宋体"/>
                <w:sz w:val="16"/>
              </w:rPr>
              <w:t>=100%</w:t>
            </w:r>
          </w:p>
        </w:tc>
        <w:tc>
          <w:tcPr>
            <w:tcW w:w="1472" w:type="dxa"/>
            <w:tcBorders>
              <w:top w:val="single" w:color="auto" w:sz="10" w:space="0"/>
              <w:left w:val="single" w:color="auto" w:sz="10" w:space="0"/>
              <w:bottom w:val="single" w:color="auto" w:sz="10" w:space="0"/>
              <w:right w:val="single" w:color="auto" w:sz="10" w:space="0"/>
              <w:insideV w:val="single" w:sz="10" w:space="0"/>
            </w:tcBorders>
            <w:vAlign w:val="center"/>
          </w:tcPr>
          <w:p w14:paraId="7686AE07">
            <w:pPr>
              <w:jc w:val="center"/>
            </w:pPr>
            <w:r>
              <w:rPr>
                <w:rFonts w:ascii="宋体" w:hAnsi="宋体" w:eastAsia="宋体"/>
                <w:sz w:val="16"/>
              </w:rPr>
              <w:t>特克斯县国民经济和社会发展第十四个五年规划和2023年远景目标纲要</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0043BC61">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6AC30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E57FDF">
            <w:pPr>
              <w:jc w:val="center"/>
            </w:pPr>
            <w:r>
              <w:rPr>
                <w:rFonts w:ascii="宋体" w:hAnsi="宋体" w:eastAsia="宋体"/>
                <w:sz w:val="16"/>
              </w:rPr>
              <w:t>10</w:t>
            </w:r>
          </w:p>
        </w:tc>
      </w:tr>
      <w:tr w14:paraId="4A45B84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BF25DE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7D7FE5A"/>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71D341">
            <w:pPr>
              <w:jc w:val="center"/>
            </w:pPr>
            <w:r>
              <w:rPr>
                <w:rFonts w:ascii="宋体" w:hAnsi="宋体" w:eastAsia="宋体"/>
                <w:sz w:val="16"/>
              </w:rPr>
              <w:t>病原学阳性肺结核患者耐药筛查率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8E1F9B">
            <w:pPr>
              <w:jc w:val="center"/>
            </w:pPr>
            <w:r>
              <w:rPr>
                <w:rFonts w:ascii="宋体" w:hAnsi="宋体" w:eastAsia="宋体"/>
                <w:sz w:val="16"/>
              </w:rPr>
              <w:t>&gt;=95%</w:t>
            </w:r>
          </w:p>
        </w:tc>
        <w:tc>
          <w:tcPr>
            <w:tcW w:w="1472" w:type="dxa"/>
            <w:tcBorders>
              <w:top w:val="single" w:color="auto" w:sz="10" w:space="0"/>
              <w:left w:val="single" w:color="auto" w:sz="10" w:space="0"/>
              <w:bottom w:val="single" w:color="auto" w:sz="10" w:space="0"/>
              <w:right w:val="single" w:color="auto" w:sz="10" w:space="0"/>
              <w:insideV w:val="single" w:sz="10" w:space="0"/>
            </w:tcBorders>
            <w:vAlign w:val="center"/>
          </w:tcPr>
          <w:p w14:paraId="50ACEB54">
            <w:pPr>
              <w:jc w:val="center"/>
            </w:pPr>
            <w:r>
              <w:rPr>
                <w:rFonts w:ascii="宋体" w:hAnsi="宋体" w:eastAsia="宋体"/>
                <w:sz w:val="16"/>
              </w:rPr>
              <w:t>特克斯县国民经济和社会发展第十四个五年规划和2023年远景目标</w:t>
            </w:r>
            <w:r>
              <w:rPr>
                <w:rFonts w:hint="eastAsia" w:ascii="宋体" w:hAnsi="宋体"/>
                <w:sz w:val="16"/>
                <w:lang w:eastAsia="zh-CN"/>
              </w:rPr>
              <w:t>纲要</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5F252728">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F04C62">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646A03">
            <w:pPr>
              <w:jc w:val="center"/>
            </w:pPr>
            <w:r>
              <w:rPr>
                <w:rFonts w:ascii="宋体" w:hAnsi="宋体" w:eastAsia="宋体"/>
                <w:sz w:val="16"/>
              </w:rPr>
              <w:t>10</w:t>
            </w:r>
          </w:p>
        </w:tc>
      </w:tr>
      <w:tr w14:paraId="4F782A4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338682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9FF8C6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4D7577">
            <w:pPr>
              <w:jc w:val="center"/>
            </w:pPr>
            <w:r>
              <w:rPr>
                <w:rFonts w:ascii="宋体" w:hAnsi="宋体" w:eastAsia="宋体"/>
                <w:sz w:val="16"/>
              </w:rPr>
              <w:t>传染病YQ的突发事件报告及时率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F71F03">
            <w:pPr>
              <w:jc w:val="center"/>
            </w:pPr>
            <w:r>
              <w:rPr>
                <w:rFonts w:ascii="宋体" w:hAnsi="宋体" w:eastAsia="宋体"/>
                <w:sz w:val="16"/>
              </w:rPr>
              <w:t>=100%</w:t>
            </w:r>
          </w:p>
        </w:tc>
        <w:tc>
          <w:tcPr>
            <w:tcW w:w="1472" w:type="dxa"/>
            <w:tcBorders>
              <w:top w:val="single" w:color="auto" w:sz="10" w:space="0"/>
              <w:left w:val="single" w:color="auto" w:sz="10" w:space="0"/>
              <w:bottom w:val="single" w:color="auto" w:sz="10" w:space="0"/>
              <w:right w:val="single" w:color="auto" w:sz="10" w:space="0"/>
              <w:insideV w:val="single" w:sz="10" w:space="0"/>
            </w:tcBorders>
            <w:vAlign w:val="center"/>
          </w:tcPr>
          <w:p w14:paraId="389513E5">
            <w:pPr>
              <w:jc w:val="center"/>
            </w:pPr>
            <w:r>
              <w:rPr>
                <w:rFonts w:ascii="宋体" w:hAnsi="宋体" w:eastAsia="宋体"/>
                <w:sz w:val="16"/>
              </w:rPr>
              <w:t>特克斯县国民经济和社会发展第十四个五年规划和2023年远景目标</w:t>
            </w:r>
            <w:r>
              <w:rPr>
                <w:rFonts w:hint="eastAsia" w:ascii="宋体" w:hAnsi="宋体"/>
                <w:sz w:val="16"/>
                <w:lang w:eastAsia="zh-CN"/>
              </w:rPr>
              <w:t>纲要</w:t>
            </w:r>
          </w:p>
        </w:tc>
        <w:tc>
          <w:tcPr>
            <w:tcW w:w="738" w:type="dxa"/>
            <w:tcBorders>
              <w:top w:val="single" w:color="auto" w:sz="10" w:space="0"/>
              <w:left w:val="single" w:color="auto" w:sz="10" w:space="0"/>
              <w:bottom w:val="single" w:color="auto" w:sz="10" w:space="0"/>
              <w:right w:val="single" w:color="auto" w:sz="10" w:space="0"/>
              <w:insideV w:val="single" w:sz="10" w:space="0"/>
            </w:tcBorders>
            <w:vAlign w:val="center"/>
          </w:tcPr>
          <w:p w14:paraId="67A0091C">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BFD1F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28E9E3">
            <w:pPr>
              <w:jc w:val="center"/>
            </w:pPr>
            <w:r>
              <w:rPr>
                <w:rFonts w:ascii="宋体" w:hAnsi="宋体" w:eastAsia="宋体"/>
                <w:sz w:val="16"/>
              </w:rPr>
              <w:t>10</w:t>
            </w:r>
          </w:p>
        </w:tc>
      </w:tr>
    </w:tbl>
    <w:p w14:paraId="7A4129C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34A71DEF">
        <w:tblPrEx>
          <w:tblCellMar>
            <w:top w:w="0" w:type="dxa"/>
            <w:left w:w="108" w:type="dxa"/>
            <w:bottom w:w="0" w:type="dxa"/>
            <w:right w:w="108" w:type="dxa"/>
          </w:tblCellMar>
        </w:tblPrEx>
        <w:tc>
          <w:tcPr>
            <w:tcW w:w="8848" w:type="dxa"/>
            <w:gridSpan w:val="14"/>
            <w:vAlign w:val="center"/>
          </w:tcPr>
          <w:p w14:paraId="0A9BE50D">
            <w:pPr>
              <w:jc w:val="center"/>
            </w:pPr>
            <w:r>
              <w:rPr>
                <w:rFonts w:ascii="宋体" w:hAnsi="宋体" w:eastAsia="宋体"/>
                <w:sz w:val="24"/>
              </w:rPr>
              <w:t>项目支出绩效自评表</w:t>
            </w:r>
          </w:p>
        </w:tc>
      </w:tr>
      <w:tr w14:paraId="433D6FAA">
        <w:tblPrEx>
          <w:tblCellMar>
            <w:top w:w="0" w:type="dxa"/>
            <w:left w:w="108" w:type="dxa"/>
            <w:bottom w:w="0" w:type="dxa"/>
            <w:right w:w="108" w:type="dxa"/>
          </w:tblCellMar>
        </w:tblPrEx>
        <w:tc>
          <w:tcPr>
            <w:tcW w:w="8848" w:type="dxa"/>
            <w:gridSpan w:val="14"/>
            <w:vAlign w:val="center"/>
          </w:tcPr>
          <w:p w14:paraId="3097B3BB">
            <w:pPr>
              <w:jc w:val="center"/>
            </w:pPr>
            <w:r>
              <w:rPr>
                <w:rFonts w:ascii="宋体" w:hAnsi="宋体" w:eastAsia="宋体"/>
                <w:sz w:val="24"/>
              </w:rPr>
              <w:t>(2024年度)</w:t>
            </w:r>
          </w:p>
        </w:tc>
      </w:tr>
      <w:tr w14:paraId="07E1233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F517A">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B235D1">
            <w:pPr>
              <w:jc w:val="center"/>
            </w:pPr>
            <w:r>
              <w:rPr>
                <w:rFonts w:ascii="宋体" w:hAnsi="宋体" w:eastAsia="宋体"/>
                <w:sz w:val="16"/>
              </w:rPr>
              <w:t>2021-2022年新冠</w:t>
            </w:r>
            <w:r>
              <w:rPr>
                <w:rFonts w:hint="eastAsia" w:ascii="宋体" w:hAnsi="宋体"/>
                <w:sz w:val="16"/>
                <w:lang w:eastAsia="zh-CN"/>
              </w:rPr>
              <w:t>防疫</w:t>
            </w:r>
            <w:r>
              <w:rPr>
                <w:rFonts w:ascii="宋体" w:hAnsi="宋体" w:eastAsia="宋体"/>
                <w:sz w:val="16"/>
              </w:rPr>
              <w:t>PCR生物实验室人员工资（本级）</w:t>
            </w:r>
          </w:p>
        </w:tc>
      </w:tr>
      <w:tr w14:paraId="247DE12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0AF2">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6B56B33">
            <w:pPr>
              <w:jc w:val="center"/>
            </w:pPr>
            <w:r>
              <w:rPr>
                <w:rFonts w:ascii="宋体" w:hAnsi="宋体" w:eastAsia="宋体"/>
                <w:sz w:val="16"/>
              </w:rPr>
              <w:t>特克斯县疾病预防控制中心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7D2934">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BFC2274">
            <w:pPr>
              <w:jc w:val="center"/>
            </w:pPr>
            <w:r>
              <w:rPr>
                <w:rFonts w:ascii="宋体" w:hAnsi="宋体" w:eastAsia="宋体"/>
                <w:sz w:val="16"/>
              </w:rPr>
              <w:t>特克斯县疾病预防控制中心</w:t>
            </w:r>
          </w:p>
        </w:tc>
      </w:tr>
      <w:tr w14:paraId="1908CA7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F8FF92">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23C0D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4B5BA">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0553F4">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BEFC9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A58B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ED271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DB21D">
            <w:pPr>
              <w:jc w:val="center"/>
            </w:pPr>
            <w:r>
              <w:rPr>
                <w:rFonts w:ascii="宋体" w:hAnsi="宋体" w:eastAsia="宋体"/>
                <w:sz w:val="16"/>
              </w:rPr>
              <w:t>得分</w:t>
            </w:r>
          </w:p>
        </w:tc>
      </w:tr>
      <w:tr w14:paraId="231863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A3756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122396">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F7E589">
            <w:pPr>
              <w:jc w:val="center"/>
            </w:pPr>
            <w:r>
              <w:rPr>
                <w:rFonts w:ascii="宋体" w:hAnsi="宋体" w:eastAsia="宋体"/>
                <w:sz w:val="16"/>
              </w:rPr>
              <w:t>18.16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DFE7BE">
            <w:pPr>
              <w:jc w:val="center"/>
            </w:pPr>
            <w:r>
              <w:rPr>
                <w:rFonts w:ascii="宋体" w:hAnsi="宋体" w:eastAsia="宋体"/>
                <w:sz w:val="16"/>
              </w:rPr>
              <w:t>18.16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A1CFEE">
            <w:pPr>
              <w:jc w:val="center"/>
            </w:pPr>
            <w:r>
              <w:rPr>
                <w:rFonts w:ascii="宋体" w:hAnsi="宋体" w:eastAsia="宋体"/>
                <w:sz w:val="16"/>
              </w:rPr>
              <w:t>18.16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7DBBBF">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C40F2C">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480FF">
            <w:pPr>
              <w:jc w:val="center"/>
            </w:pPr>
            <w:r>
              <w:rPr>
                <w:rFonts w:ascii="宋体" w:hAnsi="宋体" w:eastAsia="宋体"/>
                <w:sz w:val="16"/>
              </w:rPr>
              <w:t>10.00</w:t>
            </w:r>
          </w:p>
        </w:tc>
      </w:tr>
      <w:tr w14:paraId="3B912B0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1E4CD3"/>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34F9E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E087E9">
            <w:pPr>
              <w:jc w:val="center"/>
            </w:pPr>
            <w:r>
              <w:rPr>
                <w:rFonts w:ascii="宋体" w:hAnsi="宋体" w:eastAsia="宋体"/>
                <w:sz w:val="16"/>
              </w:rPr>
              <w:t>18.16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88405">
            <w:pPr>
              <w:jc w:val="center"/>
            </w:pPr>
            <w:r>
              <w:rPr>
                <w:rFonts w:ascii="宋体" w:hAnsi="宋体" w:eastAsia="宋体"/>
                <w:sz w:val="16"/>
              </w:rPr>
              <w:t>18.16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005679">
            <w:pPr>
              <w:jc w:val="center"/>
            </w:pPr>
            <w:r>
              <w:rPr>
                <w:rFonts w:ascii="宋体" w:hAnsi="宋体" w:eastAsia="宋体"/>
                <w:sz w:val="16"/>
              </w:rPr>
              <w:t>18.16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26B4F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59C17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38519A">
            <w:pPr>
              <w:jc w:val="center"/>
            </w:pPr>
            <w:r>
              <w:rPr>
                <w:rFonts w:ascii="宋体" w:hAnsi="宋体" w:eastAsia="宋体"/>
                <w:sz w:val="16"/>
              </w:rPr>
              <w:t>—</w:t>
            </w:r>
          </w:p>
        </w:tc>
      </w:tr>
      <w:tr w14:paraId="448CAE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B9F24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4FEA1E">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D7DBC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DD87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DE4009">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761109">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C504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1608E3">
            <w:pPr>
              <w:jc w:val="center"/>
            </w:pPr>
            <w:r>
              <w:rPr>
                <w:rFonts w:ascii="宋体" w:hAnsi="宋体" w:eastAsia="宋体"/>
                <w:sz w:val="16"/>
              </w:rPr>
              <w:t>—</w:t>
            </w:r>
          </w:p>
        </w:tc>
      </w:tr>
      <w:tr w14:paraId="38DE725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4EE83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CBF4443">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1F83D26">
            <w:pPr>
              <w:jc w:val="center"/>
            </w:pPr>
            <w:r>
              <w:rPr>
                <w:rFonts w:ascii="宋体" w:hAnsi="宋体" w:eastAsia="宋体"/>
                <w:sz w:val="16"/>
              </w:rPr>
              <w:t>实际完成情况</w:t>
            </w:r>
          </w:p>
        </w:tc>
      </w:tr>
      <w:tr w14:paraId="2003C2A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AEFF71"/>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37C6C5D">
            <w:pPr>
              <w:jc w:val="both"/>
            </w:pPr>
            <w:r>
              <w:rPr>
                <w:rFonts w:ascii="宋体" w:hAnsi="宋体" w:eastAsia="宋体"/>
                <w:sz w:val="16"/>
              </w:rPr>
              <w:t>为保证</w:t>
            </w:r>
            <w:r>
              <w:rPr>
                <w:rFonts w:hint="eastAsia" w:ascii="宋体" w:hAnsi="宋体"/>
                <w:sz w:val="16"/>
                <w:lang w:eastAsia="zh-CN"/>
              </w:rPr>
              <w:t>防疫</w:t>
            </w:r>
            <w:r>
              <w:rPr>
                <w:rFonts w:ascii="宋体" w:hAnsi="宋体" w:eastAsia="宋体"/>
                <w:sz w:val="16"/>
              </w:rPr>
              <w:t>防控工作顺利开展，稳定PCR生物实验室检验人员队伍，用于发放PCR生物实验室聘用人员工资。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033CB07">
            <w:pPr>
              <w:jc w:val="both"/>
            </w:pPr>
            <w:r>
              <w:rPr>
                <w:rFonts w:ascii="宋体" w:hAnsi="宋体" w:eastAsia="宋体"/>
                <w:sz w:val="16"/>
              </w:rPr>
              <w:t>按时发放PCR生物实验室聘用人员工资。</w:t>
            </w:r>
          </w:p>
        </w:tc>
      </w:tr>
      <w:tr w14:paraId="4885963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C5DB17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5074B">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02A8">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4EA84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A46EB">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6FEE2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68748">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2B7A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50F67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AE3DE9">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016B2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7818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B53478">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5EBC48">
            <w:pPr>
              <w:jc w:val="center"/>
            </w:pPr>
            <w:r>
              <w:rPr>
                <w:rFonts w:ascii="宋体" w:hAnsi="宋体" w:eastAsia="宋体"/>
                <w:sz w:val="16"/>
              </w:rPr>
              <w:t>偏差原因分析及改进措施</w:t>
            </w:r>
          </w:p>
        </w:tc>
      </w:tr>
      <w:tr w14:paraId="7FA9432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6203A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F0D7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FBFABC">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C4865A">
            <w:pPr>
              <w:jc w:val="center"/>
            </w:pPr>
            <w:r>
              <w:rPr>
                <w:rFonts w:ascii="宋体" w:hAnsi="宋体" w:eastAsia="宋体"/>
                <w:sz w:val="16"/>
              </w:rPr>
              <w:t>实验室检验人员人数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B350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C93A2">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9F680">
            <w:pPr>
              <w:jc w:val="center"/>
            </w:pPr>
            <w:r>
              <w:rPr>
                <w:rFonts w:ascii="宋体" w:hAnsi="宋体" w:eastAsia="宋体"/>
                <w:sz w:val="16"/>
              </w:rPr>
              <w:t>8人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E1C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76A3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F54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2BE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4246A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CEA2E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AD249">
            <w:pPr>
              <w:jc w:val="center"/>
            </w:pPr>
          </w:p>
        </w:tc>
      </w:tr>
      <w:tr w14:paraId="273FC6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04020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69C11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2006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18B8A">
            <w:pPr>
              <w:jc w:val="center"/>
            </w:pPr>
            <w:r>
              <w:rPr>
                <w:rFonts w:ascii="宋体" w:hAnsi="宋体" w:eastAsia="宋体"/>
                <w:sz w:val="16"/>
              </w:rPr>
              <w:t>实验室检验人员发放次数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04C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387EC1">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784E5">
            <w:pPr>
              <w:jc w:val="center"/>
            </w:pPr>
            <w:r>
              <w:rPr>
                <w:rFonts w:ascii="宋体" w:hAnsi="宋体" w:eastAsia="宋体"/>
                <w:sz w:val="16"/>
              </w:rPr>
              <w:t>7次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369D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6C00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D6461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7EB7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C53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0DC5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35A6D">
            <w:pPr>
              <w:jc w:val="center"/>
            </w:pPr>
          </w:p>
        </w:tc>
      </w:tr>
      <w:tr w14:paraId="5932E21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FD583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B3F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F7DD1">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2D0FA8">
            <w:pPr>
              <w:jc w:val="center"/>
            </w:pPr>
            <w:r>
              <w:rPr>
                <w:rFonts w:ascii="宋体" w:hAnsi="宋体" w:eastAsia="宋体"/>
                <w:sz w:val="16"/>
              </w:rPr>
              <w:t>工资发放准确率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8B8B7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43F3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9D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AD0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6C05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6BDE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03B4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CDD8C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B9E1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A5B3C9">
            <w:pPr>
              <w:jc w:val="center"/>
            </w:pPr>
          </w:p>
        </w:tc>
      </w:tr>
      <w:tr w14:paraId="1D9D4A4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51ECA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C381A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3B54F">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76F34">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59C2A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3A7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0A5B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6B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3F3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04C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93132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4B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DBDE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ED94CE">
            <w:pPr>
              <w:jc w:val="center"/>
            </w:pPr>
          </w:p>
        </w:tc>
      </w:tr>
      <w:tr w14:paraId="345328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691F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B62D7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C42FB">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8D080C">
            <w:pPr>
              <w:jc w:val="center"/>
            </w:pPr>
            <w:r>
              <w:rPr>
                <w:rFonts w:ascii="宋体" w:hAnsi="宋体" w:eastAsia="宋体"/>
                <w:sz w:val="16"/>
              </w:rPr>
              <w:t>工资人均发放标准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EE90E3">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8398C">
            <w:pPr>
              <w:jc w:val="center"/>
            </w:pPr>
            <w:r>
              <w:rPr>
                <w:rFonts w:ascii="宋体" w:hAnsi="宋体" w:eastAsia="宋体"/>
                <w:sz w:val="16"/>
              </w:rPr>
              <w:t>=3242元/月/人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6B40E">
            <w:pPr>
              <w:jc w:val="center"/>
            </w:pPr>
            <w:r>
              <w:rPr>
                <w:rFonts w:ascii="宋体" w:hAnsi="宋体" w:eastAsia="宋体"/>
                <w:sz w:val="16"/>
              </w:rPr>
              <w:t>3242元/月/人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D922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8125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B93AB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A276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D6241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09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6DF197">
            <w:pPr>
              <w:jc w:val="center"/>
            </w:pPr>
          </w:p>
        </w:tc>
      </w:tr>
      <w:tr w14:paraId="141D6C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B4220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0DDAB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80893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4E744">
            <w:pPr>
              <w:jc w:val="center"/>
            </w:pPr>
            <w:r>
              <w:rPr>
                <w:rFonts w:ascii="宋体" w:hAnsi="宋体" w:eastAsia="宋体"/>
                <w:sz w:val="16"/>
              </w:rPr>
              <w:t>保障实验室各项工作顺利进行</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EB5A9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3616A">
            <w:pPr>
              <w:jc w:val="center"/>
            </w:pPr>
            <w:r>
              <w:rPr>
                <w:rFonts w:ascii="宋体" w:hAnsi="宋体" w:eastAsia="宋体"/>
                <w:sz w:val="16"/>
              </w:rPr>
              <w:t>有效保障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CF5E76">
            <w:pPr>
              <w:jc w:val="center"/>
            </w:pPr>
            <w:r>
              <w:rPr>
                <w:rFonts w:ascii="宋体" w:hAnsi="宋体" w:eastAsia="宋体"/>
                <w:sz w:val="16"/>
              </w:rPr>
              <w:t>优质保障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EA39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9679">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638E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26A5A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A9D4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023B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3C1A15">
            <w:pPr>
              <w:jc w:val="center"/>
            </w:pPr>
          </w:p>
        </w:tc>
      </w:tr>
      <w:tr w14:paraId="30A7F1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41CD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F01F1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924C8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C98DC">
            <w:pPr>
              <w:jc w:val="center"/>
            </w:pPr>
            <w:r>
              <w:rPr>
                <w:rFonts w:ascii="宋体" w:hAnsi="宋体" w:eastAsia="宋体"/>
                <w:sz w:val="16"/>
              </w:rPr>
              <w:t>检验人员满意度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3CA2A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95CB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67A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1C42">
            <w:pPr>
              <w:jc w:val="center"/>
            </w:pPr>
            <w:r>
              <w:rPr>
                <w:rFonts w:ascii="宋体" w:hAnsi="宋体" w:eastAsia="宋体"/>
                <w:sz w:val="16"/>
              </w:rPr>
              <w:t>111.11%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F80F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2CE9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FBE9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ABDE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46D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903791">
            <w:pPr>
              <w:jc w:val="center"/>
            </w:pPr>
            <w:r>
              <w:rPr>
                <w:rFonts w:ascii="宋体" w:hAnsi="宋体" w:eastAsia="宋体"/>
                <w:sz w:val="16"/>
              </w:rPr>
              <w:t>1、偏差原因：保障实验室各项工作顺利进行，工资按时并准确发放，满意度提高，下年度从严从高设置指标。</w:t>
            </w:r>
          </w:p>
        </w:tc>
      </w:tr>
      <w:tr w14:paraId="114098E7">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7E68990">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698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B1FF3B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1787C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3DE98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F2321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FB50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6B73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55EAEC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74E50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358409"/>
        </w:tc>
      </w:tr>
    </w:tbl>
    <w:p w14:paraId="6271D71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32"/>
        <w:gridCol w:w="776"/>
        <w:gridCol w:w="632"/>
        <w:gridCol w:w="632"/>
        <w:gridCol w:w="632"/>
        <w:gridCol w:w="632"/>
        <w:gridCol w:w="632"/>
        <w:gridCol w:w="632"/>
      </w:tblGrid>
      <w:tr w14:paraId="5F103A25">
        <w:tblPrEx>
          <w:tblCellMar>
            <w:top w:w="0" w:type="dxa"/>
            <w:left w:w="108" w:type="dxa"/>
            <w:bottom w:w="0" w:type="dxa"/>
            <w:right w:w="108" w:type="dxa"/>
          </w:tblCellMar>
        </w:tblPrEx>
        <w:tc>
          <w:tcPr>
            <w:tcW w:w="8848" w:type="dxa"/>
            <w:gridSpan w:val="14"/>
            <w:vAlign w:val="center"/>
          </w:tcPr>
          <w:p w14:paraId="2B8F1BAB">
            <w:pPr>
              <w:jc w:val="center"/>
            </w:pPr>
            <w:r>
              <w:rPr>
                <w:rFonts w:ascii="宋体" w:hAnsi="宋体" w:eastAsia="宋体"/>
                <w:sz w:val="24"/>
              </w:rPr>
              <w:t>项目支出绩效自评表</w:t>
            </w:r>
          </w:p>
        </w:tc>
      </w:tr>
      <w:tr w14:paraId="478B2EBC">
        <w:tblPrEx>
          <w:tblCellMar>
            <w:top w:w="0" w:type="dxa"/>
            <w:left w:w="108" w:type="dxa"/>
            <w:bottom w:w="0" w:type="dxa"/>
            <w:right w:w="108" w:type="dxa"/>
          </w:tblCellMar>
        </w:tblPrEx>
        <w:tc>
          <w:tcPr>
            <w:tcW w:w="8848" w:type="dxa"/>
            <w:gridSpan w:val="14"/>
            <w:vAlign w:val="center"/>
          </w:tcPr>
          <w:p w14:paraId="19354CD6">
            <w:pPr>
              <w:jc w:val="center"/>
            </w:pPr>
            <w:r>
              <w:rPr>
                <w:rFonts w:ascii="宋体" w:hAnsi="宋体" w:eastAsia="宋体"/>
                <w:sz w:val="24"/>
              </w:rPr>
              <w:t>(2024年度)</w:t>
            </w:r>
          </w:p>
        </w:tc>
      </w:tr>
      <w:tr w14:paraId="6A3B065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5730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8B5E968">
            <w:pPr>
              <w:jc w:val="center"/>
            </w:pPr>
            <w:r>
              <w:rPr>
                <w:rFonts w:ascii="宋体" w:hAnsi="宋体" w:eastAsia="宋体"/>
                <w:sz w:val="16"/>
              </w:rPr>
              <w:t>2024年</w:t>
            </w:r>
            <w:r>
              <w:rPr>
                <w:rFonts w:hint="eastAsia" w:ascii="宋体" w:hAnsi="宋体"/>
                <w:sz w:val="16"/>
                <w:lang w:eastAsia="zh-CN"/>
              </w:rPr>
              <w:t>单位</w:t>
            </w:r>
            <w:r>
              <w:rPr>
                <w:rFonts w:ascii="宋体" w:hAnsi="宋体" w:eastAsia="宋体"/>
                <w:sz w:val="16"/>
              </w:rPr>
              <w:t>自有资金项目（事业收入）</w:t>
            </w:r>
          </w:p>
        </w:tc>
      </w:tr>
      <w:tr w14:paraId="3CC3CA4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CA52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78C9DED">
            <w:pPr>
              <w:jc w:val="center"/>
            </w:pPr>
            <w:r>
              <w:rPr>
                <w:rFonts w:ascii="宋体" w:hAnsi="宋体" w:eastAsia="宋体"/>
                <w:sz w:val="16"/>
              </w:rPr>
              <w:t>特克斯县疾病预防控制中心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0C364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6B15C3C">
            <w:pPr>
              <w:jc w:val="center"/>
            </w:pPr>
            <w:r>
              <w:rPr>
                <w:rFonts w:ascii="宋体" w:hAnsi="宋体" w:eastAsia="宋体"/>
                <w:sz w:val="16"/>
              </w:rPr>
              <w:t>特克斯县疾病预防控制中心</w:t>
            </w:r>
          </w:p>
        </w:tc>
      </w:tr>
      <w:tr w14:paraId="46781FD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52F3D">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D6251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4D301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A71FA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9C995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DC5BE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636AC1">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D0D1F">
            <w:pPr>
              <w:jc w:val="center"/>
            </w:pPr>
            <w:r>
              <w:rPr>
                <w:rFonts w:ascii="宋体" w:hAnsi="宋体" w:eastAsia="宋体"/>
                <w:sz w:val="16"/>
              </w:rPr>
              <w:t>得分</w:t>
            </w:r>
          </w:p>
        </w:tc>
      </w:tr>
      <w:tr w14:paraId="6F86208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81A0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230B81">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4EA25F">
            <w:pPr>
              <w:jc w:val="center"/>
            </w:pPr>
            <w:r>
              <w:rPr>
                <w:rFonts w:ascii="宋体" w:hAnsi="宋体" w:eastAsia="宋体"/>
                <w:sz w:val="16"/>
              </w:rPr>
              <w:t>74.45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155AC">
            <w:pPr>
              <w:jc w:val="center"/>
            </w:pPr>
            <w:r>
              <w:rPr>
                <w:rFonts w:ascii="宋体" w:hAnsi="宋体" w:eastAsia="宋体"/>
                <w:sz w:val="16"/>
              </w:rPr>
              <w:t>74.45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A80A09">
            <w:pPr>
              <w:jc w:val="center"/>
            </w:pPr>
            <w:r>
              <w:rPr>
                <w:rFonts w:ascii="宋体" w:hAnsi="宋体" w:eastAsia="宋体"/>
                <w:sz w:val="16"/>
              </w:rPr>
              <w:t>62.75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AD351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8CCADC">
            <w:pPr>
              <w:jc w:val="center"/>
            </w:pPr>
            <w:r>
              <w:rPr>
                <w:rFonts w:ascii="宋体" w:hAnsi="宋体" w:eastAsia="宋体"/>
                <w:sz w:val="16"/>
              </w:rPr>
              <w:t>84.28%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EA626">
            <w:pPr>
              <w:jc w:val="center"/>
            </w:pPr>
            <w:r>
              <w:rPr>
                <w:rFonts w:ascii="宋体" w:hAnsi="宋体" w:eastAsia="宋体"/>
                <w:sz w:val="16"/>
              </w:rPr>
              <w:t>6.07</w:t>
            </w:r>
          </w:p>
        </w:tc>
      </w:tr>
      <w:tr w14:paraId="78B4E1E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79C04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82CBA5">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4920E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A1616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88E10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608D4E">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01C79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1A6EFD">
            <w:pPr>
              <w:jc w:val="center"/>
            </w:pPr>
            <w:r>
              <w:rPr>
                <w:rFonts w:ascii="宋体" w:hAnsi="宋体" w:eastAsia="宋体"/>
                <w:sz w:val="16"/>
              </w:rPr>
              <w:t>—</w:t>
            </w:r>
          </w:p>
        </w:tc>
      </w:tr>
      <w:tr w14:paraId="4EECA01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EBD03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E397C">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4C93B2">
            <w:pPr>
              <w:jc w:val="center"/>
            </w:pPr>
            <w:r>
              <w:rPr>
                <w:rFonts w:ascii="宋体" w:hAnsi="宋体" w:eastAsia="宋体"/>
                <w:sz w:val="16"/>
              </w:rPr>
              <w:t>74.45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76606">
            <w:pPr>
              <w:jc w:val="center"/>
            </w:pPr>
            <w:r>
              <w:rPr>
                <w:rFonts w:ascii="宋体" w:hAnsi="宋体" w:eastAsia="宋体"/>
                <w:sz w:val="16"/>
              </w:rPr>
              <w:t>74.45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F14056">
            <w:pPr>
              <w:jc w:val="center"/>
            </w:pPr>
            <w:r>
              <w:rPr>
                <w:rFonts w:ascii="宋体" w:hAnsi="宋体" w:eastAsia="宋体"/>
                <w:sz w:val="16"/>
              </w:rPr>
              <w:t>62.75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CCB7E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52EDA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5DC458">
            <w:pPr>
              <w:jc w:val="center"/>
            </w:pPr>
            <w:r>
              <w:rPr>
                <w:rFonts w:ascii="宋体" w:hAnsi="宋体" w:eastAsia="宋体"/>
                <w:sz w:val="16"/>
              </w:rPr>
              <w:t>—</w:t>
            </w:r>
          </w:p>
        </w:tc>
      </w:tr>
      <w:tr w14:paraId="4AE22C2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2C4504">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434868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70297AC">
            <w:pPr>
              <w:jc w:val="center"/>
            </w:pPr>
            <w:r>
              <w:rPr>
                <w:rFonts w:ascii="宋体" w:hAnsi="宋体" w:eastAsia="宋体"/>
                <w:sz w:val="16"/>
              </w:rPr>
              <w:t>实际完成情况</w:t>
            </w:r>
          </w:p>
        </w:tc>
      </w:tr>
      <w:tr w14:paraId="38480CB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CF27C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8A2A99">
            <w:pPr>
              <w:jc w:val="both"/>
            </w:pPr>
            <w:r>
              <w:rPr>
                <w:rFonts w:ascii="宋体" w:hAnsi="宋体" w:eastAsia="宋体"/>
                <w:sz w:val="16"/>
              </w:rPr>
              <w:t>做好传染病、寄生虫、地方病、非传染性疾病等预防与控制；突发公共卫生事件与灾害YQ应急处置；YQ及健康相关因素信息管理，开展疾病监测、收集、分析和评价疾病与健康危害因素等公共卫生信息；健康危害因素的监测与干预，开展食源性、职业性、放射性、环境性等疾病的监测评价和流行病学调查；疾病病原生物检测、鉴定和物理、化学因子检测、评价；健康教育与健康促进，对公众进行健康指导和不良健康行为干预。</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4E4B6958">
            <w:pPr>
              <w:jc w:val="both"/>
            </w:pPr>
            <w:r>
              <w:rPr>
                <w:rFonts w:ascii="宋体" w:hAnsi="宋体" w:eastAsia="宋体"/>
                <w:sz w:val="16"/>
              </w:rPr>
              <w:br w:type="textWrapping"/>
            </w:r>
            <w:r>
              <w:rPr>
                <w:rFonts w:ascii="宋体" w:hAnsi="宋体" w:eastAsia="宋体"/>
                <w:sz w:val="16"/>
              </w:rPr>
              <w:t>疾控中心自有资金预算总收入74.45万元，1-12月主要支出包括1、人员经费支出、聘用人员工资、社会保障缴费等。2、公用经费支出涵盖办公</w:t>
            </w:r>
            <w:r>
              <w:rPr>
                <w:rFonts w:hint="eastAsia" w:ascii="宋体" w:hAnsi="宋体"/>
                <w:sz w:val="16"/>
                <w:lang w:eastAsia="zh-CN"/>
              </w:rPr>
              <w:t>费和</w:t>
            </w:r>
            <w:r>
              <w:rPr>
                <w:rFonts w:ascii="宋体" w:hAnsi="宋体" w:eastAsia="宋体"/>
                <w:sz w:val="16"/>
              </w:rPr>
              <w:t>水电费、差旅费、保障日常办公运行费。</w:t>
            </w:r>
            <w:r>
              <w:rPr>
                <w:rFonts w:hint="eastAsia" w:ascii="宋体" w:hAnsi="宋体"/>
                <w:sz w:val="16"/>
                <w:lang w:eastAsia="zh-CN"/>
              </w:rPr>
              <w:t>截至</w:t>
            </w:r>
            <w:r>
              <w:rPr>
                <w:rFonts w:ascii="宋体" w:hAnsi="宋体" w:eastAsia="宋体"/>
                <w:sz w:val="16"/>
              </w:rPr>
              <w:t>12月31日完成62.76万元支付，保障了1-12月聘用人员工资和办公运行支出。</w:t>
            </w:r>
          </w:p>
        </w:tc>
      </w:tr>
      <w:tr w14:paraId="634A36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34D211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77DDF">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A56FA">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FCE74">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0D64DE">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D1D96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1E33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E604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09A8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3ED11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6776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8C0D7">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C6CD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D8C018">
            <w:pPr>
              <w:jc w:val="center"/>
            </w:pPr>
            <w:r>
              <w:rPr>
                <w:rFonts w:ascii="宋体" w:hAnsi="宋体" w:eastAsia="宋体"/>
                <w:sz w:val="16"/>
              </w:rPr>
              <w:t>偏差原因分析及改进措施</w:t>
            </w:r>
          </w:p>
        </w:tc>
      </w:tr>
      <w:tr w14:paraId="637D674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E33B3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04E6F3">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BC9180">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F49EFD">
            <w:pPr>
              <w:jc w:val="center"/>
            </w:pPr>
            <w:r>
              <w:rPr>
                <w:rFonts w:ascii="宋体" w:hAnsi="宋体" w:eastAsia="宋体"/>
                <w:sz w:val="16"/>
              </w:rPr>
              <w:t>保障编外人员人数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C5B4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4D095">
            <w:pPr>
              <w:jc w:val="center"/>
            </w:pPr>
            <w:r>
              <w:rPr>
                <w:rFonts w:ascii="宋体" w:hAnsi="宋体" w:eastAsia="宋体"/>
                <w:sz w:val="16"/>
              </w:rPr>
              <w:t>&gt;=10人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8E453">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643C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A988A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1F63F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A6B3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CEDB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9CB31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68478B">
            <w:pPr>
              <w:jc w:val="center"/>
            </w:pPr>
          </w:p>
        </w:tc>
      </w:tr>
      <w:tr w14:paraId="765E1E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75290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31578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70621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36034D">
            <w:pPr>
              <w:jc w:val="center"/>
            </w:pPr>
            <w:r>
              <w:rPr>
                <w:rFonts w:ascii="宋体" w:hAnsi="宋体" w:eastAsia="宋体"/>
                <w:sz w:val="16"/>
              </w:rPr>
              <w:t>日常工作运转率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611FC8">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6361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1770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6142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387AC3">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90763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87BCD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FA44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8F43D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E15AA">
            <w:pPr>
              <w:jc w:val="center"/>
            </w:pPr>
          </w:p>
        </w:tc>
      </w:tr>
      <w:tr w14:paraId="4BE04F0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D68F4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B791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B20C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348E">
            <w:pPr>
              <w:jc w:val="center"/>
            </w:pPr>
            <w:r>
              <w:rPr>
                <w:rFonts w:ascii="宋体" w:hAnsi="宋体" w:eastAsia="宋体"/>
                <w:sz w:val="16"/>
              </w:rPr>
              <w:t>编外人员工资发放及时率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DE70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97F99">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821E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9741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1B346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67D26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8BBC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9D22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33F86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D4582">
            <w:pPr>
              <w:jc w:val="center"/>
            </w:pPr>
          </w:p>
        </w:tc>
      </w:tr>
      <w:tr w14:paraId="3A684B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937D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A8B09B">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C8427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7A2BC">
            <w:pPr>
              <w:jc w:val="center"/>
            </w:pPr>
            <w:r>
              <w:rPr>
                <w:rFonts w:ascii="宋体" w:hAnsi="宋体" w:eastAsia="宋体"/>
                <w:sz w:val="16"/>
              </w:rPr>
              <w:t>编外人员工资发放支出标准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44F7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DDA17">
            <w:pPr>
              <w:jc w:val="center"/>
            </w:pPr>
            <w:r>
              <w:rPr>
                <w:rFonts w:ascii="宋体" w:hAnsi="宋体" w:eastAsia="宋体"/>
                <w:sz w:val="16"/>
              </w:rPr>
              <w:t>=3.75万元/月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E2B1D6">
            <w:pPr>
              <w:jc w:val="center"/>
            </w:pPr>
            <w:r>
              <w:rPr>
                <w:rFonts w:ascii="宋体" w:hAnsi="宋体" w:eastAsia="宋体"/>
                <w:sz w:val="16"/>
              </w:rPr>
              <w:t>3.75万元/月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76D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DF2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4520F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1E7A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986C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4C61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1087F">
            <w:pPr>
              <w:jc w:val="center"/>
            </w:pPr>
          </w:p>
        </w:tc>
      </w:tr>
      <w:tr w14:paraId="4001B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E68BE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A01F6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67F9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272EC">
            <w:pPr>
              <w:jc w:val="center"/>
            </w:pPr>
            <w:r>
              <w:rPr>
                <w:rFonts w:ascii="宋体" w:hAnsi="宋体" w:eastAsia="宋体"/>
                <w:sz w:val="16"/>
              </w:rPr>
              <w:t>学生体检一次性耗材费用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81C69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D5933C">
            <w:pPr>
              <w:jc w:val="center"/>
            </w:pPr>
            <w:r>
              <w:rPr>
                <w:rFonts w:ascii="宋体" w:hAnsi="宋体" w:eastAsia="宋体"/>
                <w:sz w:val="16"/>
              </w:rPr>
              <w:t>&lt;=10万元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811709">
            <w:pPr>
              <w:jc w:val="center"/>
            </w:pPr>
            <w:r>
              <w:rPr>
                <w:rFonts w:ascii="宋体" w:hAnsi="宋体" w:eastAsia="宋体"/>
                <w:sz w:val="16"/>
              </w:rPr>
              <w:t>6.35万元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94921">
            <w:pPr>
              <w:jc w:val="center"/>
            </w:pPr>
            <w:r>
              <w:rPr>
                <w:rFonts w:ascii="宋体" w:hAnsi="宋体" w:eastAsia="宋体"/>
                <w:sz w:val="16"/>
              </w:rPr>
              <w:t>63.5%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10D1A">
            <w:pPr>
              <w:jc w:val="center"/>
            </w:pPr>
            <w:r>
              <w:rPr>
                <w:rFonts w:ascii="宋体" w:hAnsi="宋体" w:eastAsia="宋体"/>
                <w:sz w:val="16"/>
              </w:rPr>
              <w:t>3.17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5A4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3D0E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0103B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A28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3AC770">
            <w:pPr>
              <w:jc w:val="center"/>
            </w:pPr>
            <w:r>
              <w:rPr>
                <w:rFonts w:ascii="宋体" w:hAnsi="宋体" w:eastAsia="宋体"/>
                <w:sz w:val="16"/>
              </w:rPr>
              <w:t>1.偏差原因：外地就学人数增加，学生体检人数减少，体检支出减少。</w:t>
            </w:r>
          </w:p>
        </w:tc>
      </w:tr>
      <w:tr w14:paraId="2F6E2DA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48926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437B2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BD92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5ED3EA">
            <w:pPr>
              <w:jc w:val="center"/>
            </w:pPr>
            <w:r>
              <w:rPr>
                <w:rFonts w:ascii="宋体" w:hAnsi="宋体" w:eastAsia="宋体"/>
                <w:sz w:val="16"/>
              </w:rPr>
              <w:t>日常办公运转费用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5C3CA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BFB315">
            <w:pPr>
              <w:jc w:val="center"/>
            </w:pPr>
            <w:r>
              <w:rPr>
                <w:rFonts w:ascii="宋体" w:hAnsi="宋体" w:eastAsia="宋体"/>
                <w:sz w:val="16"/>
              </w:rPr>
              <w:t>&lt;=1.62万元/月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EC233">
            <w:pPr>
              <w:jc w:val="center"/>
            </w:pPr>
            <w:r>
              <w:rPr>
                <w:rFonts w:ascii="宋体" w:hAnsi="宋体" w:eastAsia="宋体"/>
                <w:sz w:val="16"/>
              </w:rPr>
              <w:t>0.95万元/月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98C55E">
            <w:pPr>
              <w:jc w:val="center"/>
            </w:pPr>
            <w:r>
              <w:rPr>
                <w:rFonts w:ascii="宋体" w:hAnsi="宋体" w:eastAsia="宋体"/>
                <w:sz w:val="16"/>
              </w:rPr>
              <w:t>58.64%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0C176B">
            <w:pPr>
              <w:jc w:val="center"/>
            </w:pPr>
            <w:r>
              <w:rPr>
                <w:rFonts w:ascii="宋体" w:hAnsi="宋体" w:eastAsia="宋体"/>
                <w:sz w:val="16"/>
              </w:rPr>
              <w:t>2.93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DF524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F15C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B8E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2B884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425F2B">
            <w:pPr>
              <w:jc w:val="center"/>
            </w:pPr>
            <w:r>
              <w:rPr>
                <w:rFonts w:ascii="宋体" w:hAnsi="宋体" w:eastAsia="宋体"/>
                <w:sz w:val="16"/>
              </w:rPr>
              <w:t>1.偏差原因：外地就学人数增加，学生体检人数减少，体检支出减少。</w:t>
            </w:r>
          </w:p>
        </w:tc>
      </w:tr>
      <w:tr w14:paraId="0D0B5B6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F420A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CE005F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4CED74">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6A510">
            <w:pPr>
              <w:jc w:val="center"/>
            </w:pPr>
            <w:r>
              <w:rPr>
                <w:rFonts w:ascii="宋体" w:hAnsi="宋体" w:eastAsia="宋体"/>
                <w:sz w:val="16"/>
              </w:rPr>
              <w:t>提高编外人员工作积极性</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50407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32280D">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16A038">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4A1FA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954C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4305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46E38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9253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2B1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A2818">
            <w:pPr>
              <w:jc w:val="center"/>
            </w:pPr>
          </w:p>
        </w:tc>
      </w:tr>
      <w:tr w14:paraId="45A091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3388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4D2F2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8BCEF7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CEA0A">
            <w:pPr>
              <w:jc w:val="center"/>
            </w:pPr>
            <w:r>
              <w:rPr>
                <w:rFonts w:ascii="宋体" w:hAnsi="宋体" w:eastAsia="宋体"/>
                <w:sz w:val="16"/>
              </w:rPr>
              <w:t>提高职工日常工作效率和质量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CDED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CF520">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1852D">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9A39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7BEC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BC6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D2CD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34A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3CBFF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082A6">
            <w:pPr>
              <w:jc w:val="center"/>
            </w:pPr>
          </w:p>
        </w:tc>
      </w:tr>
      <w:tr w14:paraId="0075A5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E9C0AD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9DBA5F">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C05CB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4BD35">
            <w:pPr>
              <w:jc w:val="center"/>
            </w:pPr>
            <w:r>
              <w:rPr>
                <w:rFonts w:hint="eastAsia" w:ascii="宋体" w:hAnsi="宋体"/>
                <w:sz w:val="16"/>
                <w:lang w:eastAsia="zh-CN"/>
              </w:rPr>
              <w:t>单位</w:t>
            </w:r>
            <w:r>
              <w:rPr>
                <w:rFonts w:ascii="宋体" w:hAnsi="宋体" w:eastAsia="宋体"/>
                <w:sz w:val="16"/>
              </w:rPr>
              <w:t>职工满意度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7C81A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5DCEC">
            <w:pPr>
              <w:jc w:val="center"/>
            </w:pPr>
            <w:r>
              <w:rPr>
                <w:rFonts w:ascii="宋体" w:hAnsi="宋体" w:eastAsia="宋体"/>
                <w:sz w:val="16"/>
              </w:rPr>
              <w:t>&gt;=92%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D655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2881">
            <w:pPr>
              <w:jc w:val="center"/>
            </w:pPr>
            <w:r>
              <w:rPr>
                <w:rFonts w:ascii="宋体" w:hAnsi="宋体" w:eastAsia="宋体"/>
                <w:sz w:val="16"/>
              </w:rPr>
              <w:t>108.69%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5536F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ADC2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591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FDB9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2D51E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9CA3A">
            <w:pPr>
              <w:jc w:val="center"/>
            </w:pPr>
            <w:r>
              <w:rPr>
                <w:rFonts w:ascii="宋体" w:hAnsi="宋体" w:eastAsia="宋体"/>
                <w:sz w:val="16"/>
              </w:rPr>
              <w:t>1、偏差原因：保障</w:t>
            </w:r>
            <w:r>
              <w:rPr>
                <w:rFonts w:hint="eastAsia" w:ascii="宋体" w:hAnsi="宋体"/>
                <w:sz w:val="16"/>
                <w:lang w:eastAsia="zh-CN"/>
              </w:rPr>
              <w:t>单位</w:t>
            </w:r>
            <w:r>
              <w:rPr>
                <w:rFonts w:ascii="宋体" w:hAnsi="宋体" w:eastAsia="宋体"/>
                <w:sz w:val="16"/>
              </w:rPr>
              <w:t>日常工作正常运转，职工满意度提高，下年度从严从高设置指标。</w:t>
            </w:r>
          </w:p>
        </w:tc>
      </w:tr>
      <w:tr w14:paraId="1BF1711A">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AF92B4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298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D59F6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E4E95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A76AF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ED126A">
            <w:pPr>
              <w:jc w:val="center"/>
            </w:pPr>
            <w:r>
              <w:rPr>
                <w:rFonts w:ascii="宋体" w:hAnsi="宋体" w:eastAsia="宋体"/>
                <w:sz w:val="16"/>
              </w:rPr>
              <w:t>92.17分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5187B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AAAC3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F7FC51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D64882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93F466"/>
        </w:tc>
      </w:tr>
    </w:tbl>
    <w:p w14:paraId="2DF67D23">
      <w:r>
        <w:br w:type="page"/>
      </w:r>
    </w:p>
    <w:tbl>
      <w:tblPr>
        <w:tblStyle w:val="9"/>
        <w:tblW w:w="0" w:type="auto"/>
        <w:tblInd w:w="0" w:type="dxa"/>
        <w:tblLayout w:type="autofit"/>
        <w:tblCellMar>
          <w:top w:w="0" w:type="dxa"/>
          <w:left w:w="108" w:type="dxa"/>
          <w:bottom w:w="0" w:type="dxa"/>
          <w:right w:w="108" w:type="dxa"/>
        </w:tblCellMar>
      </w:tblPr>
      <w:tblGrid>
        <w:gridCol w:w="622"/>
        <w:gridCol w:w="606"/>
        <w:gridCol w:w="607"/>
        <w:gridCol w:w="607"/>
        <w:gridCol w:w="615"/>
        <w:gridCol w:w="856"/>
        <w:gridCol w:w="696"/>
        <w:gridCol w:w="776"/>
        <w:gridCol w:w="615"/>
        <w:gridCol w:w="607"/>
        <w:gridCol w:w="607"/>
        <w:gridCol w:w="608"/>
        <w:gridCol w:w="608"/>
        <w:gridCol w:w="630"/>
      </w:tblGrid>
      <w:tr w14:paraId="141FFF55">
        <w:tblPrEx>
          <w:tblCellMar>
            <w:top w:w="0" w:type="dxa"/>
            <w:left w:w="108" w:type="dxa"/>
            <w:bottom w:w="0" w:type="dxa"/>
            <w:right w:w="108" w:type="dxa"/>
          </w:tblCellMar>
        </w:tblPrEx>
        <w:tc>
          <w:tcPr>
            <w:tcW w:w="8848" w:type="dxa"/>
            <w:gridSpan w:val="14"/>
            <w:vAlign w:val="center"/>
          </w:tcPr>
          <w:p w14:paraId="0A2FB930">
            <w:pPr>
              <w:jc w:val="center"/>
            </w:pPr>
            <w:r>
              <w:rPr>
                <w:rFonts w:ascii="宋体" w:hAnsi="宋体" w:eastAsia="宋体"/>
                <w:sz w:val="24"/>
              </w:rPr>
              <w:t>项目支出绩效自评表</w:t>
            </w:r>
          </w:p>
        </w:tc>
      </w:tr>
      <w:tr w14:paraId="353FB31F">
        <w:tblPrEx>
          <w:tblCellMar>
            <w:top w:w="0" w:type="dxa"/>
            <w:left w:w="108" w:type="dxa"/>
            <w:bottom w:w="0" w:type="dxa"/>
            <w:right w:w="108" w:type="dxa"/>
          </w:tblCellMar>
        </w:tblPrEx>
        <w:tc>
          <w:tcPr>
            <w:tcW w:w="8848" w:type="dxa"/>
            <w:gridSpan w:val="14"/>
            <w:vAlign w:val="center"/>
          </w:tcPr>
          <w:p w14:paraId="60B2B359">
            <w:pPr>
              <w:jc w:val="center"/>
            </w:pPr>
            <w:r>
              <w:rPr>
                <w:rFonts w:ascii="宋体" w:hAnsi="宋体" w:eastAsia="宋体"/>
                <w:sz w:val="24"/>
              </w:rPr>
              <w:t>(2024年度)</w:t>
            </w:r>
          </w:p>
        </w:tc>
      </w:tr>
      <w:tr w14:paraId="12712EB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DD90E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423DEBD">
            <w:pPr>
              <w:jc w:val="center"/>
            </w:pPr>
            <w:r>
              <w:rPr>
                <w:rFonts w:ascii="宋体" w:hAnsi="宋体" w:eastAsia="宋体"/>
                <w:sz w:val="16"/>
              </w:rPr>
              <w:t>伊州财社</w:t>
            </w:r>
            <w:r>
              <w:rPr>
                <w:rFonts w:hint="eastAsia" w:ascii="宋体" w:hAnsi="宋体"/>
                <w:sz w:val="16"/>
                <w:lang w:eastAsia="zh-CN"/>
              </w:rPr>
              <w:t>〔2023〕62号</w:t>
            </w:r>
            <w:r>
              <w:rPr>
                <w:rFonts w:ascii="宋体" w:hAnsi="宋体" w:eastAsia="宋体"/>
                <w:sz w:val="16"/>
              </w:rPr>
              <w:t>2024年基本公共卫生服务补助资金</w:t>
            </w:r>
          </w:p>
        </w:tc>
      </w:tr>
      <w:tr w14:paraId="41E75CE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16BA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DCB3938">
            <w:pPr>
              <w:jc w:val="center"/>
            </w:pPr>
            <w:r>
              <w:rPr>
                <w:rFonts w:ascii="宋体" w:hAnsi="宋体" w:eastAsia="宋体"/>
                <w:sz w:val="16"/>
              </w:rPr>
              <w:t>特克斯县疾病预防控制中心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D270D">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7509B6">
            <w:pPr>
              <w:jc w:val="center"/>
            </w:pPr>
            <w:r>
              <w:rPr>
                <w:rFonts w:ascii="宋体" w:hAnsi="宋体" w:eastAsia="宋体"/>
                <w:sz w:val="16"/>
              </w:rPr>
              <w:t>特克斯县疾病预防控制中心</w:t>
            </w:r>
          </w:p>
        </w:tc>
      </w:tr>
      <w:tr w14:paraId="2E6D945B">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C0D5C9">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4185F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2242F5">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10426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E17F01">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5567A2">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39CAE7">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E3A965">
            <w:pPr>
              <w:jc w:val="center"/>
            </w:pPr>
            <w:r>
              <w:rPr>
                <w:rFonts w:ascii="宋体" w:hAnsi="宋体" w:eastAsia="宋体"/>
                <w:sz w:val="16"/>
              </w:rPr>
              <w:t>得分</w:t>
            </w:r>
          </w:p>
        </w:tc>
      </w:tr>
      <w:tr w14:paraId="33CB73D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397B4F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D4E023">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E96FDE">
            <w:pPr>
              <w:jc w:val="center"/>
            </w:pPr>
            <w:r>
              <w:rPr>
                <w:rFonts w:ascii="宋体" w:hAnsi="宋体" w:eastAsia="宋体"/>
                <w:sz w:val="16"/>
              </w:rPr>
              <w:t>134.95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F49BBD">
            <w:pPr>
              <w:jc w:val="center"/>
            </w:pPr>
            <w:r>
              <w:rPr>
                <w:rFonts w:ascii="宋体" w:hAnsi="宋体" w:eastAsia="宋体"/>
                <w:sz w:val="16"/>
              </w:rPr>
              <w:t>136.50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811B40">
            <w:pPr>
              <w:jc w:val="center"/>
            </w:pPr>
            <w:r>
              <w:rPr>
                <w:rFonts w:ascii="宋体" w:hAnsi="宋体" w:eastAsia="宋体"/>
                <w:sz w:val="16"/>
              </w:rPr>
              <w:t>136.50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0E2E0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8DF1BB">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8C87B2">
            <w:pPr>
              <w:jc w:val="center"/>
            </w:pPr>
            <w:r>
              <w:rPr>
                <w:rFonts w:ascii="宋体" w:hAnsi="宋体" w:eastAsia="宋体"/>
                <w:sz w:val="16"/>
              </w:rPr>
              <w:t>10.00</w:t>
            </w:r>
          </w:p>
        </w:tc>
      </w:tr>
      <w:tr w14:paraId="3CA1F25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06FA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6F0FE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0A971">
            <w:pPr>
              <w:jc w:val="center"/>
            </w:pPr>
            <w:r>
              <w:rPr>
                <w:rFonts w:ascii="宋体" w:hAnsi="宋体" w:eastAsia="宋体"/>
                <w:sz w:val="16"/>
              </w:rPr>
              <w:t>134.95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7F1D82">
            <w:pPr>
              <w:jc w:val="center"/>
            </w:pPr>
            <w:r>
              <w:rPr>
                <w:rFonts w:ascii="宋体" w:hAnsi="宋体" w:eastAsia="宋体"/>
                <w:sz w:val="16"/>
              </w:rPr>
              <w:t>136.50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1C676">
            <w:pPr>
              <w:jc w:val="center"/>
            </w:pPr>
            <w:r>
              <w:rPr>
                <w:rFonts w:ascii="宋体" w:hAnsi="宋体" w:eastAsia="宋体"/>
                <w:sz w:val="16"/>
              </w:rPr>
              <w:t>136.50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99BE6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85CCB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E8FD4">
            <w:pPr>
              <w:jc w:val="center"/>
            </w:pPr>
            <w:r>
              <w:rPr>
                <w:rFonts w:ascii="宋体" w:hAnsi="宋体" w:eastAsia="宋体"/>
                <w:sz w:val="16"/>
              </w:rPr>
              <w:t>—</w:t>
            </w:r>
          </w:p>
        </w:tc>
      </w:tr>
      <w:tr w14:paraId="320298A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9C34B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37E241">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43212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8804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9A7D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A117E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CC84C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1CE6EC">
            <w:pPr>
              <w:jc w:val="center"/>
            </w:pPr>
            <w:r>
              <w:rPr>
                <w:rFonts w:ascii="宋体" w:hAnsi="宋体" w:eastAsia="宋体"/>
                <w:sz w:val="16"/>
              </w:rPr>
              <w:t>—</w:t>
            </w:r>
          </w:p>
        </w:tc>
      </w:tr>
      <w:tr w14:paraId="02D69C3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5D4FE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8B1877A">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7962158">
            <w:pPr>
              <w:jc w:val="center"/>
            </w:pPr>
            <w:r>
              <w:rPr>
                <w:rFonts w:ascii="宋体" w:hAnsi="宋体" w:eastAsia="宋体"/>
                <w:sz w:val="16"/>
              </w:rPr>
              <w:t>实际完成情况</w:t>
            </w:r>
          </w:p>
        </w:tc>
      </w:tr>
      <w:tr w14:paraId="14B681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EA01E4"/>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702C918">
            <w:pPr>
              <w:jc w:val="both"/>
            </w:pPr>
            <w:r>
              <w:rPr>
                <w:rFonts w:ascii="宋体" w:hAnsi="宋体" w:eastAsia="宋体"/>
                <w:sz w:val="16"/>
              </w:rPr>
              <w:t>（1）保持并提高乙肝疫苗、卡介苗、脊灰疫苗（脊灰灭活疫苗2剂次和二价脊髓灰质炎减毒活疫苗2剂次）、百白破疫苗、白破疫苗、麻腮风疫苗、 流脑疫苗、甲肝减毒活疫苗的接种率以乡(镇)为</w:t>
            </w:r>
            <w:r>
              <w:rPr>
                <w:rFonts w:hint="eastAsia" w:ascii="宋体" w:hAnsi="宋体"/>
                <w:sz w:val="16"/>
                <w:lang w:eastAsia="zh-CN"/>
              </w:rPr>
              <w:t>单位</w:t>
            </w:r>
            <w:r>
              <w:rPr>
                <w:rFonts w:ascii="宋体" w:hAnsi="宋体" w:eastAsia="宋体"/>
                <w:sz w:val="16"/>
              </w:rPr>
              <w:t>达到95%及以上。（2）传染性肺结核患者集中隔离治疗率，活动性肺结核患者“集中服务+营养早餐”覆盖率达到95%以上。（3）认真做好职业健康检查职业病诊断工作，开展职业性尘肺病随访与回顾性调查率达到100%。（4）拨付给8个乡镇卫生院，用于开展各项传染病防治工作，拨付及时率达到99.80%。根据《国家基本公共卫生服务规范（第三版）》服务内容，促进基本公共卫生服务逐步均等化的实施方案，主要公共卫生问题和干预措施的效果，按照基本公共卫生服务项目两项的县公共卫生服务能力进一步提高，促进基本公共卫生服务逐步实施，使特克斯县居民生活质量和健康水平明显改善。（5）免费向城乡居民提供基本公共卫生服务。（6）保持重点地方病防治措施全面落实。开展职业病防治，最大限度地保护放射工作人员、患者和公共的健康权益。同时推进妇幼卫生、医养结合和老年健康服务等方面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DACB48">
            <w:pPr>
              <w:jc w:val="both"/>
            </w:pPr>
            <w:r>
              <w:rPr>
                <w:rFonts w:ascii="宋体" w:hAnsi="宋体" w:eastAsia="宋体"/>
                <w:sz w:val="16"/>
              </w:rPr>
              <w:t>2024年实际完成目标：</w:t>
            </w:r>
            <w:r>
              <w:rPr>
                <w:rFonts w:ascii="宋体" w:hAnsi="宋体" w:eastAsia="宋体"/>
                <w:sz w:val="16"/>
              </w:rPr>
              <w:br w:type="textWrapping"/>
            </w:r>
            <w:r>
              <w:rPr>
                <w:rFonts w:ascii="宋体" w:hAnsi="宋体" w:eastAsia="宋体"/>
                <w:sz w:val="16"/>
              </w:rPr>
              <w:t>1.2024年我县特克斯县结核病报告发病率为13.03/10万，比2023年同期报告发病数下降56.09%。2.统计疫苗发放数量：乙肝疫苗500支，卡介苗63支、无细胞百白破775支，脊灰疫苗IPV685支、bOPV848支，麻腮风755支，A群流脑疫苗255支,A+C流脑疫苗760支,白破二联疫苗355支,甲肝疫苗270支；注射器1mL1500支， 0.1mL300支，接种率均</w:t>
            </w:r>
            <w:r>
              <w:rPr>
                <w:rFonts w:hint="eastAsia" w:ascii="宋体" w:hAnsi="宋体"/>
                <w:sz w:val="16"/>
                <w:lang w:eastAsia="zh-CN"/>
              </w:rPr>
              <w:t>达到</w:t>
            </w:r>
            <w:r>
              <w:rPr>
                <w:rFonts w:ascii="宋体" w:hAnsi="宋体" w:eastAsia="宋体"/>
                <w:sz w:val="16"/>
              </w:rPr>
              <w:t>95%以上。3.碘缺乏病工作：碘缺乏病监测共完成孕妇48人尿样及盐样采集工作。4.饮茶型地方性氟中毒工作：氟骨症筛查工作由各乡镇开展完成症状筛查176人，完成拍片0人。5.根据市监局提供企业名单和商信局提供的</w:t>
            </w:r>
            <w:r>
              <w:rPr>
                <w:rFonts w:hint="eastAsia" w:ascii="宋体" w:hAnsi="宋体"/>
                <w:sz w:val="16"/>
                <w:lang w:eastAsia="zh-CN"/>
              </w:rPr>
              <w:t>企业名单</w:t>
            </w:r>
            <w:r>
              <w:rPr>
                <w:rFonts w:ascii="宋体" w:hAnsi="宋体" w:eastAsia="宋体"/>
                <w:sz w:val="16"/>
              </w:rPr>
              <w:t>已确定2024年重点行业监测企业数17家。</w:t>
            </w:r>
          </w:p>
        </w:tc>
      </w:tr>
      <w:tr w14:paraId="0F0F2501">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6476C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D0042C">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88464">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A0FD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A6EBC">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AF110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B98A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B0115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DF0AC9">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38566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48762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719EE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F5541">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2665D">
            <w:pPr>
              <w:jc w:val="center"/>
            </w:pPr>
            <w:r>
              <w:rPr>
                <w:rFonts w:ascii="宋体" w:hAnsi="宋体" w:eastAsia="宋体"/>
                <w:sz w:val="16"/>
              </w:rPr>
              <w:t>偏差原因分析及改进措施</w:t>
            </w:r>
          </w:p>
        </w:tc>
      </w:tr>
      <w:tr w14:paraId="4F46367F">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D2571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8C473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576BDB">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FD60">
            <w:pPr>
              <w:jc w:val="center"/>
            </w:pPr>
            <w:r>
              <w:rPr>
                <w:rFonts w:ascii="宋体" w:hAnsi="宋体" w:eastAsia="宋体"/>
                <w:sz w:val="16"/>
              </w:rPr>
              <w:t>适龄儿童国家免疫规划疫苗接种人数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9A8C31">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9BA47">
            <w:pPr>
              <w:jc w:val="center"/>
            </w:pPr>
            <w:r>
              <w:rPr>
                <w:rFonts w:ascii="宋体" w:hAnsi="宋体" w:eastAsia="宋体"/>
                <w:sz w:val="16"/>
              </w:rPr>
              <w:t>&gt;=19000人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72BB82">
            <w:pPr>
              <w:jc w:val="center"/>
            </w:pPr>
            <w:r>
              <w:rPr>
                <w:rFonts w:ascii="宋体" w:hAnsi="宋体" w:eastAsia="宋体"/>
                <w:sz w:val="16"/>
              </w:rPr>
              <w:t>19000人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187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D26D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AC594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DE84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B3B7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13C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046993">
            <w:pPr>
              <w:jc w:val="center"/>
            </w:pPr>
          </w:p>
        </w:tc>
      </w:tr>
      <w:tr w14:paraId="1F3355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CDEC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4E039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C744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B3F30E">
            <w:pPr>
              <w:jc w:val="center"/>
            </w:pPr>
            <w:r>
              <w:rPr>
                <w:rFonts w:ascii="宋体" w:hAnsi="宋体" w:eastAsia="宋体"/>
                <w:sz w:val="16"/>
              </w:rPr>
              <w:t>肺结核病患者健康管理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3620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C17B6">
            <w:pPr>
              <w:jc w:val="center"/>
            </w:pPr>
            <w:r>
              <w:rPr>
                <w:rFonts w:ascii="宋体" w:hAnsi="宋体" w:eastAsia="宋体"/>
                <w:sz w:val="16"/>
              </w:rPr>
              <w:t>&gt;=113人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0AA57F">
            <w:pPr>
              <w:jc w:val="center"/>
            </w:pPr>
            <w:r>
              <w:rPr>
                <w:rFonts w:ascii="宋体" w:hAnsi="宋体" w:eastAsia="宋体"/>
                <w:sz w:val="16"/>
              </w:rPr>
              <w:t>113人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1EF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263B95">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7C8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FC2C5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DF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9BEB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00AD1">
            <w:pPr>
              <w:jc w:val="center"/>
            </w:pPr>
          </w:p>
        </w:tc>
      </w:tr>
      <w:tr w14:paraId="1749616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67B83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494C9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65F8E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5B296">
            <w:pPr>
              <w:jc w:val="center"/>
            </w:pPr>
            <w:r>
              <w:rPr>
                <w:rFonts w:ascii="宋体" w:hAnsi="宋体" w:eastAsia="宋体"/>
                <w:sz w:val="16"/>
              </w:rPr>
              <w:t>职业健康检查人数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0F121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57F2A">
            <w:pPr>
              <w:jc w:val="center"/>
            </w:pPr>
            <w:r>
              <w:rPr>
                <w:rFonts w:ascii="宋体" w:hAnsi="宋体" w:eastAsia="宋体"/>
                <w:sz w:val="16"/>
              </w:rPr>
              <w:t>835人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A80C1">
            <w:pPr>
              <w:jc w:val="center"/>
            </w:pPr>
            <w:r>
              <w:rPr>
                <w:rFonts w:ascii="宋体" w:hAnsi="宋体" w:eastAsia="宋体"/>
                <w:sz w:val="16"/>
              </w:rPr>
              <w:t>835人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51D9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0F9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BDE5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DE9C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5A12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B2D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5D5000">
            <w:pPr>
              <w:jc w:val="center"/>
            </w:pPr>
          </w:p>
        </w:tc>
      </w:tr>
      <w:tr w14:paraId="459F3F3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E9C60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DB238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5A7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D96DF2">
            <w:pPr>
              <w:jc w:val="center"/>
            </w:pPr>
            <w:r>
              <w:rPr>
                <w:rFonts w:ascii="宋体" w:hAnsi="宋体" w:eastAsia="宋体"/>
                <w:sz w:val="16"/>
              </w:rPr>
              <w:t>传染病防治资金拨付乡镇卫生院数量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4C3B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D48411">
            <w:pPr>
              <w:jc w:val="center"/>
            </w:pPr>
            <w:r>
              <w:rPr>
                <w:rFonts w:ascii="宋体" w:hAnsi="宋体" w:eastAsia="宋体"/>
                <w:sz w:val="16"/>
              </w:rPr>
              <w:t>&gt;=8个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AA846A">
            <w:pPr>
              <w:jc w:val="center"/>
            </w:pPr>
            <w:r>
              <w:rPr>
                <w:rFonts w:ascii="宋体" w:hAnsi="宋体" w:eastAsia="宋体"/>
                <w:sz w:val="16"/>
              </w:rPr>
              <w:t>8个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930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6CC4D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7953F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3C7D2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20CA2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5F9B9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9C3BA">
            <w:pPr>
              <w:jc w:val="center"/>
            </w:pPr>
          </w:p>
        </w:tc>
      </w:tr>
      <w:tr w14:paraId="6F7BC6E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821CB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E8789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B060E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158338">
            <w:pPr>
              <w:jc w:val="center"/>
            </w:pPr>
            <w:r>
              <w:rPr>
                <w:rFonts w:ascii="宋体" w:hAnsi="宋体" w:eastAsia="宋体"/>
                <w:sz w:val="16"/>
              </w:rPr>
              <w:t>工作场所职业病危害因素检测率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B80352">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5642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0E74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1FE0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E044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941A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4B23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061C4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6DAF5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3CD50">
            <w:pPr>
              <w:jc w:val="center"/>
            </w:pPr>
          </w:p>
        </w:tc>
      </w:tr>
      <w:tr w14:paraId="68A130A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28C55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3513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62EA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CD7135">
            <w:pPr>
              <w:jc w:val="center"/>
            </w:pPr>
            <w:r>
              <w:rPr>
                <w:rFonts w:ascii="宋体" w:hAnsi="宋体" w:eastAsia="宋体"/>
                <w:sz w:val="16"/>
              </w:rPr>
              <w:t>碘缺乏病监测任务完成数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9023A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8CDC96">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4097D9">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74C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567ED">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03780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2F5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1DAB5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DFD4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93ED6">
            <w:pPr>
              <w:jc w:val="center"/>
            </w:pPr>
          </w:p>
        </w:tc>
      </w:tr>
      <w:tr w14:paraId="2B128B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80FF2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7CB50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D7FC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A40F19">
            <w:pPr>
              <w:jc w:val="center"/>
            </w:pPr>
            <w:r>
              <w:rPr>
                <w:rFonts w:ascii="宋体" w:hAnsi="宋体" w:eastAsia="宋体"/>
                <w:sz w:val="16"/>
              </w:rPr>
              <w:t>地方性氟中毒监测任务数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EA33A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3DFC1B">
            <w:pPr>
              <w:jc w:val="center"/>
            </w:pPr>
            <w:r>
              <w:rPr>
                <w:rFonts w:ascii="宋体" w:hAnsi="宋体" w:eastAsia="宋体"/>
                <w:sz w:val="16"/>
              </w:rPr>
              <w:t>&gt;=50人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864973">
            <w:pPr>
              <w:jc w:val="center"/>
            </w:pPr>
            <w:r>
              <w:rPr>
                <w:rFonts w:ascii="宋体" w:hAnsi="宋体" w:eastAsia="宋体"/>
                <w:sz w:val="16"/>
              </w:rPr>
              <w:t>50人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F5D06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0EBA2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E993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96979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9C3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FCA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673616">
            <w:pPr>
              <w:jc w:val="center"/>
            </w:pPr>
          </w:p>
        </w:tc>
      </w:tr>
      <w:tr w14:paraId="601C946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6653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121C3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F00BB5">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9ECB2">
            <w:pPr>
              <w:jc w:val="center"/>
            </w:pPr>
            <w:r>
              <w:rPr>
                <w:rFonts w:ascii="宋体" w:hAnsi="宋体" w:eastAsia="宋体"/>
                <w:sz w:val="16"/>
              </w:rPr>
              <w:t>传染病防治资金拨付准确率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C9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D900D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9C5D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F34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BB7C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DC6C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FDE0D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07932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AD5DE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0B7D8">
            <w:pPr>
              <w:jc w:val="center"/>
            </w:pPr>
          </w:p>
        </w:tc>
      </w:tr>
      <w:tr w14:paraId="7970E4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6714C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0DE8D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8C7F4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AD663F">
            <w:pPr>
              <w:jc w:val="center"/>
            </w:pPr>
            <w:r>
              <w:rPr>
                <w:rFonts w:ascii="宋体" w:hAnsi="宋体" w:eastAsia="宋体"/>
                <w:sz w:val="16"/>
              </w:rPr>
              <w:t>适龄儿童国家免疫规划疫苗接种率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FAC2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AB5FF">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62A2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CDEB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393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8397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3AE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52E2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A85C9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875E8">
            <w:pPr>
              <w:jc w:val="center"/>
            </w:pPr>
          </w:p>
        </w:tc>
      </w:tr>
      <w:tr w14:paraId="2DEBD39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7B63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BF55F8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29CC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A18B3">
            <w:pPr>
              <w:jc w:val="center"/>
            </w:pPr>
            <w:r>
              <w:rPr>
                <w:rFonts w:ascii="宋体" w:hAnsi="宋体" w:eastAsia="宋体"/>
                <w:sz w:val="16"/>
              </w:rPr>
              <w:t>肺结核病患者健康覆盖率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FAEDA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40FE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D19437">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94C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0DF6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DDB2D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DF488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55A1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1F6F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651C89">
            <w:pPr>
              <w:jc w:val="center"/>
            </w:pPr>
          </w:p>
        </w:tc>
      </w:tr>
      <w:tr w14:paraId="4143581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AC73A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EDC33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B0DEB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52EC3">
            <w:pPr>
              <w:jc w:val="center"/>
            </w:pPr>
            <w:r>
              <w:rPr>
                <w:rFonts w:ascii="宋体" w:hAnsi="宋体" w:eastAsia="宋体"/>
                <w:sz w:val="16"/>
              </w:rPr>
              <w:t>职业病危害因素监测企业覆盖率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2689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0860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6148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209A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8E986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C752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DF13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0C6E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3B10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5C65C9">
            <w:pPr>
              <w:jc w:val="center"/>
            </w:pPr>
          </w:p>
        </w:tc>
      </w:tr>
      <w:tr w14:paraId="18636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CB2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DD224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AB387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109BD2">
            <w:pPr>
              <w:jc w:val="center"/>
            </w:pPr>
            <w:r>
              <w:rPr>
                <w:rFonts w:ascii="宋体" w:hAnsi="宋体" w:eastAsia="宋体"/>
                <w:sz w:val="16"/>
              </w:rPr>
              <w:t>地方病任务完成率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D939F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EEA49">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D11AD0">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8E55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86352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59CC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E4C70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9DF3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92D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4FE6">
            <w:pPr>
              <w:jc w:val="center"/>
            </w:pPr>
          </w:p>
        </w:tc>
      </w:tr>
      <w:tr w14:paraId="6E1C07C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CB913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D6CB85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83BC2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00C94C">
            <w:pPr>
              <w:jc w:val="center"/>
            </w:pPr>
            <w:r>
              <w:rPr>
                <w:rFonts w:ascii="宋体" w:hAnsi="宋体" w:eastAsia="宋体"/>
                <w:sz w:val="16"/>
              </w:rPr>
              <w:t>结核病患者健康管理按时完成率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56C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C3D86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6FDA2">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E45F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123EE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725B1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2E49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7CB13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2E191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7FB25">
            <w:pPr>
              <w:jc w:val="center"/>
            </w:pPr>
          </w:p>
        </w:tc>
      </w:tr>
      <w:tr w14:paraId="575A812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D4BF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AB0E95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E54A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F677F">
            <w:pPr>
              <w:jc w:val="center"/>
            </w:pPr>
            <w:r>
              <w:rPr>
                <w:rFonts w:ascii="宋体" w:hAnsi="宋体" w:eastAsia="宋体"/>
                <w:sz w:val="16"/>
              </w:rPr>
              <w:t>适龄儿童国家免疫规划疫苗接种按时完成率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42CC8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2FEAD">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070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A4C6A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B0410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AB0FD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E98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8F198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D2A9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870EE">
            <w:pPr>
              <w:jc w:val="center"/>
            </w:pPr>
          </w:p>
        </w:tc>
      </w:tr>
      <w:tr w14:paraId="395590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7B131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D3824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E6F99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51257">
            <w:pPr>
              <w:jc w:val="center"/>
            </w:pPr>
            <w:r>
              <w:rPr>
                <w:rFonts w:ascii="宋体" w:hAnsi="宋体" w:eastAsia="宋体"/>
                <w:sz w:val="16"/>
              </w:rPr>
              <w:t>传染病防治资金拨付及时率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CC7D9">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F2CA1">
            <w:pPr>
              <w:jc w:val="center"/>
            </w:pPr>
            <w:r>
              <w:rPr>
                <w:rFonts w:ascii="宋体" w:hAnsi="宋体" w:eastAsia="宋体"/>
                <w:sz w:val="16"/>
              </w:rPr>
              <w:t>&gt;=99.80%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2B6D2">
            <w:pPr>
              <w:jc w:val="center"/>
            </w:pPr>
            <w:r>
              <w:rPr>
                <w:rFonts w:ascii="宋体" w:hAnsi="宋体" w:eastAsia="宋体"/>
                <w:sz w:val="16"/>
              </w:rPr>
              <w:t>99.8%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3605E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1EA34">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36D9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351B7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4A3A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83C25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0132C">
            <w:pPr>
              <w:jc w:val="center"/>
            </w:pPr>
          </w:p>
        </w:tc>
      </w:tr>
      <w:tr w14:paraId="750117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531B71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AD1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7ACD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6663E">
            <w:pPr>
              <w:jc w:val="center"/>
            </w:pPr>
            <w:r>
              <w:rPr>
                <w:rFonts w:ascii="宋体" w:hAnsi="宋体" w:eastAsia="宋体"/>
                <w:sz w:val="16"/>
              </w:rPr>
              <w:t>职业健康检查体检完成及时率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295BCE">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0A548">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DCEA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903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EB34B3">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E23D9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C7C8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701F8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BBBA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B1EA64">
            <w:pPr>
              <w:jc w:val="center"/>
            </w:pPr>
          </w:p>
        </w:tc>
      </w:tr>
      <w:tr w14:paraId="7C8B041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646657"/>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80FA19">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D0E49E">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9F6D2B">
            <w:pPr>
              <w:jc w:val="center"/>
            </w:pPr>
            <w:r>
              <w:rPr>
                <w:rFonts w:ascii="宋体" w:hAnsi="宋体" w:eastAsia="宋体"/>
                <w:sz w:val="16"/>
              </w:rPr>
              <w:t>结核病防治营养早餐成本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A7F6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806D05">
            <w:pPr>
              <w:jc w:val="center"/>
            </w:pPr>
            <w:r>
              <w:rPr>
                <w:rFonts w:ascii="宋体" w:hAnsi="宋体" w:eastAsia="宋体"/>
                <w:sz w:val="16"/>
              </w:rPr>
              <w:t>=26.94万元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9DEDAA">
            <w:pPr>
              <w:jc w:val="center"/>
            </w:pPr>
            <w:r>
              <w:rPr>
                <w:rFonts w:ascii="宋体" w:hAnsi="宋体" w:eastAsia="宋体"/>
                <w:sz w:val="16"/>
              </w:rPr>
              <w:t>26.94万元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26889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94560">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C5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5E11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2C72D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06AFA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093FE2">
            <w:pPr>
              <w:jc w:val="center"/>
            </w:pPr>
          </w:p>
        </w:tc>
      </w:tr>
      <w:tr w14:paraId="7B48BE7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BB907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F4B11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28B8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EFF3C0">
            <w:pPr>
              <w:jc w:val="center"/>
            </w:pPr>
            <w:r>
              <w:rPr>
                <w:rFonts w:ascii="宋体" w:hAnsi="宋体" w:eastAsia="宋体"/>
                <w:sz w:val="16"/>
              </w:rPr>
              <w:t>预防接种服务费用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54E4D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ACE39">
            <w:pPr>
              <w:jc w:val="center"/>
            </w:pPr>
            <w:r>
              <w:rPr>
                <w:rFonts w:ascii="宋体" w:hAnsi="宋体" w:eastAsia="宋体"/>
                <w:sz w:val="16"/>
              </w:rPr>
              <w:t>=53.10万元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87FF54">
            <w:pPr>
              <w:jc w:val="center"/>
            </w:pPr>
            <w:r>
              <w:rPr>
                <w:rFonts w:ascii="宋体" w:hAnsi="宋体" w:eastAsia="宋体"/>
                <w:sz w:val="16"/>
              </w:rPr>
              <w:t>53.1万元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C780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038E2">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6108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A0A6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8EFF8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2D43A">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F9109A">
            <w:pPr>
              <w:jc w:val="center"/>
            </w:pPr>
          </w:p>
        </w:tc>
      </w:tr>
      <w:tr w14:paraId="570E608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0322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B17EA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AC3A4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756FD">
            <w:pPr>
              <w:jc w:val="center"/>
            </w:pPr>
            <w:r>
              <w:rPr>
                <w:rFonts w:ascii="宋体" w:hAnsi="宋体" w:eastAsia="宋体"/>
                <w:sz w:val="16"/>
              </w:rPr>
              <w:t>传染病防治费用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FC19C">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C3E207">
            <w:pPr>
              <w:jc w:val="center"/>
            </w:pPr>
            <w:r>
              <w:rPr>
                <w:rFonts w:ascii="宋体" w:hAnsi="宋体" w:eastAsia="宋体"/>
                <w:sz w:val="16"/>
              </w:rPr>
              <w:t>=41.26万元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3F9063">
            <w:pPr>
              <w:jc w:val="center"/>
            </w:pPr>
            <w:r>
              <w:rPr>
                <w:rFonts w:ascii="宋体" w:hAnsi="宋体" w:eastAsia="宋体"/>
                <w:sz w:val="16"/>
              </w:rPr>
              <w:t>41.26万元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48A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B02D7">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77115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70A9E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0618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09F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C3733">
            <w:pPr>
              <w:jc w:val="center"/>
            </w:pPr>
          </w:p>
        </w:tc>
      </w:tr>
      <w:tr w14:paraId="218D69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746FF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08AD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8FC6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60FA5">
            <w:pPr>
              <w:jc w:val="center"/>
            </w:pPr>
            <w:r>
              <w:rPr>
                <w:rFonts w:ascii="宋体" w:hAnsi="宋体" w:eastAsia="宋体"/>
                <w:sz w:val="16"/>
              </w:rPr>
              <w:t>职业健康检查成本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5B95B9">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9C1DFF">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1FF2D0">
            <w:pPr>
              <w:jc w:val="center"/>
            </w:pPr>
            <w:r>
              <w:rPr>
                <w:rFonts w:ascii="宋体" w:hAnsi="宋体" w:eastAsia="宋体"/>
                <w:sz w:val="16"/>
              </w:rPr>
              <w:t>2.7万元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68A2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2A9EB">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2C058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F4D86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6601B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B026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9FA7A">
            <w:pPr>
              <w:jc w:val="center"/>
            </w:pPr>
          </w:p>
        </w:tc>
      </w:tr>
      <w:tr w14:paraId="392AD55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39DEF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8E48E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57FBA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3DFF33">
            <w:pPr>
              <w:jc w:val="center"/>
            </w:pPr>
            <w:r>
              <w:rPr>
                <w:rFonts w:ascii="宋体" w:hAnsi="宋体" w:eastAsia="宋体"/>
                <w:sz w:val="16"/>
              </w:rPr>
              <w:t>地方病防治费用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C8DBF5">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28D62B">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D08E2">
            <w:pPr>
              <w:jc w:val="center"/>
            </w:pPr>
            <w:r>
              <w:rPr>
                <w:rFonts w:ascii="宋体" w:hAnsi="宋体" w:eastAsia="宋体"/>
                <w:sz w:val="16"/>
              </w:rPr>
              <w:t>12.5万元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D4F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67CDE">
            <w:pPr>
              <w:jc w:val="center"/>
            </w:pPr>
            <w:r>
              <w:rPr>
                <w:rFonts w:ascii="宋体" w:hAnsi="宋体" w:eastAsia="宋体"/>
                <w:sz w:val="16"/>
              </w:rPr>
              <w:t>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7E9E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3AE2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225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D29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3AF50">
            <w:pPr>
              <w:jc w:val="center"/>
            </w:pPr>
          </w:p>
        </w:tc>
      </w:tr>
      <w:tr w14:paraId="2C4F28C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D8927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6D13E1">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91921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3FDEC">
            <w:pPr>
              <w:jc w:val="center"/>
            </w:pPr>
            <w:r>
              <w:rPr>
                <w:rFonts w:ascii="宋体" w:hAnsi="宋体" w:eastAsia="宋体"/>
                <w:sz w:val="16"/>
              </w:rPr>
              <w:t>城乡居民公共卫生差距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5F696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2C483">
            <w:pPr>
              <w:jc w:val="center"/>
            </w:pPr>
            <w:r>
              <w:rPr>
                <w:rFonts w:ascii="宋体" w:hAnsi="宋体" w:eastAsia="宋体"/>
                <w:sz w:val="16"/>
              </w:rPr>
              <w:t>不断缩小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51586E">
            <w:pPr>
              <w:jc w:val="center"/>
            </w:pPr>
            <w:r>
              <w:rPr>
                <w:rFonts w:ascii="宋体" w:hAnsi="宋体" w:eastAsia="宋体"/>
                <w:sz w:val="16"/>
              </w:rPr>
              <w:t>明显缩小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9D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645EE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8724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A012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C2C467">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1D008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A3680">
            <w:pPr>
              <w:jc w:val="center"/>
            </w:pPr>
          </w:p>
        </w:tc>
      </w:tr>
      <w:tr w14:paraId="26D980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CE4D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52822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87634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30C5CD">
            <w:pPr>
              <w:jc w:val="center"/>
            </w:pPr>
            <w:r>
              <w:rPr>
                <w:rFonts w:ascii="宋体" w:hAnsi="宋体" w:eastAsia="宋体"/>
                <w:sz w:val="16"/>
              </w:rPr>
              <w:t>基本公共卫生服务水平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A1A6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D80DD">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3CA1">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F711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C131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0ADAA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B5760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05952A">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8BD99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B83FE">
            <w:pPr>
              <w:jc w:val="center"/>
            </w:pPr>
          </w:p>
        </w:tc>
      </w:tr>
      <w:tr w14:paraId="36DCFA7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673C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CADF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86930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C576A">
            <w:pPr>
              <w:jc w:val="center"/>
            </w:pPr>
            <w:r>
              <w:rPr>
                <w:rFonts w:ascii="宋体" w:hAnsi="宋体" w:eastAsia="宋体"/>
                <w:sz w:val="16"/>
              </w:rPr>
              <w:t>公共卫生服务对象满意度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C948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A9B3">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1C7A0">
            <w:pPr>
              <w:jc w:val="center"/>
            </w:pPr>
            <w:r>
              <w:rPr>
                <w:rFonts w:ascii="宋体" w:hAnsi="宋体" w:eastAsia="宋体"/>
                <w:sz w:val="16"/>
              </w:rPr>
              <w:t>99.46%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EC96A">
            <w:pPr>
              <w:jc w:val="center"/>
            </w:pPr>
            <w:r>
              <w:rPr>
                <w:rFonts w:ascii="宋体" w:hAnsi="宋体" w:eastAsia="宋体"/>
                <w:sz w:val="16"/>
              </w:rPr>
              <w:t>104.69%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2984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04FA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E23A5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D2C1AA">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E9F0E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F52D47">
            <w:pPr>
              <w:jc w:val="center"/>
            </w:pPr>
            <w:r>
              <w:rPr>
                <w:rFonts w:ascii="宋体" w:hAnsi="宋体" w:eastAsia="宋体"/>
                <w:sz w:val="16"/>
              </w:rPr>
              <w:t>1、偏差原因：加大疾病宣传使服务对象了解传染病知识，满意度提高，下年度从严从高设置指标。</w:t>
            </w:r>
          </w:p>
        </w:tc>
      </w:tr>
      <w:tr w14:paraId="702463F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B1D24C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980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E6A8D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5424F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FEB00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C49731">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DDB2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59F88B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89B6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4B319B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2534367"/>
        </w:tc>
      </w:tr>
    </w:tbl>
    <w:p w14:paraId="3E351352">
      <w:r>
        <w:br w:type="page"/>
      </w:r>
    </w:p>
    <w:tbl>
      <w:tblPr>
        <w:tblStyle w:val="9"/>
        <w:tblW w:w="0" w:type="auto"/>
        <w:tblInd w:w="0" w:type="dxa"/>
        <w:tblLayout w:type="autofit"/>
        <w:tblCellMar>
          <w:top w:w="0" w:type="dxa"/>
          <w:left w:w="108" w:type="dxa"/>
          <w:bottom w:w="0" w:type="dxa"/>
          <w:right w:w="108" w:type="dxa"/>
        </w:tblCellMar>
      </w:tblPr>
      <w:tblGrid>
        <w:gridCol w:w="629"/>
        <w:gridCol w:w="625"/>
        <w:gridCol w:w="625"/>
        <w:gridCol w:w="625"/>
        <w:gridCol w:w="627"/>
        <w:gridCol w:w="696"/>
        <w:gridCol w:w="696"/>
        <w:gridCol w:w="776"/>
        <w:gridCol w:w="627"/>
        <w:gridCol w:w="625"/>
        <w:gridCol w:w="625"/>
        <w:gridCol w:w="626"/>
        <w:gridCol w:w="625"/>
        <w:gridCol w:w="633"/>
      </w:tblGrid>
      <w:tr w14:paraId="393737FF">
        <w:tblPrEx>
          <w:tblCellMar>
            <w:top w:w="0" w:type="dxa"/>
            <w:left w:w="108" w:type="dxa"/>
            <w:bottom w:w="0" w:type="dxa"/>
            <w:right w:w="108" w:type="dxa"/>
          </w:tblCellMar>
        </w:tblPrEx>
        <w:tc>
          <w:tcPr>
            <w:tcW w:w="8848" w:type="dxa"/>
            <w:gridSpan w:val="14"/>
            <w:vAlign w:val="center"/>
          </w:tcPr>
          <w:p w14:paraId="57E6FE05">
            <w:pPr>
              <w:jc w:val="center"/>
            </w:pPr>
            <w:r>
              <w:rPr>
                <w:rFonts w:ascii="宋体" w:hAnsi="宋体" w:eastAsia="宋体"/>
                <w:sz w:val="24"/>
              </w:rPr>
              <w:t>项目支出绩效自评表</w:t>
            </w:r>
          </w:p>
        </w:tc>
      </w:tr>
      <w:tr w14:paraId="4D1DF01C">
        <w:tblPrEx>
          <w:tblCellMar>
            <w:top w:w="0" w:type="dxa"/>
            <w:left w:w="108" w:type="dxa"/>
            <w:bottom w:w="0" w:type="dxa"/>
            <w:right w:w="108" w:type="dxa"/>
          </w:tblCellMar>
        </w:tblPrEx>
        <w:tc>
          <w:tcPr>
            <w:tcW w:w="8848" w:type="dxa"/>
            <w:gridSpan w:val="14"/>
            <w:vAlign w:val="center"/>
          </w:tcPr>
          <w:p w14:paraId="2991A69E">
            <w:pPr>
              <w:jc w:val="center"/>
            </w:pPr>
            <w:r>
              <w:rPr>
                <w:rFonts w:ascii="宋体" w:hAnsi="宋体" w:eastAsia="宋体"/>
                <w:sz w:val="24"/>
              </w:rPr>
              <w:t>(2024年度)</w:t>
            </w:r>
          </w:p>
        </w:tc>
      </w:tr>
      <w:tr w14:paraId="553E799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52EC38">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1FCEC0FE">
            <w:pPr>
              <w:jc w:val="center"/>
            </w:pPr>
            <w:r>
              <w:rPr>
                <w:rFonts w:ascii="宋体" w:hAnsi="宋体" w:eastAsia="宋体"/>
                <w:sz w:val="16"/>
              </w:rPr>
              <w:t>伊州财社</w:t>
            </w:r>
            <w:r>
              <w:rPr>
                <w:rFonts w:hint="eastAsia" w:ascii="宋体" w:hAnsi="宋体"/>
                <w:sz w:val="16"/>
                <w:lang w:eastAsia="zh-CN"/>
              </w:rPr>
              <w:t>〔2023〕69号</w:t>
            </w:r>
            <w:r>
              <w:rPr>
                <w:rFonts w:ascii="宋体" w:hAnsi="宋体" w:eastAsia="宋体"/>
                <w:sz w:val="16"/>
              </w:rPr>
              <w:t>2024年自治区公共卫生服务[地方公共卫生]补助资金</w:t>
            </w:r>
          </w:p>
        </w:tc>
      </w:tr>
      <w:tr w14:paraId="49ACD52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272A">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3A41842">
            <w:pPr>
              <w:jc w:val="center"/>
            </w:pPr>
            <w:r>
              <w:rPr>
                <w:rFonts w:ascii="宋体" w:hAnsi="宋体" w:eastAsia="宋体"/>
                <w:sz w:val="16"/>
              </w:rPr>
              <w:t>特克斯县疾病预防控制中心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A511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85DDF1">
            <w:pPr>
              <w:jc w:val="center"/>
            </w:pPr>
            <w:r>
              <w:rPr>
                <w:rFonts w:ascii="宋体" w:hAnsi="宋体" w:eastAsia="宋体"/>
                <w:sz w:val="16"/>
              </w:rPr>
              <w:t>特克斯县疾病预防控制中心</w:t>
            </w:r>
          </w:p>
        </w:tc>
      </w:tr>
      <w:tr w14:paraId="07C8F97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4813E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C60B6">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F42383">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EF192F">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3E4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6042A3">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9E5488">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27466">
            <w:pPr>
              <w:jc w:val="center"/>
            </w:pPr>
            <w:r>
              <w:rPr>
                <w:rFonts w:ascii="宋体" w:hAnsi="宋体" w:eastAsia="宋体"/>
                <w:sz w:val="16"/>
              </w:rPr>
              <w:t>得分</w:t>
            </w:r>
          </w:p>
        </w:tc>
      </w:tr>
      <w:tr w14:paraId="728D916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82B2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4A0D4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75B34">
            <w:pPr>
              <w:jc w:val="center"/>
            </w:pPr>
            <w:r>
              <w:rPr>
                <w:rFonts w:ascii="宋体" w:hAnsi="宋体" w:eastAsia="宋体"/>
                <w:sz w:val="16"/>
              </w:rPr>
              <w:t>3.69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032DB3">
            <w:pPr>
              <w:jc w:val="center"/>
            </w:pPr>
            <w:r>
              <w:rPr>
                <w:rFonts w:ascii="宋体" w:hAnsi="宋体" w:eastAsia="宋体"/>
                <w:sz w:val="16"/>
              </w:rPr>
              <w:t>3.69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EEA9AC">
            <w:pPr>
              <w:jc w:val="center"/>
            </w:pPr>
            <w:r>
              <w:rPr>
                <w:rFonts w:ascii="宋体" w:hAnsi="宋体" w:eastAsia="宋体"/>
                <w:sz w:val="16"/>
              </w:rPr>
              <w:t>3.69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E15B3B">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AAA02E">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721056">
            <w:pPr>
              <w:jc w:val="center"/>
            </w:pPr>
            <w:r>
              <w:rPr>
                <w:rFonts w:ascii="宋体" w:hAnsi="宋体" w:eastAsia="宋体"/>
                <w:sz w:val="16"/>
              </w:rPr>
              <w:t>10.00</w:t>
            </w:r>
          </w:p>
        </w:tc>
      </w:tr>
      <w:tr w14:paraId="36B7848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F2104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65B958">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E031D0">
            <w:pPr>
              <w:jc w:val="center"/>
            </w:pPr>
            <w:r>
              <w:rPr>
                <w:rFonts w:ascii="宋体" w:hAnsi="宋体" w:eastAsia="宋体"/>
                <w:sz w:val="16"/>
              </w:rPr>
              <w:t>3.69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030789">
            <w:pPr>
              <w:jc w:val="center"/>
            </w:pPr>
            <w:r>
              <w:rPr>
                <w:rFonts w:ascii="宋体" w:hAnsi="宋体" w:eastAsia="宋体"/>
                <w:sz w:val="16"/>
              </w:rPr>
              <w:t>3.69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02C1B">
            <w:pPr>
              <w:jc w:val="center"/>
            </w:pPr>
            <w:r>
              <w:rPr>
                <w:rFonts w:ascii="宋体" w:hAnsi="宋体" w:eastAsia="宋体"/>
                <w:sz w:val="16"/>
              </w:rPr>
              <w:t>3.69</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4747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72A4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F6D649">
            <w:pPr>
              <w:jc w:val="center"/>
            </w:pPr>
            <w:r>
              <w:rPr>
                <w:rFonts w:ascii="宋体" w:hAnsi="宋体" w:eastAsia="宋体"/>
                <w:sz w:val="16"/>
              </w:rPr>
              <w:t>—</w:t>
            </w:r>
          </w:p>
        </w:tc>
      </w:tr>
      <w:tr w14:paraId="15085DF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8322F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54C1E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0B11E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07C0C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DA3C4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58193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19C1D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0DEC7">
            <w:pPr>
              <w:jc w:val="center"/>
            </w:pPr>
            <w:r>
              <w:rPr>
                <w:rFonts w:ascii="宋体" w:hAnsi="宋体" w:eastAsia="宋体"/>
                <w:sz w:val="16"/>
              </w:rPr>
              <w:t>—</w:t>
            </w:r>
          </w:p>
        </w:tc>
      </w:tr>
      <w:tr w14:paraId="2176A8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45079">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7C6616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5464AA1">
            <w:pPr>
              <w:jc w:val="center"/>
            </w:pPr>
            <w:r>
              <w:rPr>
                <w:rFonts w:ascii="宋体" w:hAnsi="宋体" w:eastAsia="宋体"/>
                <w:sz w:val="16"/>
              </w:rPr>
              <w:t>实际完成情况</w:t>
            </w:r>
          </w:p>
        </w:tc>
      </w:tr>
      <w:tr w14:paraId="5A0B881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87D199"/>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EB509E3">
            <w:pPr>
              <w:jc w:val="both"/>
            </w:pPr>
            <w:r>
              <w:rPr>
                <w:rFonts w:ascii="宋体" w:hAnsi="宋体" w:eastAsia="宋体"/>
                <w:sz w:val="16"/>
              </w:rPr>
              <w:t>保障学生体检人数9225人，监测学生健康状况，对学生进行健康教育，培养学生良好的卫生习惯，改善学校卫生环境和教学卫生条件；加强对传染病、学生常见病的预防和治疗。积极做好近视眼、弱视、沙眼、龋齿、寄生虫、营养不良、贫血、脊柱弯曲、神经衰弱等疾病的群体预防和矫治工作。做到早发现、早报告、早隔离、早预防、早治疗。</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2B4E482">
            <w:pPr>
              <w:jc w:val="both"/>
            </w:pPr>
            <w:r>
              <w:rPr>
                <w:rFonts w:ascii="宋体" w:hAnsi="宋体" w:eastAsia="宋体"/>
                <w:sz w:val="16"/>
              </w:rPr>
              <w:t>2024年共完成学生体检人数 9225 人，人均血红蛋白试剂4元/人，资金支付3.69万元，执行率100%，系统录入率100%，通过体检提升学生卫生习惯，同时开展健康教育使学生</w:t>
            </w:r>
            <w:r>
              <w:rPr>
                <w:rFonts w:hint="eastAsia" w:ascii="宋体" w:hAnsi="宋体"/>
                <w:sz w:val="16"/>
                <w:lang w:eastAsia="zh-CN"/>
              </w:rPr>
              <w:t>增强</w:t>
            </w:r>
            <w:r>
              <w:rPr>
                <w:rFonts w:ascii="宋体" w:hAnsi="宋体" w:eastAsia="宋体"/>
                <w:sz w:val="16"/>
              </w:rPr>
              <w:t>防病意识，改正坐姿，养成良好的用眼习惯。</w:t>
            </w:r>
          </w:p>
        </w:tc>
      </w:tr>
      <w:tr w14:paraId="3721382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C16700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1F9CA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55F6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02F2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58DB6">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C4B2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A0F314">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08665D">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3DD65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240D5D">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6D928">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6DAAE5">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B2EE">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BBD7C">
            <w:pPr>
              <w:jc w:val="center"/>
            </w:pPr>
            <w:r>
              <w:rPr>
                <w:rFonts w:ascii="宋体" w:hAnsi="宋体" w:eastAsia="宋体"/>
                <w:sz w:val="16"/>
              </w:rPr>
              <w:t>偏差原因分析及改进措施</w:t>
            </w:r>
          </w:p>
        </w:tc>
      </w:tr>
      <w:tr w14:paraId="071836A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27ABA0">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781C4">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54DB8A">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2BE8FA">
            <w:pPr>
              <w:jc w:val="center"/>
            </w:pPr>
            <w:r>
              <w:rPr>
                <w:rFonts w:ascii="宋体" w:hAnsi="宋体" w:eastAsia="宋体"/>
                <w:sz w:val="16"/>
              </w:rPr>
              <w:t>学生体检人数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7EE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05B372">
            <w:pPr>
              <w:jc w:val="center"/>
            </w:pPr>
            <w:r>
              <w:rPr>
                <w:rFonts w:ascii="宋体" w:hAnsi="宋体" w:eastAsia="宋体"/>
                <w:sz w:val="16"/>
              </w:rPr>
              <w:t>&gt;=9225人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4C1CD1">
            <w:pPr>
              <w:jc w:val="center"/>
            </w:pPr>
            <w:r>
              <w:rPr>
                <w:rFonts w:ascii="宋体" w:hAnsi="宋体" w:eastAsia="宋体"/>
                <w:sz w:val="16"/>
              </w:rPr>
              <w:t>9225人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705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8CA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37A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13E38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59B7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44F2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AC7491">
            <w:pPr>
              <w:jc w:val="center"/>
            </w:pPr>
          </w:p>
        </w:tc>
      </w:tr>
      <w:tr w14:paraId="580E0BC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EAF4A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CA9294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B7738E">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BB76B">
            <w:pPr>
              <w:jc w:val="center"/>
            </w:pPr>
            <w:r>
              <w:rPr>
                <w:rFonts w:ascii="宋体" w:hAnsi="宋体" w:eastAsia="宋体"/>
                <w:sz w:val="16"/>
              </w:rPr>
              <w:t>学生体检率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B3AD4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43260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CCED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B177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B629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687A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B99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BBC14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790E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DEA84C">
            <w:pPr>
              <w:jc w:val="center"/>
            </w:pPr>
          </w:p>
        </w:tc>
      </w:tr>
      <w:tr w14:paraId="0CFE61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27D3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74888"/>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16AD6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62A66">
            <w:pPr>
              <w:jc w:val="center"/>
            </w:pPr>
            <w:r>
              <w:rPr>
                <w:rFonts w:ascii="宋体" w:hAnsi="宋体" w:eastAsia="宋体"/>
                <w:sz w:val="16"/>
              </w:rPr>
              <w:t>学生体检完成时间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84AD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66BF1">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4A8726">
            <w:pPr>
              <w:jc w:val="center"/>
            </w:pPr>
            <w:r>
              <w:rPr>
                <w:rFonts w:ascii="宋体" w:hAnsi="宋体" w:eastAsia="宋体"/>
                <w:sz w:val="16"/>
              </w:rPr>
              <w:t>2024年11月30日</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CD84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D95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1CA85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CA0A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2440D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8170E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BB6A86">
            <w:pPr>
              <w:jc w:val="center"/>
            </w:pPr>
          </w:p>
        </w:tc>
      </w:tr>
      <w:tr w14:paraId="31847AD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BD1C4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077DD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687CAE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C7D00C">
            <w:pPr>
              <w:jc w:val="center"/>
            </w:pPr>
            <w:r>
              <w:rPr>
                <w:rFonts w:ascii="宋体" w:hAnsi="宋体" w:eastAsia="宋体"/>
                <w:sz w:val="16"/>
              </w:rPr>
              <w:t>学生体检系统录入及时完成率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EF5E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3FC1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83E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C17BC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982B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AE92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D49C4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A1146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EBC7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8BE01">
            <w:pPr>
              <w:jc w:val="center"/>
            </w:pPr>
          </w:p>
        </w:tc>
      </w:tr>
      <w:tr w14:paraId="2FB0E96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387DD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B1C72C">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80E1D">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51CCA8">
            <w:pPr>
              <w:jc w:val="center"/>
            </w:pPr>
            <w:r>
              <w:rPr>
                <w:rFonts w:ascii="宋体" w:hAnsi="宋体" w:eastAsia="宋体"/>
                <w:sz w:val="16"/>
              </w:rPr>
              <w:t>学生体检人均费用补贴</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3DB84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9BFAF">
            <w:pPr>
              <w:jc w:val="center"/>
            </w:pPr>
            <w:r>
              <w:rPr>
                <w:rFonts w:ascii="宋体" w:hAnsi="宋体" w:eastAsia="宋体"/>
                <w:sz w:val="16"/>
              </w:rPr>
              <w:t>&lt;=4元/人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D0A25">
            <w:pPr>
              <w:jc w:val="center"/>
            </w:pPr>
            <w:r>
              <w:rPr>
                <w:rFonts w:ascii="宋体" w:hAnsi="宋体" w:eastAsia="宋体"/>
                <w:sz w:val="16"/>
              </w:rPr>
              <w:t>4元/人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BB754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A60FF0">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A5722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118D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7540C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1BEB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1FD2D5">
            <w:pPr>
              <w:jc w:val="center"/>
            </w:pPr>
          </w:p>
        </w:tc>
      </w:tr>
      <w:tr w14:paraId="4C006F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58072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8FACB">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8922D">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D2E9E9">
            <w:pPr>
              <w:jc w:val="center"/>
            </w:pPr>
            <w:r>
              <w:rPr>
                <w:rFonts w:ascii="宋体" w:hAnsi="宋体" w:eastAsia="宋体"/>
                <w:sz w:val="16"/>
              </w:rPr>
              <w:t>提高居民健康素养水平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8E55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E4999C">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9C10FA">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2EF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2316F">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B4C6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81E29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653C62">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E1E6A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FDB4B">
            <w:pPr>
              <w:jc w:val="center"/>
            </w:pPr>
          </w:p>
        </w:tc>
      </w:tr>
      <w:tr w14:paraId="47BE4E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704A8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D8419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0F143">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2616C">
            <w:pPr>
              <w:jc w:val="center"/>
            </w:pPr>
            <w:r>
              <w:rPr>
                <w:rFonts w:ascii="宋体" w:hAnsi="宋体" w:eastAsia="宋体"/>
                <w:sz w:val="16"/>
              </w:rPr>
              <w:t>学生满意度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1A2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1D30B">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0D20A">
            <w:pPr>
              <w:jc w:val="center"/>
            </w:pPr>
            <w:r>
              <w:rPr>
                <w:rFonts w:ascii="宋体" w:hAnsi="宋体" w:eastAsia="宋体"/>
                <w:sz w:val="16"/>
              </w:rPr>
              <w:t>97.96%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B90FEE">
            <w:pPr>
              <w:jc w:val="center"/>
            </w:pPr>
            <w:r>
              <w:rPr>
                <w:rFonts w:ascii="宋体" w:hAnsi="宋体" w:eastAsia="宋体"/>
                <w:sz w:val="16"/>
              </w:rPr>
              <w:t>108.84%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135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0AEF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7042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89771C">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D38E2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B0944">
            <w:pPr>
              <w:jc w:val="center"/>
            </w:pPr>
            <w:r>
              <w:rPr>
                <w:rFonts w:ascii="宋体" w:hAnsi="宋体" w:eastAsia="宋体"/>
                <w:sz w:val="16"/>
              </w:rPr>
              <w:t>1、偏差原因：通过学生体检开展健康教育工作提高学生的知晓率，满意度提高，下年度从严从高设置指标。</w:t>
            </w:r>
          </w:p>
        </w:tc>
      </w:tr>
      <w:tr w14:paraId="4B8BE6E8">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BB9215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9BF7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9723E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280D72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56A5B6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52A58">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FAE3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EB862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244B5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0F76FA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4AE49EC"/>
        </w:tc>
      </w:tr>
    </w:tbl>
    <w:p w14:paraId="1EAAAB43">
      <w:r>
        <w:br w:type="page"/>
      </w:r>
    </w:p>
    <w:tbl>
      <w:tblPr>
        <w:tblStyle w:val="9"/>
        <w:tblW w:w="0" w:type="auto"/>
        <w:tblInd w:w="0" w:type="dxa"/>
        <w:tblLayout w:type="autofit"/>
        <w:tblCellMar>
          <w:top w:w="0" w:type="dxa"/>
          <w:left w:w="108" w:type="dxa"/>
          <w:bottom w:w="0" w:type="dxa"/>
          <w:right w:w="108" w:type="dxa"/>
        </w:tblCellMar>
      </w:tblPr>
      <w:tblGrid>
        <w:gridCol w:w="624"/>
        <w:gridCol w:w="612"/>
        <w:gridCol w:w="612"/>
        <w:gridCol w:w="625"/>
        <w:gridCol w:w="619"/>
        <w:gridCol w:w="776"/>
        <w:gridCol w:w="696"/>
        <w:gridCol w:w="776"/>
        <w:gridCol w:w="619"/>
        <w:gridCol w:w="612"/>
        <w:gridCol w:w="631"/>
        <w:gridCol w:w="614"/>
        <w:gridCol w:w="613"/>
        <w:gridCol w:w="631"/>
      </w:tblGrid>
      <w:tr w14:paraId="3EAC28A5">
        <w:tblPrEx>
          <w:tblCellMar>
            <w:top w:w="0" w:type="dxa"/>
            <w:left w:w="108" w:type="dxa"/>
            <w:bottom w:w="0" w:type="dxa"/>
            <w:right w:w="108" w:type="dxa"/>
          </w:tblCellMar>
        </w:tblPrEx>
        <w:tc>
          <w:tcPr>
            <w:tcW w:w="8848" w:type="dxa"/>
            <w:gridSpan w:val="14"/>
            <w:vAlign w:val="center"/>
          </w:tcPr>
          <w:p w14:paraId="5E104087">
            <w:pPr>
              <w:jc w:val="center"/>
            </w:pPr>
            <w:r>
              <w:rPr>
                <w:rFonts w:ascii="宋体" w:hAnsi="宋体" w:eastAsia="宋体"/>
                <w:sz w:val="24"/>
              </w:rPr>
              <w:t>项目支出绩效自评表</w:t>
            </w:r>
          </w:p>
        </w:tc>
      </w:tr>
      <w:tr w14:paraId="16192E34">
        <w:tblPrEx>
          <w:tblCellMar>
            <w:top w:w="0" w:type="dxa"/>
            <w:left w:w="108" w:type="dxa"/>
            <w:bottom w:w="0" w:type="dxa"/>
            <w:right w:w="108" w:type="dxa"/>
          </w:tblCellMar>
        </w:tblPrEx>
        <w:tc>
          <w:tcPr>
            <w:tcW w:w="8848" w:type="dxa"/>
            <w:gridSpan w:val="14"/>
            <w:vAlign w:val="center"/>
          </w:tcPr>
          <w:p w14:paraId="534996B7">
            <w:pPr>
              <w:jc w:val="center"/>
            </w:pPr>
            <w:r>
              <w:rPr>
                <w:rFonts w:ascii="宋体" w:hAnsi="宋体" w:eastAsia="宋体"/>
                <w:sz w:val="24"/>
              </w:rPr>
              <w:t>(2024年度)</w:t>
            </w:r>
          </w:p>
        </w:tc>
      </w:tr>
      <w:tr w14:paraId="697D2F68">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7FBCC">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FBE95B1">
            <w:pPr>
              <w:jc w:val="center"/>
            </w:pPr>
            <w:r>
              <w:rPr>
                <w:rFonts w:ascii="宋体" w:hAnsi="宋体" w:eastAsia="宋体"/>
                <w:sz w:val="16"/>
              </w:rPr>
              <w:t>伊州财社</w:t>
            </w:r>
            <w:r>
              <w:rPr>
                <w:rFonts w:hint="eastAsia" w:ascii="宋体" w:hAnsi="宋体"/>
                <w:sz w:val="16"/>
                <w:lang w:eastAsia="zh-CN"/>
              </w:rPr>
              <w:t>〔2023〕67号</w:t>
            </w:r>
            <w:r>
              <w:rPr>
                <w:rFonts w:ascii="宋体" w:hAnsi="宋体" w:eastAsia="宋体"/>
                <w:sz w:val="16"/>
              </w:rPr>
              <w:t>2024年重大传染病防控经费</w:t>
            </w:r>
          </w:p>
        </w:tc>
      </w:tr>
      <w:tr w14:paraId="20BDA99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9BC3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FEEC7D">
            <w:pPr>
              <w:jc w:val="center"/>
            </w:pPr>
            <w:r>
              <w:rPr>
                <w:rFonts w:ascii="宋体" w:hAnsi="宋体" w:eastAsia="宋体"/>
                <w:sz w:val="16"/>
              </w:rPr>
              <w:t>特克斯县疾病预防控制中心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A22AC9">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F3C654">
            <w:pPr>
              <w:jc w:val="center"/>
            </w:pPr>
            <w:r>
              <w:rPr>
                <w:rFonts w:ascii="宋体" w:hAnsi="宋体" w:eastAsia="宋体"/>
                <w:sz w:val="16"/>
              </w:rPr>
              <w:t>特克斯县疾病预防控制中心</w:t>
            </w:r>
          </w:p>
        </w:tc>
      </w:tr>
      <w:tr w14:paraId="014B4E59">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B545C1">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547B5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7464B7">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D22D3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A6D8CD">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F1F0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A938DE">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03F0B8">
            <w:pPr>
              <w:jc w:val="center"/>
            </w:pPr>
            <w:r>
              <w:rPr>
                <w:rFonts w:ascii="宋体" w:hAnsi="宋体" w:eastAsia="宋体"/>
                <w:sz w:val="16"/>
              </w:rPr>
              <w:t>得分</w:t>
            </w:r>
          </w:p>
        </w:tc>
      </w:tr>
      <w:tr w14:paraId="30EC118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4AA79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10C4B2">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C6D7CE">
            <w:pPr>
              <w:jc w:val="center"/>
            </w:pPr>
            <w:r>
              <w:rPr>
                <w:rFonts w:ascii="宋体" w:hAnsi="宋体" w:eastAsia="宋体"/>
                <w:sz w:val="16"/>
              </w:rPr>
              <w:t>152.81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0F2230">
            <w:pPr>
              <w:jc w:val="center"/>
            </w:pPr>
            <w:r>
              <w:rPr>
                <w:rFonts w:ascii="宋体" w:hAnsi="宋体" w:eastAsia="宋体"/>
                <w:sz w:val="16"/>
              </w:rPr>
              <w:t>201.86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6D36E5C">
            <w:pPr>
              <w:jc w:val="center"/>
            </w:pPr>
            <w:r>
              <w:rPr>
                <w:rFonts w:ascii="宋体" w:hAnsi="宋体" w:eastAsia="宋体"/>
                <w:sz w:val="16"/>
              </w:rPr>
              <w:t>201.86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ED935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29AF7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48418D">
            <w:pPr>
              <w:jc w:val="center"/>
            </w:pPr>
            <w:r>
              <w:rPr>
                <w:rFonts w:ascii="宋体" w:hAnsi="宋体" w:eastAsia="宋体"/>
                <w:sz w:val="16"/>
              </w:rPr>
              <w:t>10.00</w:t>
            </w:r>
          </w:p>
        </w:tc>
      </w:tr>
      <w:tr w14:paraId="55962C8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03B97C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CDB36">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24ADC9">
            <w:pPr>
              <w:jc w:val="center"/>
            </w:pPr>
            <w:r>
              <w:rPr>
                <w:rFonts w:ascii="宋体" w:hAnsi="宋体" w:eastAsia="宋体"/>
                <w:sz w:val="16"/>
              </w:rPr>
              <w:t>152.81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8321C0">
            <w:pPr>
              <w:jc w:val="center"/>
            </w:pPr>
            <w:r>
              <w:rPr>
                <w:rFonts w:ascii="宋体" w:hAnsi="宋体" w:eastAsia="宋体"/>
                <w:sz w:val="16"/>
              </w:rPr>
              <w:t>201.86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B0ECDC">
            <w:pPr>
              <w:jc w:val="center"/>
            </w:pPr>
            <w:r>
              <w:rPr>
                <w:rFonts w:ascii="宋体" w:hAnsi="宋体" w:eastAsia="宋体"/>
                <w:sz w:val="16"/>
              </w:rPr>
              <w:t>201.86</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AAD42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F79A3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A13983">
            <w:pPr>
              <w:jc w:val="center"/>
            </w:pPr>
            <w:r>
              <w:rPr>
                <w:rFonts w:ascii="宋体" w:hAnsi="宋体" w:eastAsia="宋体"/>
                <w:sz w:val="16"/>
              </w:rPr>
              <w:t>—</w:t>
            </w:r>
          </w:p>
        </w:tc>
      </w:tr>
      <w:tr w14:paraId="6AF9F53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553F8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26253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CA25F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4C4B9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CDAA8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0B153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C4F2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9BEB8F">
            <w:pPr>
              <w:jc w:val="center"/>
            </w:pPr>
            <w:r>
              <w:rPr>
                <w:rFonts w:ascii="宋体" w:hAnsi="宋体" w:eastAsia="宋体"/>
                <w:sz w:val="16"/>
              </w:rPr>
              <w:t>—</w:t>
            </w:r>
          </w:p>
        </w:tc>
      </w:tr>
      <w:tr w14:paraId="37DAC62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55E11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91E308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9346399">
            <w:pPr>
              <w:jc w:val="center"/>
            </w:pPr>
            <w:r>
              <w:rPr>
                <w:rFonts w:ascii="宋体" w:hAnsi="宋体" w:eastAsia="宋体"/>
                <w:sz w:val="16"/>
              </w:rPr>
              <w:t>实际完成情况</w:t>
            </w:r>
          </w:p>
        </w:tc>
      </w:tr>
      <w:tr w14:paraId="66B43CD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19D9A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1FE03C3">
            <w:pPr>
              <w:jc w:val="both"/>
            </w:pPr>
            <w:r>
              <w:rPr>
                <w:rFonts w:ascii="宋体" w:hAnsi="宋体" w:eastAsia="宋体"/>
                <w:sz w:val="16"/>
              </w:rPr>
              <w:t>为进一步贯彻落实《AZB防治条例》，以“减少新发AZB病毒感染、降低AZB死亡率、提高AZB病毒感染者和病人生存质量”为重点，狠抓关键环节和措施落实，全面推进县AZB、性病防治工作的深入开展； 进一步降低结核病的感染、发病与死亡，提高全人口的健康水平。 持续巩固和加强包虫病防治成果，积极开展病人筛查和救治，减轻患者负担。重点加强包虫病流行区传染源防制和管理，有效控制包虫病在我县的流行。 为适龄儿童提供乙肝疫苗、脊灰灭活疫苗、二价脊髓灰质炎减毒活疫苗、卡介苗、百白破疫苗、白破疫苗、含麻类疫苗、A群流脑疫苗、A+C群流脑疫苗、甲肝减毒活疫苗等疫苗的常规接种服务。 建立和完善慢性病防控工作体系，加强慢性病防治队伍建设，提高专业人员技术水平和服务能力。规范开展慢性病综合监测、干预和评估，完善慢性病信息管理系统。</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39FDDA1">
            <w:pPr>
              <w:jc w:val="both"/>
            </w:pPr>
            <w:r>
              <w:rPr>
                <w:rFonts w:ascii="宋体" w:hAnsi="宋体" w:eastAsia="宋体"/>
                <w:sz w:val="16"/>
              </w:rPr>
              <w:t>重大慢性病筛查任务完成率：100%；AZB免费抗病毒治疗：100%；居民健康水平提高：不断提高；患者满意度：90%；包虫病人群主动筛查任务完成率：85%；严重精神障碍患者筛查任务完成率：100%；适龄儿童国家免疫规划疫苗接种率：95%；AZB免费抗病毒治疗任务：95%；在册严重精神障碍患者治疗率：60%；结核病防治按时完成率：90%；AZB防治按时完成率：90%；精神卫生管理按时完成率：95%；家犬驱虫按时完成率：95%；扩大免疫规划项目按时完成率：95%；重大疾病监测项目按时完成率：85%；病原学阳性肺结核患者耐药筛查率：95%；肺结核病原学阳性患者耐药筛查率：95%；AZB高危人群（暗娼、男性同性性行人群）检测比例：70%；在册严重精神障碍患者治疗率：60%；公共卫生均等化水平提高：不断提高。</w:t>
            </w:r>
          </w:p>
        </w:tc>
      </w:tr>
      <w:tr w14:paraId="47D55F6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3595A4D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B217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4C4230">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7759E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1AEA81">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66A80">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DB6FEF">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6027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82FE45">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A2FBC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E58B46">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1F569">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0B90F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AC63F2">
            <w:pPr>
              <w:jc w:val="center"/>
            </w:pPr>
            <w:r>
              <w:rPr>
                <w:rFonts w:ascii="宋体" w:hAnsi="宋体" w:eastAsia="宋体"/>
                <w:sz w:val="16"/>
              </w:rPr>
              <w:t>偏差原因分析及改进措施</w:t>
            </w:r>
          </w:p>
        </w:tc>
      </w:tr>
      <w:tr w14:paraId="566C46DD">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AD0D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C36E4">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24E78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F00EDA">
            <w:pPr>
              <w:jc w:val="center"/>
            </w:pPr>
            <w:r>
              <w:rPr>
                <w:rFonts w:ascii="宋体" w:hAnsi="宋体" w:eastAsia="宋体"/>
                <w:sz w:val="16"/>
              </w:rPr>
              <w:t>有症状的病原学阳性率肺结核患者密切接触者检查率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978C8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F0A640">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9C178B">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0073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6644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1FC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864E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D5ADA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991F1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93681">
            <w:pPr>
              <w:jc w:val="center"/>
            </w:pPr>
          </w:p>
        </w:tc>
      </w:tr>
      <w:tr w14:paraId="03BBF1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C62C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B493E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FBC99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965BB">
            <w:pPr>
              <w:jc w:val="center"/>
            </w:pPr>
            <w:r>
              <w:rPr>
                <w:rFonts w:ascii="宋体" w:hAnsi="宋体" w:eastAsia="宋体"/>
                <w:sz w:val="16"/>
              </w:rPr>
              <w:t>AZB免费抗病毒治疗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C68F55">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E245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731BB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2CBC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B983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F469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3B28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F7A1D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4123E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826A7">
            <w:pPr>
              <w:jc w:val="center"/>
            </w:pPr>
          </w:p>
        </w:tc>
      </w:tr>
      <w:tr w14:paraId="288F1B9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35065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C5578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917C0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D598B">
            <w:pPr>
              <w:jc w:val="center"/>
            </w:pPr>
            <w:r>
              <w:rPr>
                <w:rFonts w:ascii="宋体" w:hAnsi="宋体" w:eastAsia="宋体"/>
                <w:sz w:val="16"/>
              </w:rPr>
              <w:t>肺结核病原学阳性患者耐药筛查率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BD16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C283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F695F4">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BB9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F0F3E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B6C6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FD08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233F7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2A48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E3F0E">
            <w:pPr>
              <w:jc w:val="center"/>
            </w:pPr>
          </w:p>
        </w:tc>
      </w:tr>
      <w:tr w14:paraId="2894AA5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78DEE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A16CA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BD8B7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2A3DC">
            <w:pPr>
              <w:jc w:val="center"/>
            </w:pPr>
            <w:r>
              <w:rPr>
                <w:rFonts w:ascii="宋体" w:hAnsi="宋体" w:eastAsia="宋体"/>
                <w:sz w:val="16"/>
              </w:rPr>
              <w:t>包虫病人群主动筛查任务完成率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E3D80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AA8A8">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754507">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ABA4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9F64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69C3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EA79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931C9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E220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C392C0">
            <w:pPr>
              <w:jc w:val="center"/>
            </w:pPr>
          </w:p>
        </w:tc>
      </w:tr>
      <w:tr w14:paraId="7DC0680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BDE1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112E6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E25ED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D1F22E">
            <w:pPr>
              <w:jc w:val="center"/>
            </w:pPr>
            <w:r>
              <w:rPr>
                <w:rFonts w:ascii="宋体" w:hAnsi="宋体" w:eastAsia="宋体"/>
                <w:sz w:val="16"/>
              </w:rPr>
              <w:t>重大慢性病筛查任务完成率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F1BD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659B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AD91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6FF5C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3A05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4B24E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0ED53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1623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3C26C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C6F72">
            <w:pPr>
              <w:jc w:val="center"/>
            </w:pPr>
          </w:p>
        </w:tc>
      </w:tr>
      <w:tr w14:paraId="0606912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93AC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05424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2A10C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8744F3">
            <w:pPr>
              <w:jc w:val="center"/>
            </w:pPr>
            <w:r>
              <w:rPr>
                <w:rFonts w:ascii="宋体" w:hAnsi="宋体" w:eastAsia="宋体"/>
                <w:sz w:val="16"/>
              </w:rPr>
              <w:t>严重精神障碍患者筛查任务完成率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4875E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7988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148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9EBBC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CA5C0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6427">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EC9B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9605E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8C5CB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2231E5">
            <w:pPr>
              <w:jc w:val="center"/>
            </w:pPr>
          </w:p>
        </w:tc>
      </w:tr>
      <w:tr w14:paraId="649A93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A47E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2E593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55BB1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44291">
            <w:pPr>
              <w:jc w:val="center"/>
            </w:pPr>
            <w:r>
              <w:rPr>
                <w:rFonts w:ascii="宋体" w:hAnsi="宋体" w:eastAsia="宋体"/>
                <w:sz w:val="16"/>
              </w:rPr>
              <w:t>适龄儿童国家免疫规划疫苗接种率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1E4A4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E40D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DA1093">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51EC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95100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F45A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1FCA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E311A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8BD3F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B0468">
            <w:pPr>
              <w:jc w:val="center"/>
            </w:pPr>
          </w:p>
        </w:tc>
      </w:tr>
      <w:tr w14:paraId="2C3999C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4DE5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CCAFF9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8B8D4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EEF41B">
            <w:pPr>
              <w:jc w:val="center"/>
            </w:pPr>
            <w:r>
              <w:rPr>
                <w:rFonts w:ascii="宋体" w:hAnsi="宋体" w:eastAsia="宋体"/>
                <w:sz w:val="16"/>
              </w:rPr>
              <w:t>包虫病监测任务完成率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B9A9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5E7AB9">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30ED2">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1EB7C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9C6ED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942C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CDAA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D54C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EC57E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D9512">
            <w:pPr>
              <w:jc w:val="center"/>
            </w:pPr>
          </w:p>
        </w:tc>
      </w:tr>
      <w:tr w14:paraId="1CA6C77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DBCF7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925A50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7E0EB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9926DB">
            <w:pPr>
              <w:jc w:val="center"/>
            </w:pPr>
            <w:r>
              <w:rPr>
                <w:rFonts w:ascii="宋体" w:hAnsi="宋体" w:eastAsia="宋体"/>
                <w:sz w:val="16"/>
              </w:rPr>
              <w:t>AZB高危人群（暗娼、男性同性性行人群）检测比例</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710E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75FC1">
            <w:pPr>
              <w:jc w:val="center"/>
            </w:pPr>
            <w:r>
              <w:rPr>
                <w:rFonts w:ascii="宋体" w:hAnsi="宋体" w:eastAsia="宋体"/>
                <w:sz w:val="16"/>
              </w:rPr>
              <w:t>&gt;=70%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5FEBBA">
            <w:pPr>
              <w:jc w:val="center"/>
            </w:pPr>
            <w:r>
              <w:rPr>
                <w:rFonts w:ascii="宋体" w:hAnsi="宋体" w:eastAsia="宋体"/>
                <w:sz w:val="16"/>
              </w:rPr>
              <w:t>70%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C1929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AE1A0">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799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BB71E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418D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3B94D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4A801A">
            <w:pPr>
              <w:jc w:val="center"/>
            </w:pPr>
          </w:p>
        </w:tc>
      </w:tr>
      <w:tr w14:paraId="772A70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E9498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42FC28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07142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06C8D6">
            <w:pPr>
              <w:jc w:val="center"/>
            </w:pPr>
            <w:r>
              <w:rPr>
                <w:rFonts w:ascii="宋体" w:hAnsi="宋体" w:eastAsia="宋体"/>
                <w:sz w:val="16"/>
              </w:rPr>
              <w:t>AZB免费抗病毒治疗任务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6B54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88FD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3951C9">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B4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F526A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EB75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E00D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058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6625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304E8F">
            <w:pPr>
              <w:jc w:val="center"/>
            </w:pPr>
          </w:p>
        </w:tc>
      </w:tr>
      <w:tr w14:paraId="2B90FE1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7977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F428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3D4CB9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FBE2B4">
            <w:pPr>
              <w:jc w:val="center"/>
            </w:pPr>
            <w:r>
              <w:rPr>
                <w:rFonts w:ascii="宋体" w:hAnsi="宋体" w:eastAsia="宋体"/>
                <w:sz w:val="16"/>
              </w:rPr>
              <w:t>肺结核患者成功治疗率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88BEC1">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D76A6">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172B4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4398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811FC9">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9D7F5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321E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D470F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A766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022CA">
            <w:pPr>
              <w:jc w:val="center"/>
            </w:pPr>
          </w:p>
        </w:tc>
      </w:tr>
      <w:tr w14:paraId="48A7AB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344E6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18CE7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F2E87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C2821">
            <w:pPr>
              <w:jc w:val="center"/>
            </w:pPr>
            <w:r>
              <w:rPr>
                <w:rFonts w:ascii="宋体" w:hAnsi="宋体" w:eastAsia="宋体"/>
                <w:sz w:val="16"/>
              </w:rPr>
              <w:t>病原学阳性肺结核患者耐药筛查率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40AC96">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BFD67">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18FADD">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DD2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5EC1BB">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31F8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351D0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DA428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76F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E51A4">
            <w:pPr>
              <w:jc w:val="center"/>
            </w:pPr>
          </w:p>
        </w:tc>
      </w:tr>
      <w:tr w14:paraId="6A5462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078FAF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F841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3DFDA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79D44D">
            <w:pPr>
              <w:jc w:val="center"/>
            </w:pPr>
            <w:r>
              <w:rPr>
                <w:rFonts w:ascii="宋体" w:hAnsi="宋体" w:eastAsia="宋体"/>
                <w:sz w:val="16"/>
              </w:rPr>
              <w:t>在册严重精神障碍患者治疗率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913FC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48B8D">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C5C3B0">
            <w:pPr>
              <w:jc w:val="center"/>
            </w:pPr>
            <w:r>
              <w:rPr>
                <w:rFonts w:ascii="宋体" w:hAnsi="宋体" w:eastAsia="宋体"/>
                <w:sz w:val="16"/>
              </w:rPr>
              <w:t>60%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2908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AA524">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9D9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7AE31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A144C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CD06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F04569">
            <w:pPr>
              <w:jc w:val="center"/>
            </w:pPr>
          </w:p>
        </w:tc>
      </w:tr>
      <w:tr w14:paraId="39FCBF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1D89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F7FF4E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BACB48">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A2AD9">
            <w:pPr>
              <w:jc w:val="center"/>
            </w:pPr>
            <w:r>
              <w:rPr>
                <w:rFonts w:ascii="宋体" w:hAnsi="宋体" w:eastAsia="宋体"/>
                <w:sz w:val="16"/>
              </w:rPr>
              <w:t>结核病防治按时完成率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11CFCE">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1A9E5">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D2006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0D84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0F5AF">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FF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512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356E0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86EE2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23F8">
            <w:pPr>
              <w:jc w:val="center"/>
            </w:pPr>
          </w:p>
        </w:tc>
      </w:tr>
      <w:tr w14:paraId="345985F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67B2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BA5F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BB21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644702">
            <w:pPr>
              <w:jc w:val="center"/>
            </w:pPr>
            <w:r>
              <w:rPr>
                <w:rFonts w:ascii="宋体" w:hAnsi="宋体" w:eastAsia="宋体"/>
                <w:sz w:val="16"/>
              </w:rPr>
              <w:t>AZB防治按时完成率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1BF7BC">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E4B821">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18E16E">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8741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975E8">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4DC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A518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DDB7E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F464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651E5D">
            <w:pPr>
              <w:jc w:val="center"/>
            </w:pPr>
          </w:p>
        </w:tc>
      </w:tr>
      <w:tr w14:paraId="30AB88B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BF4199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0AA0C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F3A1B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AACF08">
            <w:pPr>
              <w:jc w:val="center"/>
            </w:pPr>
            <w:r>
              <w:rPr>
                <w:rFonts w:ascii="宋体" w:hAnsi="宋体" w:eastAsia="宋体"/>
                <w:sz w:val="16"/>
              </w:rPr>
              <w:t>精神卫生管理按时完成率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832B2">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C1669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8A4EA">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4DB45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46B63">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9318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A3CE0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195BE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ED2B2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46EDA">
            <w:pPr>
              <w:jc w:val="center"/>
            </w:pPr>
          </w:p>
        </w:tc>
      </w:tr>
      <w:tr w14:paraId="3E2059D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E8DF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15C6E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249F6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CBAED">
            <w:pPr>
              <w:jc w:val="center"/>
            </w:pPr>
            <w:r>
              <w:rPr>
                <w:rFonts w:ascii="宋体" w:hAnsi="宋体" w:eastAsia="宋体"/>
                <w:sz w:val="16"/>
              </w:rPr>
              <w:t>家犬驱虫按时完成率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802067">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2503B5">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B0D5E">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EC930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6A32A">
            <w:pPr>
              <w:jc w:val="center"/>
            </w:pPr>
            <w:r>
              <w:rPr>
                <w:rFonts w:ascii="宋体" w:hAnsi="宋体" w:eastAsia="宋体"/>
                <w:sz w:val="16"/>
              </w:rPr>
              <w:t>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EDBE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ADCC6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7FB1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0D423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058D20">
            <w:pPr>
              <w:jc w:val="center"/>
            </w:pPr>
          </w:p>
        </w:tc>
      </w:tr>
      <w:tr w14:paraId="0D6B3AB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742F1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FE1B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BBBB5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E464F">
            <w:pPr>
              <w:jc w:val="center"/>
            </w:pPr>
            <w:r>
              <w:rPr>
                <w:rFonts w:ascii="宋体" w:hAnsi="宋体" w:eastAsia="宋体"/>
                <w:sz w:val="16"/>
              </w:rPr>
              <w:t>扩大免疫规划项目按时完成率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74CA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B975A">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7B99A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D08E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FD44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0891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520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3B9C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F1E71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9E85F">
            <w:pPr>
              <w:jc w:val="center"/>
            </w:pPr>
          </w:p>
        </w:tc>
      </w:tr>
      <w:tr w14:paraId="4C91FE0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EBD0D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B32DB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8103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C6986F">
            <w:pPr>
              <w:jc w:val="center"/>
            </w:pPr>
            <w:r>
              <w:rPr>
                <w:rFonts w:ascii="宋体" w:hAnsi="宋体" w:eastAsia="宋体"/>
                <w:sz w:val="16"/>
              </w:rPr>
              <w:t>重大疾病监测项目按时完成率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1D1A0">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59067">
            <w:pPr>
              <w:jc w:val="center"/>
            </w:pPr>
            <w:r>
              <w:rPr>
                <w:rFonts w:ascii="宋体" w:hAnsi="宋体" w:eastAsia="宋体"/>
                <w:sz w:val="16"/>
              </w:rPr>
              <w:t>&gt;=85%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870686">
            <w:pPr>
              <w:jc w:val="center"/>
            </w:pPr>
            <w:r>
              <w:rPr>
                <w:rFonts w:ascii="宋体" w:hAnsi="宋体" w:eastAsia="宋体"/>
                <w:sz w:val="16"/>
              </w:rPr>
              <w:t>85%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30B9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86A31F">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40DA8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3171F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C78A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8437D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B440B8">
            <w:pPr>
              <w:jc w:val="center"/>
            </w:pPr>
          </w:p>
        </w:tc>
      </w:tr>
      <w:tr w14:paraId="606764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8DB9C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8B71F4">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4489B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FEC43B">
            <w:pPr>
              <w:jc w:val="center"/>
            </w:pPr>
            <w:r>
              <w:rPr>
                <w:rFonts w:ascii="宋体" w:hAnsi="宋体" w:eastAsia="宋体"/>
                <w:sz w:val="16"/>
              </w:rPr>
              <w:t>适龄儿童免疫规划疫苗成本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C7CC4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A54444">
            <w:pPr>
              <w:jc w:val="center"/>
            </w:pPr>
            <w:r>
              <w:rPr>
                <w:rFonts w:ascii="宋体" w:hAnsi="宋体" w:eastAsia="宋体"/>
                <w:sz w:val="16"/>
              </w:rPr>
              <w:t>&lt;=8.50万元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6A355">
            <w:pPr>
              <w:jc w:val="center"/>
            </w:pPr>
            <w:r>
              <w:rPr>
                <w:rFonts w:ascii="宋体" w:hAnsi="宋体" w:eastAsia="宋体"/>
                <w:sz w:val="16"/>
              </w:rPr>
              <w:t>8.5万元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27805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54532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62D775">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DD97FE">
            <w:pPr>
              <w:jc w:val="center"/>
            </w:pPr>
            <w:r>
              <w:rPr>
                <w:rFonts w:ascii="宋体" w:hAnsi="宋体" w:eastAsia="宋体"/>
                <w:sz w:val="16"/>
              </w:rPr>
              <w:t>32万元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E84B8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FEE27">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EB686A">
            <w:pPr>
              <w:jc w:val="center"/>
            </w:pPr>
          </w:p>
        </w:tc>
      </w:tr>
      <w:tr w14:paraId="3D9478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F74BD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6B6B1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BA667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15F8C">
            <w:pPr>
              <w:jc w:val="center"/>
            </w:pPr>
            <w:r>
              <w:rPr>
                <w:rFonts w:ascii="宋体" w:hAnsi="宋体" w:eastAsia="宋体"/>
                <w:sz w:val="16"/>
              </w:rPr>
              <w:t>结核病防治成本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FFA9B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526736">
            <w:pPr>
              <w:jc w:val="center"/>
            </w:pPr>
            <w:r>
              <w:rPr>
                <w:rFonts w:ascii="宋体" w:hAnsi="宋体" w:eastAsia="宋体"/>
                <w:sz w:val="16"/>
              </w:rPr>
              <w:t>&lt;=24.5万元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EF1F88">
            <w:pPr>
              <w:jc w:val="center"/>
            </w:pPr>
            <w:r>
              <w:rPr>
                <w:rFonts w:ascii="宋体" w:hAnsi="宋体" w:eastAsia="宋体"/>
                <w:sz w:val="16"/>
              </w:rPr>
              <w:t>24.5万元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591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0BF86A">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B902A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90817">
            <w:pPr>
              <w:jc w:val="center"/>
            </w:pPr>
            <w:r>
              <w:rPr>
                <w:rFonts w:ascii="宋体" w:hAnsi="宋体" w:eastAsia="宋体"/>
                <w:sz w:val="16"/>
              </w:rPr>
              <w:t>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0FE6A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5B2D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6FF22A">
            <w:pPr>
              <w:jc w:val="center"/>
            </w:pPr>
          </w:p>
        </w:tc>
      </w:tr>
      <w:tr w14:paraId="4A7FB74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55CC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E7E5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6799C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E7CB65">
            <w:pPr>
              <w:jc w:val="center"/>
            </w:pPr>
            <w:r>
              <w:rPr>
                <w:rFonts w:ascii="宋体" w:hAnsi="宋体" w:eastAsia="宋体"/>
                <w:sz w:val="16"/>
              </w:rPr>
              <w:t>AZB防治成本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6564B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8863BF">
            <w:pPr>
              <w:jc w:val="center"/>
            </w:pPr>
            <w:r>
              <w:rPr>
                <w:rFonts w:ascii="宋体" w:hAnsi="宋体" w:eastAsia="宋体"/>
                <w:sz w:val="16"/>
              </w:rPr>
              <w:t>&lt;=28.65万元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E65093">
            <w:pPr>
              <w:jc w:val="center"/>
            </w:pPr>
            <w:r>
              <w:rPr>
                <w:rFonts w:ascii="宋体" w:hAnsi="宋体" w:eastAsia="宋体"/>
                <w:sz w:val="16"/>
              </w:rPr>
              <w:t>28.65万元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52D8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E8FE2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DA3C79">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9CE76A">
            <w:pPr>
              <w:jc w:val="center"/>
            </w:pPr>
            <w:r>
              <w:rPr>
                <w:rFonts w:ascii="宋体" w:hAnsi="宋体" w:eastAsia="宋体"/>
                <w:sz w:val="16"/>
              </w:rPr>
              <w:t>21.2万元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5C925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BEB0D">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CB84B">
            <w:pPr>
              <w:jc w:val="center"/>
            </w:pPr>
          </w:p>
        </w:tc>
      </w:tr>
      <w:tr w14:paraId="3633D79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261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B12C69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D6572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73AF9">
            <w:pPr>
              <w:jc w:val="center"/>
            </w:pPr>
            <w:r>
              <w:rPr>
                <w:rFonts w:hint="eastAsia" w:ascii="宋体" w:hAnsi="宋体"/>
                <w:sz w:val="16"/>
                <w:lang w:eastAsia="zh-CN"/>
              </w:rPr>
              <w:t>慢性病综合防控</w:t>
            </w:r>
            <w:r>
              <w:rPr>
                <w:rFonts w:ascii="宋体" w:hAnsi="宋体" w:eastAsia="宋体"/>
                <w:sz w:val="16"/>
              </w:rPr>
              <w:t>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0A8F5F">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FE9947">
            <w:pPr>
              <w:jc w:val="center"/>
            </w:pPr>
            <w:r>
              <w:rPr>
                <w:rFonts w:ascii="宋体" w:hAnsi="宋体" w:eastAsia="宋体"/>
                <w:sz w:val="16"/>
              </w:rPr>
              <w:t>&lt;=9.50万元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07091C">
            <w:pPr>
              <w:jc w:val="center"/>
            </w:pPr>
            <w:r>
              <w:rPr>
                <w:rFonts w:ascii="宋体" w:hAnsi="宋体" w:eastAsia="宋体"/>
                <w:sz w:val="16"/>
              </w:rPr>
              <w:t>9.5万元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1B873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06E1D">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DC4642">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B3AE88">
            <w:pPr>
              <w:jc w:val="center"/>
            </w:pPr>
            <w:r>
              <w:rPr>
                <w:rFonts w:ascii="宋体" w:hAnsi="宋体" w:eastAsia="宋体"/>
                <w:sz w:val="16"/>
              </w:rPr>
              <w:t>10万元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A314F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83FA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5EAE0">
            <w:pPr>
              <w:jc w:val="center"/>
            </w:pPr>
          </w:p>
        </w:tc>
      </w:tr>
      <w:tr w14:paraId="1C85E07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77852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61591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1EDD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1BFEE">
            <w:pPr>
              <w:jc w:val="center"/>
            </w:pPr>
            <w:r>
              <w:rPr>
                <w:rFonts w:ascii="宋体" w:hAnsi="宋体" w:eastAsia="宋体"/>
                <w:sz w:val="16"/>
              </w:rPr>
              <w:t>严重精神障碍防控成本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FBB361">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4DBDE0">
            <w:pPr>
              <w:jc w:val="center"/>
            </w:pPr>
            <w:r>
              <w:rPr>
                <w:rFonts w:ascii="宋体" w:hAnsi="宋体" w:eastAsia="宋体"/>
                <w:sz w:val="16"/>
              </w:rPr>
              <w:t>&lt;=4.21万元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76CE4C">
            <w:pPr>
              <w:jc w:val="center"/>
            </w:pPr>
            <w:r>
              <w:rPr>
                <w:rFonts w:ascii="宋体" w:hAnsi="宋体" w:eastAsia="宋体"/>
                <w:sz w:val="16"/>
              </w:rPr>
              <w:t>4.21万元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15F3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86BD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9F901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DB3CFD">
            <w:pPr>
              <w:jc w:val="center"/>
            </w:pPr>
            <w:r>
              <w:rPr>
                <w:rFonts w:ascii="宋体" w:hAnsi="宋体" w:eastAsia="宋体"/>
                <w:sz w:val="16"/>
              </w:rPr>
              <w:t>3.05万元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1731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CBED6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F909A">
            <w:pPr>
              <w:jc w:val="center"/>
            </w:pPr>
          </w:p>
        </w:tc>
      </w:tr>
      <w:tr w14:paraId="5849EF3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0C9FF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DDBD5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DCE5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87EA39">
            <w:pPr>
              <w:jc w:val="center"/>
            </w:pPr>
            <w:r>
              <w:rPr>
                <w:rFonts w:ascii="宋体" w:hAnsi="宋体" w:eastAsia="宋体"/>
                <w:sz w:val="16"/>
              </w:rPr>
              <w:t>重大疾病检测成本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1D27D9">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CF443">
            <w:pPr>
              <w:jc w:val="center"/>
            </w:pPr>
            <w:r>
              <w:rPr>
                <w:rFonts w:ascii="宋体" w:hAnsi="宋体" w:eastAsia="宋体"/>
                <w:sz w:val="16"/>
              </w:rPr>
              <w:t>&lt;=57万元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D481E7">
            <w:pPr>
              <w:jc w:val="center"/>
            </w:pPr>
            <w:r>
              <w:rPr>
                <w:rFonts w:ascii="宋体" w:hAnsi="宋体" w:eastAsia="宋体"/>
                <w:sz w:val="16"/>
              </w:rPr>
              <w:t>57万元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1873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BD35E1">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FBCDFC">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A078CE">
            <w:pPr>
              <w:jc w:val="center"/>
            </w:pPr>
            <w:r>
              <w:rPr>
                <w:rFonts w:ascii="宋体" w:hAnsi="宋体" w:eastAsia="宋体"/>
                <w:sz w:val="16"/>
              </w:rPr>
              <w:t>6.80万元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9FA5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426C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D0B167">
            <w:pPr>
              <w:jc w:val="center"/>
            </w:pPr>
          </w:p>
        </w:tc>
      </w:tr>
      <w:tr w14:paraId="5AD27D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13F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D04F86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8D28F1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CAA9">
            <w:pPr>
              <w:jc w:val="center"/>
            </w:pPr>
            <w:r>
              <w:rPr>
                <w:rFonts w:ascii="宋体" w:hAnsi="宋体" w:eastAsia="宋体"/>
                <w:sz w:val="16"/>
              </w:rPr>
              <w:t>包虫病防治成本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38C83E">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34AB7">
            <w:pPr>
              <w:jc w:val="center"/>
            </w:pPr>
            <w:r>
              <w:rPr>
                <w:rFonts w:ascii="宋体" w:hAnsi="宋体" w:eastAsia="宋体"/>
                <w:sz w:val="16"/>
              </w:rPr>
              <w:t>&lt;=66.5万元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9649D9">
            <w:pPr>
              <w:jc w:val="center"/>
            </w:pPr>
            <w:r>
              <w:rPr>
                <w:rFonts w:ascii="宋体" w:hAnsi="宋体" w:eastAsia="宋体"/>
                <w:sz w:val="16"/>
              </w:rPr>
              <w:t>66.5万元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75B0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ABE2B5">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5DFB5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4881CF">
            <w:pPr>
              <w:jc w:val="center"/>
            </w:pPr>
            <w:r>
              <w:rPr>
                <w:rFonts w:ascii="宋体" w:hAnsi="宋体" w:eastAsia="宋体"/>
                <w:sz w:val="16"/>
              </w:rPr>
              <w:t>8.50万元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26F76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29C681">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80CF6">
            <w:pPr>
              <w:jc w:val="center"/>
            </w:pPr>
          </w:p>
        </w:tc>
      </w:tr>
      <w:tr w14:paraId="6B5D0A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CD34E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FA2B8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071705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DAF546">
            <w:pPr>
              <w:jc w:val="center"/>
            </w:pPr>
            <w:r>
              <w:rPr>
                <w:rFonts w:ascii="宋体" w:hAnsi="宋体" w:eastAsia="宋体"/>
                <w:sz w:val="16"/>
              </w:rPr>
              <w:t>传染病防治能力提升成本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415B">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CA9DDE">
            <w:pPr>
              <w:jc w:val="center"/>
            </w:pPr>
            <w:r>
              <w:rPr>
                <w:rFonts w:ascii="宋体" w:hAnsi="宋体" w:eastAsia="宋体"/>
                <w:sz w:val="16"/>
              </w:rPr>
              <w:t>&lt;=3万元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DF4FD">
            <w:pPr>
              <w:jc w:val="center"/>
            </w:pPr>
            <w:r>
              <w:rPr>
                <w:rFonts w:ascii="宋体" w:hAnsi="宋体" w:eastAsia="宋体"/>
                <w:sz w:val="16"/>
              </w:rPr>
              <w:t>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394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15DCC8">
            <w:pPr>
              <w:jc w:val="center"/>
            </w:pPr>
            <w:r>
              <w:rPr>
                <w:rFonts w:ascii="宋体" w:hAnsi="宋体" w:eastAsia="宋体"/>
                <w:sz w:val="16"/>
              </w:rPr>
              <w:t>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9BE73B">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487AA">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249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F7A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D925A6">
            <w:pPr>
              <w:jc w:val="center"/>
            </w:pPr>
          </w:p>
        </w:tc>
      </w:tr>
      <w:tr w14:paraId="144B0E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1415E1"/>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D79B4">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D9C8A1">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FD126">
            <w:pPr>
              <w:jc w:val="center"/>
            </w:pPr>
            <w:r>
              <w:rPr>
                <w:rFonts w:ascii="宋体" w:hAnsi="宋体" w:eastAsia="宋体"/>
                <w:sz w:val="16"/>
              </w:rPr>
              <w:t>居民健康水平提高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8EE77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A29BB4">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1990A2">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E95A8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06702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9422E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E10B09">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B1973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1AB10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1BC34">
            <w:pPr>
              <w:jc w:val="center"/>
            </w:pPr>
          </w:p>
        </w:tc>
      </w:tr>
      <w:tr w14:paraId="26E1A98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F6F0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67A3C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A5681B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CFB30">
            <w:pPr>
              <w:jc w:val="center"/>
            </w:pPr>
            <w:r>
              <w:rPr>
                <w:rFonts w:ascii="宋体" w:hAnsi="宋体" w:eastAsia="宋体"/>
                <w:sz w:val="16"/>
              </w:rPr>
              <w:t>公共卫生均等化水平提高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8BF0F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B56F3E">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FAF8A5">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CD6A6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8249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9682F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D4B957">
            <w:pPr>
              <w:jc w:val="center"/>
            </w:pPr>
            <w:r>
              <w:rPr>
                <w:rFonts w:ascii="宋体" w:hAnsi="宋体" w:eastAsia="宋体"/>
                <w:sz w:val="16"/>
              </w:rPr>
              <w:t>不断提高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2736AC">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477C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A3AB0">
            <w:pPr>
              <w:jc w:val="center"/>
            </w:pPr>
          </w:p>
        </w:tc>
      </w:tr>
      <w:tr w14:paraId="0B5A058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2B8FD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3A5D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6A996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CBBCD">
            <w:pPr>
              <w:jc w:val="center"/>
            </w:pPr>
            <w:r>
              <w:rPr>
                <w:rFonts w:ascii="宋体" w:hAnsi="宋体" w:eastAsia="宋体"/>
                <w:sz w:val="16"/>
              </w:rPr>
              <w:t>居民满意度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B52B5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F810AD">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ECD3FC">
            <w:pPr>
              <w:jc w:val="center"/>
            </w:pPr>
            <w:r>
              <w:rPr>
                <w:rFonts w:ascii="宋体" w:hAnsi="宋体" w:eastAsia="宋体"/>
                <w:sz w:val="16"/>
              </w:rPr>
              <w:t>99.46%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92F4F">
            <w:pPr>
              <w:jc w:val="center"/>
            </w:pPr>
            <w:r>
              <w:rPr>
                <w:rFonts w:ascii="宋体" w:hAnsi="宋体" w:eastAsia="宋体"/>
                <w:sz w:val="16"/>
              </w:rPr>
              <w:t>110.51%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6D8C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C2B5B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0E9C3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D6C28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B9118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CCE6E2">
            <w:pPr>
              <w:jc w:val="center"/>
            </w:pPr>
            <w:r>
              <w:rPr>
                <w:rFonts w:ascii="宋体" w:hAnsi="宋体" w:eastAsia="宋体"/>
                <w:sz w:val="16"/>
              </w:rPr>
              <w:tab/>
            </w:r>
            <w:r>
              <w:rPr>
                <w:rFonts w:ascii="宋体" w:hAnsi="宋体" w:eastAsia="宋体"/>
                <w:sz w:val="16"/>
              </w:rPr>
              <w:t>1、偏差原因：加大疾病宣传使服务对象了解传染病知识，满意度提高。</w:t>
            </w:r>
          </w:p>
        </w:tc>
      </w:tr>
      <w:tr w14:paraId="367E787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3540135">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6FE8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7BAA8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816D58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ED6543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56C10B">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D2938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273B5E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3DEEC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8FB559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874FEAA"/>
        </w:tc>
      </w:tr>
    </w:tbl>
    <w:p w14:paraId="06546DAF">
      <w:r>
        <w:br w:type="page"/>
      </w:r>
    </w:p>
    <w:p w14:paraId="05DA2995">
      <w:pPr>
        <w:spacing w:line="640" w:lineRule="exact"/>
        <w:ind w:firstLine="640"/>
        <w:jc w:val="both"/>
        <w:outlineLvl w:val="2"/>
      </w:pPr>
      <w:r>
        <w:rPr>
          <w:rFonts w:ascii="黑体" w:hAnsi="黑体" w:eastAsia="黑体"/>
          <w:sz w:val="32"/>
        </w:rPr>
        <w:t>十二、其他需说明的事项</w:t>
      </w:r>
    </w:p>
    <w:p w14:paraId="07D339F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68E88A88">
      <w:r>
        <w:br w:type="page"/>
      </w:r>
    </w:p>
    <w:p w14:paraId="345F1EBF">
      <w:pPr>
        <w:spacing w:line="240" w:lineRule="auto"/>
        <w:jc w:val="center"/>
        <w:outlineLvl w:val="1"/>
      </w:pPr>
      <w:r>
        <w:rPr>
          <w:rFonts w:ascii="黑体" w:hAnsi="黑体" w:eastAsia="黑体"/>
          <w:sz w:val="32"/>
        </w:rPr>
        <w:t>第三部分 专业名词解释</w:t>
      </w:r>
    </w:p>
    <w:p w14:paraId="61131DD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F84EDDE">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6705BC8C">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2F1B43C0">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6B038451">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0185A78B">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47DBAA9D">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96BB05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58B73D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3B0A1622">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BB1A57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4D5764B8">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2563EE9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4DED40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5D7B90B0">
      <w:r>
        <w:br w:type="page"/>
      </w:r>
    </w:p>
    <w:p w14:paraId="53917230">
      <w:pPr>
        <w:spacing w:line="240" w:lineRule="auto"/>
        <w:jc w:val="center"/>
        <w:outlineLvl w:val="1"/>
      </w:pPr>
      <w:r>
        <w:rPr>
          <w:rFonts w:ascii="黑体" w:hAnsi="黑体" w:eastAsia="黑体"/>
          <w:sz w:val="32"/>
        </w:rPr>
        <w:t>第四部分 部门决算报表（见附表）</w:t>
      </w:r>
    </w:p>
    <w:p w14:paraId="3605053B">
      <w:pPr>
        <w:spacing w:line="240" w:lineRule="auto"/>
        <w:ind w:firstLine="640"/>
        <w:jc w:val="both"/>
      </w:pPr>
      <w:r>
        <w:rPr>
          <w:rFonts w:ascii="仿宋_GB2312" w:hAnsi="仿宋_GB2312" w:eastAsia="仿宋_GB2312"/>
          <w:b w:val="0"/>
          <w:sz w:val="32"/>
        </w:rPr>
        <w:t>一、《收入支出决算总表》</w:t>
      </w:r>
    </w:p>
    <w:p w14:paraId="1C232223">
      <w:pPr>
        <w:spacing w:line="240" w:lineRule="auto"/>
        <w:ind w:firstLine="640"/>
        <w:jc w:val="both"/>
      </w:pPr>
      <w:r>
        <w:rPr>
          <w:rFonts w:ascii="仿宋_GB2312" w:hAnsi="仿宋_GB2312" w:eastAsia="仿宋_GB2312"/>
          <w:b w:val="0"/>
          <w:sz w:val="32"/>
        </w:rPr>
        <w:t>二、《收入决算表》</w:t>
      </w:r>
    </w:p>
    <w:p w14:paraId="1E42EAEE">
      <w:pPr>
        <w:spacing w:line="240" w:lineRule="auto"/>
        <w:ind w:firstLine="640"/>
        <w:jc w:val="both"/>
      </w:pPr>
      <w:r>
        <w:rPr>
          <w:rFonts w:ascii="仿宋_GB2312" w:hAnsi="仿宋_GB2312" w:eastAsia="仿宋_GB2312"/>
          <w:b w:val="0"/>
          <w:sz w:val="32"/>
        </w:rPr>
        <w:t>三、《支出决算表》</w:t>
      </w:r>
    </w:p>
    <w:p w14:paraId="1C8270E9">
      <w:pPr>
        <w:spacing w:line="240" w:lineRule="auto"/>
        <w:ind w:firstLine="640"/>
        <w:jc w:val="both"/>
      </w:pPr>
      <w:r>
        <w:rPr>
          <w:rFonts w:ascii="仿宋_GB2312" w:hAnsi="仿宋_GB2312" w:eastAsia="仿宋_GB2312"/>
          <w:b w:val="0"/>
          <w:sz w:val="32"/>
        </w:rPr>
        <w:t>四、《财政拨款收入支出决算总表》</w:t>
      </w:r>
    </w:p>
    <w:p w14:paraId="139D0ED6">
      <w:pPr>
        <w:spacing w:line="240" w:lineRule="auto"/>
        <w:ind w:firstLine="640"/>
        <w:jc w:val="both"/>
      </w:pPr>
      <w:r>
        <w:rPr>
          <w:rFonts w:ascii="仿宋_GB2312" w:hAnsi="仿宋_GB2312" w:eastAsia="仿宋_GB2312"/>
          <w:b w:val="0"/>
          <w:sz w:val="32"/>
        </w:rPr>
        <w:t>五、《一般公共预算财政拨款支出决算表》</w:t>
      </w:r>
    </w:p>
    <w:p w14:paraId="094440DE">
      <w:pPr>
        <w:spacing w:line="240" w:lineRule="auto"/>
        <w:ind w:firstLine="640"/>
        <w:jc w:val="both"/>
      </w:pPr>
      <w:r>
        <w:rPr>
          <w:rFonts w:ascii="仿宋_GB2312" w:hAnsi="仿宋_GB2312" w:eastAsia="仿宋_GB2312"/>
          <w:b w:val="0"/>
          <w:sz w:val="32"/>
        </w:rPr>
        <w:t>六、《一般公共预算财政拨款基本支出决算表》</w:t>
      </w:r>
    </w:p>
    <w:p w14:paraId="336B7973">
      <w:pPr>
        <w:spacing w:line="240" w:lineRule="auto"/>
        <w:ind w:firstLine="640"/>
        <w:jc w:val="both"/>
      </w:pPr>
      <w:r>
        <w:rPr>
          <w:rFonts w:ascii="仿宋_GB2312" w:hAnsi="仿宋_GB2312" w:eastAsia="仿宋_GB2312"/>
          <w:b w:val="0"/>
          <w:sz w:val="32"/>
        </w:rPr>
        <w:t>七、《政府性基金预算财政拨款收入支出决算表》</w:t>
      </w:r>
    </w:p>
    <w:p w14:paraId="7D00126E">
      <w:pPr>
        <w:spacing w:line="240" w:lineRule="auto"/>
        <w:ind w:firstLine="640"/>
        <w:jc w:val="both"/>
      </w:pPr>
      <w:r>
        <w:rPr>
          <w:rFonts w:ascii="仿宋_GB2312" w:hAnsi="仿宋_GB2312" w:eastAsia="仿宋_GB2312"/>
          <w:b w:val="0"/>
          <w:sz w:val="32"/>
        </w:rPr>
        <w:t>八、《国有资本经营预算财政拨款收入支出决算表》</w:t>
      </w:r>
    </w:p>
    <w:p w14:paraId="791F498F">
      <w:pPr>
        <w:spacing w:line="240" w:lineRule="auto"/>
        <w:ind w:firstLine="640"/>
        <w:jc w:val="both"/>
      </w:pPr>
      <w:r>
        <w:rPr>
          <w:rFonts w:ascii="仿宋_GB2312" w:hAnsi="仿宋_GB2312" w:eastAsia="仿宋_GB2312"/>
          <w:b w:val="0"/>
          <w:sz w:val="32"/>
        </w:rPr>
        <w:t>九、《财政拨款“三公”经费支出决算表》</w:t>
      </w:r>
    </w:p>
    <w:p w14:paraId="0E3D2D58">
      <w:pPr>
        <w:spacing w:line="240" w:lineRule="auto"/>
        <w:ind w:firstLine="640"/>
        <w:jc w:val="both"/>
      </w:pPr>
    </w:p>
    <w:p w14:paraId="1C80CE2E">
      <w:pPr>
        <w:spacing w:line="240" w:lineRule="auto"/>
        <w:ind w:firstLine="640"/>
        <w:jc w:val="both"/>
      </w:pPr>
    </w:p>
    <w:p w14:paraId="4536FF68">
      <w:pPr>
        <w:spacing w:line="240" w:lineRule="auto"/>
        <w:ind w:firstLine="640"/>
        <w:jc w:val="both"/>
      </w:pPr>
    </w:p>
    <w:p w14:paraId="79CD236C">
      <w:pPr>
        <w:spacing w:line="240" w:lineRule="auto"/>
        <w:ind w:firstLine="640"/>
        <w:jc w:val="both"/>
      </w:pPr>
    </w:p>
    <w:p w14:paraId="56610F39">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77603C-73A1-4133-BDA3-5027ECA158F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B8F8B4CD-E499-457F-9EF2-C649685C39DD}"/>
  </w:font>
  <w:font w:name="仿宋_GB2312">
    <w:panose1 w:val="02010609030101010101"/>
    <w:charset w:val="86"/>
    <w:family w:val="modern"/>
    <w:pitch w:val="default"/>
    <w:sig w:usb0="00000001" w:usb1="080E0000" w:usb2="00000000" w:usb3="00000000" w:csb0="00040000" w:csb1="00000000"/>
    <w:embedRegular r:id="rId3" w:fontKey="{15F48491-B041-408A-BEAF-0CF97F43A29D}"/>
  </w:font>
  <w:font w:name="楷体_GB2312">
    <w:panose1 w:val="02010609030101010101"/>
    <w:charset w:val="86"/>
    <w:family w:val="auto"/>
    <w:pitch w:val="default"/>
    <w:sig w:usb0="00000001" w:usb1="080E0000" w:usb2="00000000" w:usb3="00000000" w:csb0="00040000" w:csb1="00000000"/>
    <w:embedRegular r:id="rId4" w:fontKey="{88C35394-6BFF-4677-8B12-114307E3F2A4}"/>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9B1C95"/>
    <w:rsid w:val="021B7195"/>
    <w:rsid w:val="02F73D26"/>
    <w:rsid w:val="034D4FEF"/>
    <w:rsid w:val="043E5B56"/>
    <w:rsid w:val="06792773"/>
    <w:rsid w:val="07661FB8"/>
    <w:rsid w:val="09A729D8"/>
    <w:rsid w:val="09BB6C6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25FB1"/>
    <w:rsid w:val="62DD7D21"/>
    <w:rsid w:val="65D97752"/>
    <w:rsid w:val="664C500C"/>
    <w:rsid w:val="67D111AB"/>
    <w:rsid w:val="68DB0208"/>
    <w:rsid w:val="68DF36D5"/>
    <w:rsid w:val="69846A0E"/>
    <w:rsid w:val="69AD798C"/>
    <w:rsid w:val="6B68175F"/>
    <w:rsid w:val="6B6860EC"/>
    <w:rsid w:val="6B8B5C99"/>
    <w:rsid w:val="6CA7198F"/>
    <w:rsid w:val="6D454822"/>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3baad464-3d0c-4aad-9729-f0f811ff5936</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342CA757</paraID>
      <start>0</start>
      <end>2</end>
      <status>unmodified</status>
      <modifiedWord/>
      <trackRevisions>false</trackRevisions>
    </reviewItem>
    <reviewItem>
      <errorID>3dc44c35-b62c-47a3-9809-867344bb29e4</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BAD7646</paraID>
      <start>0</start>
      <end>2</end>
      <status>unmodified</status>
      <modifiedWord/>
      <trackRevisions>false</trackRevisions>
    </reviewItem>
    <reviewItem>
      <errorID>2362658f-9092-41ac-9e6b-02b93ddc9d7e</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263B4273</paraID>
      <start>0</start>
      <end>2</end>
      <status>unmodified</status>
      <modifiedWord/>
      <trackRevisions>false</trackRevisions>
    </reviewItem>
    <reviewItem>
      <errorID>62eb421f-10f8-4e66-a983-f6e23ff24e3c</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C10929B</paraID>
      <start>0</start>
      <end>2</end>
      <status>unmodified</status>
      <modifiedWord/>
      <trackRevisions>false</trackRevisions>
    </reviewItem>
    <reviewItem>
      <errorID>9769503d-fec2-4764-8fc2-bf229019f6c5</errorID>
      <errorWord>5、</errorWord>
      <group>L1_Format</group>
      <groupName>格式问题</groupName>
      <ability>L2_Ordinal</ability>
      <abilityName>序号格式</abilityName>
      <candidateList>
        <item>5.</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570ECCF7</paraID>
      <start>0</start>
      <end>2</end>
      <status>unmodified</status>
      <modifiedWord/>
      <trackRevisions>false</trackRevisions>
    </reviewItem>
    <reviewItem>
      <errorID>c5529059-29f0-4d8c-a2d8-a4af241d807f</errorID>
      <errorWord>6、</errorWord>
      <group>L1_Format</group>
      <groupName>格式问题</groupName>
      <ability>L2_Ordinal</ability>
      <abilityName>序号格式</abilityName>
      <candidateList>
        <item>6.</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29401CDC</paraID>
      <start>0</start>
      <end>2</end>
      <status>unmodified</status>
      <modifiedWord/>
      <trackRevisions>false</trackRevisions>
    </reviewItem>
    <reviewItem>
      <errorID>da6ef36d-442e-4ebf-85e6-7de3732152a1</errorID>
      <errorWord>7、</errorWord>
      <group>L1_Format</group>
      <groupName>格式问题</groupName>
      <ability>L2_Ordinal</ability>
      <abilityName>序号格式</abilityName>
      <candidateList>
        <item>7.</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7396E5ED</paraID>
      <start>0</start>
      <end>2</end>
      <status>unmodified</status>
      <modifiedWord/>
      <trackRevisions>false</trackRevisions>
    </reviewItem>
    <reviewItem>
      <errorID>87aff196-7db0-4f82-9318-88feba9b993c</errorID>
      <errorWord>8、</errorWord>
      <group>L1_Format</group>
      <groupName>格式问题</groupName>
      <ability>L2_Ordinal</ability>
      <abilityName>序号格式</abilityName>
      <candidateList>
        <item>8.</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41D6C46A</paraID>
      <start>0</start>
      <end>2</end>
      <status>unmodified</status>
      <modifiedWord/>
      <trackRevisions>false</trackRevisions>
    </reviewItem>
    <reviewItem>
      <errorID>32277f37-849f-4308-829f-2ad198b9435f</errorID>
      <errorWord>9、</errorWord>
      <group>L1_Format</group>
      <groupName>格式问题</groupName>
      <ability>L2_Ordinal</ability>
      <abilityName>序号格式</abilityName>
      <candidateList>
        <item>9.</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5CE72F8E</paraID>
      <start>0</start>
      <end>2</end>
      <status>unmodified</status>
      <modifiedWord/>
      <trackRevisions>false</trackRevisions>
    </reviewItem>
    <reviewItem>
      <errorID>1ae60d64-6efc-43aa-94d6-af3943af1525</errorID>
      <errorWord>10、</errorWord>
      <group>L1_Format</group>
      <groupName>格式问题</groupName>
      <ability>L2_Ordinal</ability>
      <abilityName>序号格式</abilityName>
      <candidateList>
        <item>10.</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 FCF7140</paraID>
      <start>0</start>
      <end>3</end>
      <status>unmodified</status>
      <modifiedWord/>
      <trackRevisions>false</trackRevisions>
    </reviewItem>
    <reviewItem>
      <errorID>d44b9a80-e62b-47af-9449-f87784440c08</errorID>
      <errorWord>11、</errorWord>
      <group>L1_Format</group>
      <groupName>格式问题</groupName>
      <ability>L2_Ordinal</ability>
      <abilityName>序号格式</abilityName>
      <candidateList>
        <item>11.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458FAB01</paraID>
      <start>0</start>
      <end>3</end>
      <status>unmodified</status>
      <modifiedWord/>
      <trackRevisions>false</trackRevisions>
    </reviewItem>
    <reviewItem>
      <errorID>62c3dcc4-b5d9-45bc-84e1-3228529ddc5e</errorID>
      <errorWord>2月31日</errorWord>
      <group>L1_Sensitive</group>
      <groupName>敏感问题</groupName>
      <ability>L2_UserSensitive</ability>
      <abilityName>自定义敏感词</abilityName>
      <candidateList/>
      <explain>来自自定义敏感词库。</explain>
      <paraID>23A2CE7D</paraID>
      <start>8</start>
      <end>13</end>
      <status>unmodified</status>
      <modifiedWord/>
      <trackRevisions>false</trackRevisions>
    </reviewItem>
    <reviewItem>
      <errorID>3dbf99d6-5521-4023-a551-c48f14181c97</errorID>
      <errorWord>监控</errorWord>
      <group>L1_Sensitive</group>
      <groupName>敏感问题</groupName>
      <ability>L2_UserSensitive</ability>
      <abilityName>自定义敏感词</abilityName>
      <candidateList/>
      <explain>来自自定义敏感词库。</explain>
      <paraID>4CA94C6F</paraID>
      <start>159</start>
      <end>161</end>
      <status>unmodified</status>
      <modifiedWord/>
      <trackRevisions>false</trackRevisions>
    </reviewItem>
    <reviewItem>
      <errorID>484792f3-cbb6-4939-8dd1-76f55d19f9b7</errorID>
      <errorWord>死亡率</errorWord>
      <group>L1_Sensitive</group>
      <groupName>敏感问题</groupName>
      <ability>L2_UserSensitive</ability>
      <abilityName>自定义敏感词</abilityName>
      <candidateList/>
      <explain>来自自定义敏感词库。</explain>
      <paraID>20A4F2AC</paraID>
      <start>85</start>
      <end>88</end>
      <status>unmodified</status>
      <modifiedWord/>
      <trackRevisions>false</trackRevisions>
    </reviewItem>
    <reviewItem>
      <errorID>2d0dc529-0ff8-44ff-96d5-f1aaf5e3c4af</errorID>
      <errorWord>包虫病</errorWord>
      <group>L1_Knowledge</group>
      <groupName>知识性问题</groupName>
      <ability>L2_Term</ability>
      <abilityName>专业术语</abilityName>
      <candidateList>
        <item>棘球蚴病</item>
      </candidateList>
      <explain>医学名词[包虫病]为不规范表述或旧称，其规范书面表述为[棘球蚴病]。</explain>
      <paraID>6143D1A1</paraID>
      <start>0</start>
      <end>3</end>
      <status>unmodified</status>
      <modifiedWord/>
      <trackRevisions>false</trackRevisions>
    </reviewItem>
    <reviewItem>
      <errorID>d614be17-6512-488d-b5c0-813f33ed26ad</errorID>
      <errorWord>-2022年</errorWord>
      <group>L1_Word</group>
      <groupName>字词问题</groupName>
      <ability>L2_Typo</ability>
      <abilityName>字词错误</abilityName>
      <candidateList>
        <item>—2022年</item>
      </candidateList>
      <explain/>
      <paraID> FB235D1</paraID>
      <start>4</start>
      <end>10</end>
      <status>unmodified</status>
      <modifiedWord/>
      <trackRevisions>false</trackRevisions>
    </reviewItem>
    <reviewItem>
      <errorID>dbadb211-3b16-4a43-96d8-b4df04eb0ef9</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34903791</paraID>
      <start>0</start>
      <end>2</end>
      <status>unmodified</status>
      <modifiedWord/>
      <trackRevisions>false</trackRevisions>
    </reviewItem>
    <reviewItem>
      <errorID>bfa3dda5-87bb-45c7-b7aa-2b79e7f449f8</errorID>
      <errorWord>2月31日</errorWord>
      <group>L1_Sensitive</group>
      <groupName>敏感问题</groupName>
      <ability>L2_UserSensitive</ability>
      <abilityName>自定义敏感词</abilityName>
      <candidateList/>
      <explain>来自自定义敏感词库。</explain>
      <paraID>4E4B6958</paraID>
      <start>92</start>
      <end>97</end>
      <status>unmodified</status>
      <modifiedWord/>
      <trackRevisions>false</trackRevisions>
    </reviewItem>
    <reviewItem>
      <errorID>b1ea7081-e606-4e92-b690-7bdcdcc2158a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3E09CA3A</paraID>
      <start>0</start>
      <end>2</end>
      <status>unmodified</status>
      <modifiedWord/>
      <trackRevisions>false</trackRevisions>
    </reviewItem>
    <reviewItem>
      <errorID>96fd4592-7f47-40a4-ad5e-27224c455e53</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56F52D47</paraID>
      <start>0</start>
      <end>2</end>
      <status>unmodified</status>
      <modifiedWord/>
      <trackRevisions>false</trackRevisions>
    </reviewItem>
    <reviewItem>
      <errorID>1f9e02f8-c14b-4758-8a3d-bdc2efa98f48</errorID>
      <errorWord>提高</errorWord>
      <group>L1_Word</group>
      <groupName>字词问题</groupName>
      <ability>L2_Typo</ability>
      <abilityName>字词错误</abilityName>
      <candidateList>
        <item>增强</item>
      </candidateList>
      <explain>“提高～意识”搭配不当，建议修改为“增强～意识”。</explain>
      <paraID>62B4E482</paraID>
      <start>88</start>
      <end>90</end>
      <status>unmodified</status>
      <modifiedWord/>
      <trackRevisions>false</trackRevisions>
    </reviewItem>
    <reviewItem>
      <errorID>bef77182-bf88-4661-9312-1884ec74fada</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744B0944</paraID>
      <start>0</start>
      <end>2</end>
      <status>unmodified</status>
      <modifiedWord/>
      <trackRevisions>false</trackRevisions>
    </reviewItem>
    <reviewItem>
      <errorID>0599e2a3-a4e3-4a3d-9ed8-8d19c476061b</errorID>
      <errorWord>死亡率</errorWord>
      <group>L1_Sensitive</group>
      <groupName>敏感问题</groupName>
      <ability>L2_UserSensitive</ability>
      <abilityName>自定义敏感词</abilityName>
      <candidateList/>
      <explain>来自自定义敏感词库。</explain>
      <paraID>51FE03C3</paraID>
      <start>37</start>
      <end>40</end>
      <status>unmodified</status>
      <modifiedWord/>
      <trackRevisions>false</trackRevisions>
    </reviewItem>
    <reviewItem>
      <errorID>2d0e8d29-b560-4db3-914f-46a86d568e8b</errorID>
      <errorWord>包虫病</errorWord>
      <group>L1_Knowledge</group>
      <groupName>知识性问题</groupName>
      <ability>L2_Term</ability>
      <abilityName>专业术语</abilityName>
      <candidateList>
        <item>棘球蚴病</item>
      </candidateList>
      <explain>医学名词[包虫病]为不规范表述或旧称，其规范书面表述为[棘球蚴病]。</explain>
      <paraID>51FE03C3</paraID>
      <start>134</start>
      <end>137</end>
      <status>unmodified</status>
      <modifiedWord/>
      <trackRevisions>false</trackRevisions>
    </reviewItem>
    <reviewItem>
      <errorID>c3e3fbe7-3e5e-4324-8fdd-5948f07b251b</errorID>
      <errorWord>包虫病</errorWord>
      <group>L1_Knowledge</group>
      <groupName>知识性问题</groupName>
      <ability>L2_Term</ability>
      <abilityName>专业术语</abilityName>
      <candidateList>
        <item>棘球蚴病</item>
      </candidateList>
      <explain>医学名词[包虫病]为不规范表述或旧称，其规范书面表述为[棘球蚴病]。</explain>
      <paraID>51FE03C3</paraID>
      <start>165</start>
      <end>168</end>
      <status>unmodified</status>
      <modifiedWord/>
      <trackRevisions>false</trackRevisions>
    </reviewItem>
    <reviewItem>
      <errorID>250aaf5d-a2f4-4a5c-98d0-47c4ab39217f</errorID>
      <errorWord>包虫病</errorWord>
      <group>L1_Knowledge</group>
      <groupName>知识性问题</groupName>
      <ability>L2_Term</ability>
      <abilityName>专业术语</abilityName>
      <candidateList>
        <item>棘球蚴病</item>
      </candidateList>
      <explain>医学名词[包虫病]为不规范表述或旧称，其规范书面表述为[棘球蚴病]。</explain>
      <paraID>51FE03C3</paraID>
      <start>184</start>
      <end>187</end>
      <status>unmodified</status>
      <modifiedWord/>
      <trackRevisions>false</trackRevisions>
    </reviewItem>
    <reviewItem>
      <errorID>a24c7512-4d08-4d4d-a833-7ab321f98b32</errorID>
      <errorWord>包虫病</errorWord>
      <group>L1_Knowledge</group>
      <groupName>知识性问题</groupName>
      <ability>L2_Term</ability>
      <abilityName>专业术语</abilityName>
      <candidateList>
        <item>棘球蚴病</item>
      </candidateList>
      <explain>医学名词[包虫病]为不规范表述或旧称，其规范书面表述为[棘球蚴病]。</explain>
      <paraID>639FDDA1</paraID>
      <start>58</start>
      <end>61</end>
      <status>unmodified</status>
      <modifiedWord/>
      <trackRevisions>false</trackRevisions>
    </reviewItem>
    <reviewItem>
      <errorID>44c7d4d6-e1c3-4bdb-a94b-fa63b212e44e</errorID>
      <errorWord>包虫病</errorWord>
      <group>L1_Knowledge</group>
      <groupName>知识性问题</groupName>
      <ability>L2_Term</ability>
      <abilityName>专业术语</abilityName>
      <candidateList>
        <item>棘球蚴病</item>
      </candidateList>
      <explain>医学名词[包虫病]为不规范表述或旧称，其规范书面表述为[棘球蚴病]。</explain>
      <paraID> 672A3DC</paraID>
      <start>0</start>
      <end>3</end>
      <status>unmodified</status>
      <modifiedWord/>
      <trackRevisions>false</trackRevisions>
    </reviewItem>
    <reviewItem>
      <errorID>567f7570-270c-4860-95b1-7a2c7a3b06f3</errorID>
      <errorWord>包虫病</errorWord>
      <group>L1_Knowledge</group>
      <groupName>知识性问题</groupName>
      <ability>L2_Term</ability>
      <abilityName>专业术语</abilityName>
      <candidateList>
        <item>棘球蚴病</item>
      </candidateList>
      <explain>医学名词[包虫病]为不规范表述或旧称，其规范书面表述为[棘球蚴病]。</explain>
      <paraID>26EEF41B</paraID>
      <start>0</start>
      <end>3</end>
      <status>unmodified</status>
      <modifiedWord/>
      <trackRevisions>false</trackRevisions>
    </reviewItem>
    <reviewItem>
      <errorID>9498302b-9d9b-4a00-803b-2a9d082fffda</errorID>
      <errorWord>包虫病</errorWord>
      <group>L1_Knowledge</group>
      <groupName>知识性问题</groupName>
      <ability>L2_Term</ability>
      <abilityName>专业术语</abilityName>
      <candidateList>
        <item>棘球蚴病</item>
      </candidateList>
      <explain>医学名词[包虫病]为不规范表述或旧称，其规范书面表述为[棘球蚴病]。</explain>
      <paraID> 50DCAA9</paraID>
      <start>0</start>
      <end>3</end>
      <status>unmodified</status>
      <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c4e941d-537c-482e-91b2-b94a52fc2ac5}">
  <ds:schemaRefs/>
</ds:datastoreItem>
</file>

<file path=docProps/app.xml><?xml version="1.0" encoding="utf-8"?>
<Properties xmlns="http://schemas.openxmlformats.org/officeDocument/2006/extended-properties" xmlns:vt="http://schemas.openxmlformats.org/officeDocument/2006/docPropsVTypes">
  <Template>Normal.dotm</Template>
  <Pages>40</Pages>
  <Words>6165</Words>
  <Characters>6977</Characters>
  <Lines>0</Lines>
  <Paragraphs>0</Paragraphs>
  <TotalTime>4</TotalTime>
  <ScaleCrop>false</ScaleCrop>
  <LinksUpToDate>false</LinksUpToDate>
  <CharactersWithSpaces>6985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2025-08-28T09:42:17Z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