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47265"/>
    <w:p w14:paraId="1B8086F5">
      <w:pPr>
        <w:spacing w:line="540" w:lineRule="exact"/>
        <w:jc w:val="center"/>
        <w:rPr>
          <w:rFonts w:hint="default" w:ascii="Times New Roman" w:hAnsi="Times New Roman" w:eastAsia="华文中宋" w:cs="Times New Roman"/>
          <w:b/>
          <w:kern w:val="0"/>
          <w:sz w:val="52"/>
          <w:szCs w:val="52"/>
        </w:rPr>
      </w:pPr>
    </w:p>
    <w:p w14:paraId="2812B344">
      <w:pPr>
        <w:spacing w:line="540" w:lineRule="exact"/>
        <w:rPr>
          <w:rFonts w:hint="default" w:ascii="Times New Roman" w:hAnsi="Times New Roman" w:eastAsia="华文中宋" w:cs="Times New Roman"/>
          <w:b/>
          <w:kern w:val="0"/>
          <w:sz w:val="52"/>
          <w:szCs w:val="52"/>
        </w:rPr>
      </w:pPr>
    </w:p>
    <w:p w14:paraId="732ABEC0">
      <w:pPr>
        <w:spacing w:line="540" w:lineRule="exact"/>
        <w:jc w:val="center"/>
        <w:rPr>
          <w:rFonts w:hint="default" w:ascii="Times New Roman" w:hAnsi="Times New Roman" w:eastAsia="华文中宋" w:cs="Times New Roman"/>
          <w:b/>
          <w:kern w:val="0"/>
          <w:sz w:val="52"/>
          <w:szCs w:val="52"/>
        </w:rPr>
      </w:pPr>
    </w:p>
    <w:p w14:paraId="6B689B18">
      <w:pPr>
        <w:spacing w:line="540" w:lineRule="exact"/>
        <w:jc w:val="center"/>
        <w:rPr>
          <w:rFonts w:hint="default" w:ascii="Times New Roman" w:hAnsi="Times New Roman" w:eastAsia="华文中宋" w:cs="Times New Roman"/>
          <w:b/>
          <w:kern w:val="0"/>
          <w:sz w:val="52"/>
          <w:szCs w:val="52"/>
        </w:rPr>
      </w:pPr>
    </w:p>
    <w:p w14:paraId="264FCB41">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残疾人两项补贴项目支出绩效评价报告</w:t>
      </w:r>
    </w:p>
    <w:p w14:paraId="36334211">
      <w:pPr>
        <w:spacing w:line="540" w:lineRule="exact"/>
        <w:jc w:val="center"/>
        <w:rPr>
          <w:rFonts w:hint="default" w:ascii="Times New Roman" w:hAnsi="Times New Roman" w:eastAsia="华文中宋" w:cs="Times New Roman"/>
          <w:b/>
          <w:kern w:val="0"/>
          <w:sz w:val="52"/>
          <w:szCs w:val="52"/>
        </w:rPr>
      </w:pPr>
    </w:p>
    <w:p w14:paraId="3189B641">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030B165B">
      <w:pPr>
        <w:spacing w:line="540" w:lineRule="exact"/>
        <w:jc w:val="center"/>
        <w:rPr>
          <w:rFonts w:hint="default" w:ascii="Times New Roman" w:hAnsi="Times New Roman" w:eastAsia="仿宋_GB2312" w:cs="Times New Roman"/>
          <w:kern w:val="0"/>
          <w:sz w:val="32"/>
          <w:szCs w:val="32"/>
        </w:rPr>
      </w:pPr>
    </w:p>
    <w:p w14:paraId="588352FF">
      <w:pPr>
        <w:spacing w:line="540" w:lineRule="exact"/>
        <w:jc w:val="center"/>
        <w:rPr>
          <w:rFonts w:hint="default" w:ascii="Times New Roman" w:hAnsi="Times New Roman" w:eastAsia="仿宋_GB2312" w:cs="Times New Roman"/>
          <w:kern w:val="0"/>
          <w:sz w:val="32"/>
          <w:szCs w:val="32"/>
        </w:rPr>
      </w:pPr>
    </w:p>
    <w:p w14:paraId="349E341E">
      <w:pPr>
        <w:spacing w:line="540" w:lineRule="exact"/>
        <w:jc w:val="center"/>
        <w:rPr>
          <w:rFonts w:hint="default" w:ascii="Times New Roman" w:hAnsi="Times New Roman" w:eastAsia="仿宋_GB2312" w:cs="Times New Roman"/>
          <w:kern w:val="0"/>
          <w:sz w:val="32"/>
          <w:szCs w:val="32"/>
        </w:rPr>
      </w:pPr>
    </w:p>
    <w:p w14:paraId="2B064924">
      <w:pPr>
        <w:spacing w:line="540" w:lineRule="exact"/>
        <w:jc w:val="both"/>
        <w:rPr>
          <w:rFonts w:hint="default" w:ascii="Times New Roman" w:hAnsi="Times New Roman" w:eastAsia="仿宋_GB2312" w:cs="Times New Roman"/>
          <w:kern w:val="0"/>
          <w:sz w:val="32"/>
          <w:szCs w:val="32"/>
        </w:rPr>
      </w:pPr>
    </w:p>
    <w:p w14:paraId="3770730E">
      <w:pPr>
        <w:spacing w:line="540" w:lineRule="exact"/>
        <w:rPr>
          <w:rFonts w:hint="default" w:ascii="Times New Roman" w:hAnsi="Times New Roman" w:eastAsia="仿宋_GB2312" w:cs="Times New Roman"/>
          <w:kern w:val="0"/>
          <w:sz w:val="32"/>
          <w:szCs w:val="32"/>
        </w:rPr>
      </w:pPr>
    </w:p>
    <w:p w14:paraId="063BB160">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残疾人两项补贴</w:t>
      </w:r>
    </w:p>
    <w:p w14:paraId="7E1AA09A">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特克斯县民政局</w:t>
      </w:r>
    </w:p>
    <w:p w14:paraId="26858BBA">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特克斯县民政局</w:t>
      </w:r>
    </w:p>
    <w:p w14:paraId="6A7DF6D4">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阿那匹亚</w:t>
      </w:r>
    </w:p>
    <w:p w14:paraId="632A0341">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05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日</w:t>
      </w:r>
    </w:p>
    <w:p w14:paraId="7D153888">
      <w:pPr>
        <w:spacing w:line="540" w:lineRule="exact"/>
        <w:jc w:val="center"/>
        <w:rPr>
          <w:rFonts w:hint="default" w:ascii="Times New Roman" w:hAnsi="Times New Roman" w:eastAsia="仿宋_GB2312" w:cs="Times New Roman"/>
          <w:kern w:val="0"/>
          <w:sz w:val="30"/>
          <w:szCs w:val="30"/>
        </w:rPr>
      </w:pPr>
    </w:p>
    <w:p w14:paraId="41B7E604">
      <w:pPr>
        <w:spacing w:line="540" w:lineRule="exact"/>
        <w:rPr>
          <w:rStyle w:val="15"/>
          <w:rFonts w:hint="default" w:ascii="Times New Roman" w:hAnsi="Times New Roman" w:eastAsia="黑体" w:cs="Times New Roman"/>
          <w:b w:val="0"/>
          <w:spacing w:val="-4"/>
          <w:sz w:val="32"/>
          <w:szCs w:val="32"/>
        </w:rPr>
      </w:pPr>
    </w:p>
    <w:p w14:paraId="109ACBE2">
      <w:pPr>
        <w:spacing w:line="540" w:lineRule="exact"/>
        <w:ind w:firstLine="640"/>
        <w:rPr>
          <w:rStyle w:val="15"/>
          <w:rFonts w:hint="default" w:ascii="Times New Roman" w:hAnsi="Times New Roman" w:eastAsia="黑体" w:cs="Times New Roman"/>
          <w:b w:val="0"/>
          <w:spacing w:val="-4"/>
          <w:sz w:val="32"/>
          <w:szCs w:val="32"/>
        </w:rPr>
      </w:pPr>
    </w:p>
    <w:p w14:paraId="7E530AE2">
      <w:pPr>
        <w:spacing w:line="540" w:lineRule="exact"/>
        <w:rPr>
          <w:rStyle w:val="15"/>
          <w:rFonts w:hint="default" w:ascii="Times New Roman" w:hAnsi="Times New Roman" w:eastAsia="黑体" w:cs="Times New Roman"/>
          <w:b w:val="0"/>
          <w:spacing w:val="-4"/>
          <w:sz w:val="32"/>
          <w:szCs w:val="32"/>
        </w:rPr>
      </w:pPr>
    </w:p>
    <w:p w14:paraId="33EAE6CF">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0E27D1E4">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D99FCFA">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4B6F85F">
      <w:pPr>
        <w:spacing w:line="560" w:lineRule="exact"/>
        <w:ind w:firstLine="643" w:firstLineChars="200"/>
        <w:rPr>
          <w:rStyle w:val="15"/>
          <w:rFonts w:hint="default" w:ascii="Times New Roman" w:hAnsi="Times New Roman" w:eastAsia="黑体" w:cs="Times New Roman"/>
          <w:b w:val="0"/>
          <w:bCs/>
          <w:spacing w:val="-4"/>
          <w:sz w:val="32"/>
          <w:szCs w:val="32"/>
          <w:highlight w:val="yellow"/>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54A5B180">
      <w:pPr>
        <w:pStyle w:val="10"/>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国家对残疾人群体的重视：党和政府高度重视残疾人福利保障工作，习近平总书记指出，残疾人是一个特殊困难的群体，需要格外关心、格外关注。以人民为中心的发展思想要求保障残疾人生存发展权益，增进残疾人福祉。</w:t>
      </w:r>
    </w:p>
    <w:p w14:paraId="7E6F2132">
      <w:pPr>
        <w:pStyle w:val="10"/>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解决残疾人特殊困难：残疾人由于身体或精神等方面的障碍，在生活和护理上存在特殊困难。为解决残疾人特殊生活困难和长期照护困难，国务院决定全面建立困难残疾人生活补贴和重度残疾人护理补贴制度。</w:t>
      </w:r>
    </w:p>
    <w:p w14:paraId="2BEAC089">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7DA75EA">
      <w:pPr>
        <w:spacing w:line="560" w:lineRule="exact"/>
        <w:ind w:firstLine="600" w:firstLineChars="200"/>
        <w:rPr>
          <w:rFonts w:hint="default"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default" w:ascii="仿宋_GB2312" w:hAnsi="仿宋_GB2312" w:eastAsia="仿宋_GB2312" w:cs="仿宋_GB2312"/>
          <w:sz w:val="32"/>
          <w:szCs w:val="32"/>
          <w:highlight w:val="none"/>
          <w:lang w:val="en-US" w:eastAsia="zh-CN"/>
        </w:rPr>
        <w:t xml:space="preserve"> </w:t>
      </w:r>
    </w:p>
    <w:p w14:paraId="39E34000">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困难残疾人生活补贴</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主要补助残疾人因残疾产生的额外生活支出。对象为低保家庭中的残疾人，有条件的地方可扩大到低收入残疾人及其他困难残疾人。</w:t>
      </w:r>
    </w:p>
    <w:p w14:paraId="484CCF66">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重度残疾人护理补贴：主要补助残疾人因残疾产生的额外长期照护支出。对象为残疾等级被评定为一级、二级的重度残疾人，有条件的地方可扩大到非重度智力、精神残疾人或其他残疾人。</w:t>
      </w:r>
    </w:p>
    <w:p w14:paraId="3B470C02">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rPr>
        <w:t>项目实施情况：</w:t>
      </w:r>
      <w:r>
        <w:rPr>
          <w:rFonts w:hint="eastAsia" w:ascii="仿宋_GB2312" w:hAnsi="仿宋_GB2312" w:eastAsia="仿宋_GB2312" w:cs="仿宋_GB2312"/>
          <w:kern w:val="2"/>
          <w:sz w:val="32"/>
          <w:szCs w:val="32"/>
        </w:rPr>
        <w:t>根据《国发【2015】52号的意见》、《自治区人民政府关于建立困难残疾人生活补贴和重度残疾人补贴制度实施意见》的精神，结合新政发【2016】44号文件有关规定及要求，现结合我县实际，要求做到公开、公平、公正调查核实后的结果上报县“两项补贴”领导小组办公室。202</w:t>
      </w:r>
      <w:r>
        <w:rPr>
          <w:rFonts w:hint="eastAsia" w:ascii="仿宋_GB2312" w:hAnsi="仿宋_GB2312" w:eastAsia="仿宋_GB2312" w:cs="仿宋_GB2312"/>
          <w:kern w:val="2"/>
          <w:sz w:val="32"/>
          <w:szCs w:val="32"/>
          <w:lang w:val="en-US" w:eastAsia="zh-CN"/>
        </w:rPr>
        <w:t>4</w:t>
      </w:r>
      <w:r>
        <w:rPr>
          <w:rFonts w:hint="eastAsia" w:ascii="仿宋_GB2312" w:hAnsi="仿宋_GB2312" w:eastAsia="仿宋_GB2312" w:cs="仿宋_GB2312"/>
          <w:kern w:val="2"/>
          <w:sz w:val="32"/>
          <w:szCs w:val="32"/>
        </w:rPr>
        <w:t>年</w:t>
      </w:r>
      <w:r>
        <w:rPr>
          <w:rFonts w:hint="eastAsia" w:ascii="仿宋_GB2312" w:hAnsi="仿宋_GB2312" w:eastAsia="仿宋_GB2312" w:cs="仿宋_GB2312"/>
          <w:kern w:val="2"/>
          <w:sz w:val="32"/>
          <w:szCs w:val="32"/>
          <w:lang w:val="en-US" w:eastAsia="zh-CN"/>
        </w:rPr>
        <w:t>1-12</w:t>
      </w:r>
      <w:r>
        <w:rPr>
          <w:rFonts w:hint="eastAsia" w:ascii="仿宋_GB2312" w:hAnsi="仿宋_GB2312" w:eastAsia="仿宋_GB2312" w:cs="仿宋_GB2312"/>
          <w:kern w:val="2"/>
          <w:sz w:val="32"/>
          <w:szCs w:val="32"/>
        </w:rPr>
        <w:t>月份享受残疾</w:t>
      </w:r>
      <w:r>
        <w:rPr>
          <w:rFonts w:hint="eastAsia" w:ascii="仿宋_GB2312" w:hAnsi="仿宋_GB2312" w:eastAsia="仿宋_GB2312" w:cs="仿宋_GB2312"/>
          <w:kern w:val="2"/>
          <w:sz w:val="32"/>
          <w:szCs w:val="32"/>
          <w:lang w:eastAsia="zh-CN"/>
        </w:rPr>
        <w:t>人</w:t>
      </w:r>
      <w:r>
        <w:rPr>
          <w:rFonts w:hint="eastAsia" w:ascii="仿宋_GB2312" w:hAnsi="仿宋_GB2312" w:eastAsia="仿宋_GB2312" w:cs="仿宋_GB2312"/>
          <w:kern w:val="2"/>
          <w:sz w:val="32"/>
          <w:szCs w:val="32"/>
        </w:rPr>
        <w:t>两项补贴</w:t>
      </w:r>
      <w:r>
        <w:rPr>
          <w:rFonts w:hint="eastAsia" w:ascii="仿宋_GB2312" w:hAnsi="仿宋_GB2312" w:eastAsia="仿宋_GB2312" w:cs="仿宋_GB2312"/>
          <w:kern w:val="2"/>
          <w:sz w:val="32"/>
          <w:szCs w:val="32"/>
          <w:lang w:eastAsia="zh-CN"/>
        </w:rPr>
        <w:t>平均人数</w:t>
      </w:r>
      <w:r>
        <w:rPr>
          <w:rFonts w:hint="eastAsia" w:ascii="仿宋_GB2312" w:hAnsi="仿宋_GB2312" w:eastAsia="仿宋_GB2312" w:cs="仿宋_GB2312"/>
          <w:kern w:val="2"/>
          <w:sz w:val="32"/>
          <w:szCs w:val="32"/>
          <w:lang w:val="en-US" w:eastAsia="zh-CN"/>
        </w:rPr>
        <w:t>3589</w:t>
      </w:r>
      <w:r>
        <w:rPr>
          <w:rFonts w:hint="eastAsia" w:ascii="仿宋_GB2312" w:hAnsi="仿宋_GB2312" w:eastAsia="仿宋_GB2312" w:cs="仿宋_GB2312"/>
          <w:kern w:val="2"/>
          <w:sz w:val="32"/>
          <w:szCs w:val="32"/>
        </w:rPr>
        <w:t>，其中享受生活补贴</w:t>
      </w:r>
      <w:r>
        <w:rPr>
          <w:rFonts w:hint="eastAsia" w:ascii="仿宋_GB2312" w:hAnsi="仿宋_GB2312" w:eastAsia="仿宋_GB2312" w:cs="仿宋_GB2312"/>
          <w:kern w:val="2"/>
          <w:sz w:val="32"/>
          <w:szCs w:val="32"/>
          <w:lang w:eastAsia="zh-CN"/>
        </w:rPr>
        <w:t>平均人数1850，</w:t>
      </w:r>
      <w:r>
        <w:rPr>
          <w:rFonts w:hint="eastAsia" w:ascii="仿宋_GB2312" w:hAnsi="仿宋_GB2312" w:eastAsia="仿宋_GB2312" w:cs="仿宋_GB2312"/>
          <w:kern w:val="2"/>
          <w:sz w:val="32"/>
          <w:szCs w:val="32"/>
        </w:rPr>
        <w:t>护理补贴</w:t>
      </w:r>
      <w:r>
        <w:rPr>
          <w:rFonts w:hint="eastAsia" w:ascii="仿宋_GB2312" w:hAnsi="仿宋_GB2312" w:eastAsia="仿宋_GB2312" w:cs="仿宋_GB2312"/>
          <w:kern w:val="2"/>
          <w:sz w:val="32"/>
          <w:szCs w:val="32"/>
          <w:lang w:eastAsia="zh-CN"/>
        </w:rPr>
        <w:t>平均人数1690</w:t>
      </w:r>
      <w:r>
        <w:rPr>
          <w:rFonts w:hint="eastAsia" w:ascii="仿宋_GB2312" w:hAnsi="仿宋_GB2312" w:eastAsia="仿宋_GB2312" w:cs="仿宋_GB2312"/>
          <w:kern w:val="2"/>
          <w:sz w:val="32"/>
          <w:szCs w:val="32"/>
        </w:rPr>
        <w:t>，困难残疾人生活补贴120元/人/月</w:t>
      </w:r>
      <w:r>
        <w:rPr>
          <w:rFonts w:hint="eastAsia" w:ascii="仿宋_GB2312" w:hAnsi="仿宋_GB2312" w:eastAsia="仿宋_GB2312" w:cs="仿宋_GB2312"/>
          <w:kern w:val="2"/>
          <w:sz w:val="32"/>
          <w:szCs w:val="32"/>
          <w:lang w:eastAsia="zh-CN"/>
        </w:rPr>
        <w:t>、重度残疾人护理补贴120元/人/月，</w:t>
      </w:r>
      <w:r>
        <w:rPr>
          <w:rFonts w:hint="eastAsia" w:ascii="仿宋_GB2312" w:hAnsi="仿宋_GB2312" w:eastAsia="仿宋_GB2312" w:cs="仿宋_GB2312"/>
          <w:kern w:val="2"/>
          <w:sz w:val="32"/>
          <w:szCs w:val="32"/>
        </w:rPr>
        <w:t>发放</w:t>
      </w:r>
      <w:r>
        <w:rPr>
          <w:rFonts w:hint="eastAsia" w:ascii="仿宋_GB2312" w:hAnsi="仿宋_GB2312" w:eastAsia="仿宋_GB2312" w:cs="仿宋_GB2312"/>
          <w:kern w:val="2"/>
          <w:sz w:val="32"/>
          <w:szCs w:val="32"/>
          <w:lang w:val="en-US" w:eastAsia="zh-CN"/>
        </w:rPr>
        <w:t>2024年1-12</w:t>
      </w:r>
      <w:r>
        <w:rPr>
          <w:rFonts w:hint="eastAsia" w:ascii="仿宋_GB2312" w:hAnsi="仿宋_GB2312" w:eastAsia="仿宋_GB2312" w:cs="仿宋_GB2312"/>
          <w:kern w:val="2"/>
          <w:sz w:val="32"/>
          <w:szCs w:val="32"/>
        </w:rPr>
        <w:t>月份残疾人两项补贴资金共</w:t>
      </w:r>
      <w:r>
        <w:rPr>
          <w:rFonts w:hint="eastAsia" w:ascii="仿宋_GB2312" w:hAnsi="仿宋_GB2312" w:eastAsia="仿宋_GB2312" w:cs="仿宋_GB2312"/>
          <w:kern w:val="2"/>
          <w:sz w:val="32"/>
          <w:szCs w:val="32"/>
          <w:lang w:val="en-US" w:eastAsia="zh-CN"/>
        </w:rPr>
        <w:t>517.008万</w:t>
      </w:r>
      <w:r>
        <w:rPr>
          <w:rFonts w:hint="eastAsia" w:ascii="仿宋_GB2312" w:hAnsi="仿宋_GB2312" w:eastAsia="仿宋_GB2312" w:cs="仿宋_GB2312"/>
          <w:kern w:val="2"/>
          <w:sz w:val="32"/>
          <w:szCs w:val="32"/>
        </w:rPr>
        <w:t>元</w:t>
      </w:r>
      <w:r>
        <w:rPr>
          <w:rFonts w:hint="eastAsia" w:ascii="仿宋_GB2312" w:hAnsi="仿宋_GB2312" w:eastAsia="仿宋_GB2312" w:cs="仿宋_GB2312"/>
          <w:kern w:val="2"/>
          <w:sz w:val="32"/>
          <w:szCs w:val="32"/>
          <w:lang w:eastAsia="zh-CN"/>
        </w:rPr>
        <w:t>（伍佰壹拾柒万零捌拾元整</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，补贴发放覆盖率达到</w:t>
      </w:r>
      <w:r>
        <w:rPr>
          <w:rFonts w:hint="eastAsia" w:ascii="仿宋_GB2312" w:hAnsi="仿宋_GB2312" w:eastAsia="仿宋_GB2312" w:cs="仿宋_GB2312"/>
          <w:kern w:val="2"/>
          <w:sz w:val="32"/>
          <w:szCs w:val="32"/>
          <w:lang w:val="en-US" w:eastAsia="zh-CN"/>
        </w:rPr>
        <w:t>100%，保证每月的补贴当月15日之前发放到位，补贴发放及时率达到100%。</w:t>
      </w:r>
    </w:p>
    <w:p w14:paraId="2248F23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1C0500F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D92C3B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517.01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517.01</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1073C14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59F7733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517.01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517.01</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517.01</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残疾人两项补贴对象，即</w:t>
      </w:r>
      <w:r>
        <w:rPr>
          <w:rFonts w:hint="default" w:ascii="仿宋_GB2312" w:hAnsi="仿宋_GB2312" w:eastAsia="仿宋_GB2312" w:cs="仿宋_GB2312"/>
          <w:sz w:val="32"/>
          <w:szCs w:val="32"/>
          <w:highlight w:val="none"/>
          <w:lang w:val="en-US" w:eastAsia="zh-CN"/>
        </w:rPr>
        <w:t>困难残疾人生活补贴</w:t>
      </w:r>
      <w:r>
        <w:rPr>
          <w:rFonts w:hint="eastAsia" w:ascii="仿宋_GB2312" w:hAnsi="仿宋_GB2312" w:eastAsia="仿宋_GB2312" w:cs="仿宋_GB2312"/>
          <w:sz w:val="32"/>
          <w:szCs w:val="32"/>
          <w:highlight w:val="none"/>
          <w:lang w:val="en-US" w:eastAsia="zh-CN"/>
        </w:rPr>
        <w:t>和</w:t>
      </w:r>
      <w:r>
        <w:rPr>
          <w:rFonts w:hint="default" w:ascii="仿宋_GB2312" w:hAnsi="仿宋_GB2312" w:eastAsia="仿宋_GB2312" w:cs="仿宋_GB2312"/>
          <w:sz w:val="32"/>
          <w:szCs w:val="32"/>
          <w:highlight w:val="none"/>
          <w:lang w:val="en-US" w:eastAsia="zh-CN"/>
        </w:rPr>
        <w:t>重度残疾人护理补贴</w:t>
      </w:r>
      <w:r>
        <w:rPr>
          <w:rFonts w:hint="eastAsia" w:ascii="Times New Roman" w:hAnsi="Times New Roman" w:eastAsia="仿宋_GB2312" w:cs="Times New Roman"/>
          <w:sz w:val="32"/>
          <w:szCs w:val="32"/>
          <w:highlight w:val="none"/>
          <w:lang w:val="en-US" w:eastAsia="zh-CN"/>
        </w:rPr>
        <w:t>。</w:t>
      </w:r>
    </w:p>
    <w:p w14:paraId="6FF0315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3A6CE8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2C35AC5">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通过发放困难残疾人发放生活补贴预计1831人，重度残疾人护理补贴预计1758人，按照每人120元/月标准发放补贴，全年12次发放，达到保障残疾人的基本生活切实减轻城乡残疾群众生活困难，确保把党的惠民政策落到实处的目的。</w:t>
      </w:r>
    </w:p>
    <w:p w14:paraId="3B5E89D6">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39743020">
      <w:pPr>
        <w:spacing w:line="560" w:lineRule="exact"/>
        <w:ind w:firstLine="640" w:firstLineChars="200"/>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rPr>
        <w:t>202</w:t>
      </w:r>
      <w:r>
        <w:rPr>
          <w:rFonts w:hint="eastAsia" w:ascii="仿宋_GB2312" w:hAnsi="仿宋_GB2312" w:eastAsia="仿宋_GB2312" w:cs="仿宋_GB2312"/>
          <w:kern w:val="2"/>
          <w:sz w:val="32"/>
          <w:szCs w:val="32"/>
          <w:lang w:val="en-US" w:eastAsia="zh-CN"/>
        </w:rPr>
        <w:t>4年度上半年</w:t>
      </w:r>
      <w:r>
        <w:rPr>
          <w:rFonts w:hint="eastAsia" w:ascii="仿宋_GB2312" w:hAnsi="仿宋_GB2312" w:eastAsia="仿宋_GB2312" w:cs="仿宋_GB2312"/>
          <w:kern w:val="2"/>
          <w:sz w:val="32"/>
          <w:szCs w:val="32"/>
        </w:rPr>
        <w:t>享受残疾</w:t>
      </w:r>
      <w:r>
        <w:rPr>
          <w:rFonts w:hint="eastAsia" w:ascii="仿宋_GB2312" w:hAnsi="仿宋_GB2312" w:eastAsia="仿宋_GB2312" w:cs="仿宋_GB2312"/>
          <w:kern w:val="2"/>
          <w:sz w:val="32"/>
          <w:szCs w:val="32"/>
          <w:lang w:eastAsia="zh-CN"/>
        </w:rPr>
        <w:t>人</w:t>
      </w:r>
      <w:r>
        <w:rPr>
          <w:rFonts w:hint="eastAsia" w:ascii="仿宋_GB2312" w:hAnsi="仿宋_GB2312" w:eastAsia="仿宋_GB2312" w:cs="仿宋_GB2312"/>
          <w:kern w:val="2"/>
          <w:sz w:val="32"/>
          <w:szCs w:val="32"/>
        </w:rPr>
        <w:t>两项补贴</w:t>
      </w:r>
      <w:r>
        <w:rPr>
          <w:rFonts w:hint="eastAsia" w:ascii="仿宋_GB2312" w:hAnsi="仿宋_GB2312" w:eastAsia="仿宋_GB2312" w:cs="仿宋_GB2312"/>
          <w:kern w:val="2"/>
          <w:sz w:val="32"/>
          <w:szCs w:val="32"/>
          <w:lang w:eastAsia="zh-CN"/>
        </w:rPr>
        <w:t>平均人数</w:t>
      </w:r>
      <w:r>
        <w:rPr>
          <w:rFonts w:hint="eastAsia" w:ascii="仿宋_GB2312" w:hAnsi="仿宋_GB2312" w:eastAsia="仿宋_GB2312" w:cs="仿宋_GB2312"/>
          <w:kern w:val="2"/>
          <w:sz w:val="32"/>
          <w:szCs w:val="32"/>
          <w:lang w:val="en-US" w:eastAsia="zh-CN"/>
        </w:rPr>
        <w:t>3589</w:t>
      </w:r>
      <w:r>
        <w:rPr>
          <w:rFonts w:hint="eastAsia" w:ascii="仿宋_GB2312" w:hAnsi="仿宋_GB2312" w:eastAsia="仿宋_GB2312" w:cs="仿宋_GB2312"/>
          <w:kern w:val="2"/>
          <w:sz w:val="32"/>
          <w:szCs w:val="32"/>
        </w:rPr>
        <w:t>，其中享受生活补贴</w:t>
      </w:r>
      <w:r>
        <w:rPr>
          <w:rFonts w:hint="eastAsia" w:ascii="仿宋_GB2312" w:hAnsi="仿宋_GB2312" w:eastAsia="仿宋_GB2312" w:cs="仿宋_GB2312"/>
          <w:kern w:val="2"/>
          <w:sz w:val="32"/>
          <w:szCs w:val="32"/>
          <w:lang w:eastAsia="zh-CN"/>
        </w:rPr>
        <w:t>平均人数1850，发放</w:t>
      </w:r>
      <w:r>
        <w:rPr>
          <w:rFonts w:hint="eastAsia" w:ascii="仿宋_GB2312" w:hAnsi="仿宋_GB2312" w:eastAsia="仿宋_GB2312" w:cs="仿宋_GB2312"/>
          <w:kern w:val="2"/>
          <w:sz w:val="32"/>
          <w:szCs w:val="32"/>
          <w:lang w:val="en-US" w:eastAsia="zh-CN"/>
        </w:rPr>
        <w:t>132.564万元、</w:t>
      </w:r>
      <w:r>
        <w:rPr>
          <w:rFonts w:hint="eastAsia" w:ascii="仿宋_GB2312" w:hAnsi="仿宋_GB2312" w:eastAsia="仿宋_GB2312" w:cs="仿宋_GB2312"/>
          <w:kern w:val="2"/>
          <w:sz w:val="32"/>
          <w:szCs w:val="32"/>
        </w:rPr>
        <w:t>护理补贴</w:t>
      </w:r>
      <w:r>
        <w:rPr>
          <w:rFonts w:hint="eastAsia" w:ascii="仿宋_GB2312" w:hAnsi="仿宋_GB2312" w:eastAsia="仿宋_GB2312" w:cs="仿宋_GB2312"/>
          <w:kern w:val="2"/>
          <w:sz w:val="32"/>
          <w:szCs w:val="32"/>
          <w:lang w:eastAsia="zh-CN"/>
        </w:rPr>
        <w:t>平均人数1690</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发放</w:t>
      </w:r>
      <w:r>
        <w:rPr>
          <w:rFonts w:hint="eastAsia" w:ascii="仿宋_GB2312" w:hAnsi="仿宋_GB2312" w:eastAsia="仿宋_GB2312" w:cs="仿宋_GB2312"/>
          <w:kern w:val="2"/>
          <w:sz w:val="32"/>
          <w:szCs w:val="32"/>
          <w:lang w:val="en-US" w:eastAsia="zh-CN"/>
        </w:rPr>
        <w:t>123.396万元。</w:t>
      </w:r>
    </w:p>
    <w:p w14:paraId="1E7CA1A7">
      <w:pPr>
        <w:spacing w:line="560" w:lineRule="exact"/>
        <w:ind w:firstLine="640" w:firstLineChars="200"/>
        <w:rPr>
          <w:rFonts w:hint="eastAsia"/>
          <w:lang w:val="en-US" w:eastAsia="zh-CN"/>
        </w:rPr>
      </w:pPr>
      <w:r>
        <w:rPr>
          <w:rFonts w:hint="eastAsia" w:ascii="仿宋_GB2312" w:hAnsi="仿宋_GB2312" w:eastAsia="仿宋_GB2312" w:cs="仿宋_GB2312"/>
          <w:kern w:val="2"/>
          <w:sz w:val="32"/>
          <w:szCs w:val="32"/>
        </w:rPr>
        <w:t>202</w:t>
      </w:r>
      <w:r>
        <w:rPr>
          <w:rFonts w:hint="eastAsia" w:ascii="仿宋_GB2312" w:hAnsi="仿宋_GB2312" w:eastAsia="仿宋_GB2312" w:cs="仿宋_GB2312"/>
          <w:kern w:val="2"/>
          <w:sz w:val="32"/>
          <w:szCs w:val="32"/>
          <w:lang w:val="en-US" w:eastAsia="zh-CN"/>
        </w:rPr>
        <w:t>4年度下半年</w:t>
      </w:r>
      <w:r>
        <w:rPr>
          <w:rFonts w:hint="eastAsia" w:ascii="仿宋_GB2312" w:hAnsi="仿宋_GB2312" w:eastAsia="仿宋_GB2312" w:cs="仿宋_GB2312"/>
          <w:kern w:val="2"/>
          <w:sz w:val="32"/>
          <w:szCs w:val="32"/>
        </w:rPr>
        <w:t>享受残疾</w:t>
      </w:r>
      <w:r>
        <w:rPr>
          <w:rFonts w:hint="eastAsia" w:ascii="仿宋_GB2312" w:hAnsi="仿宋_GB2312" w:eastAsia="仿宋_GB2312" w:cs="仿宋_GB2312"/>
          <w:kern w:val="2"/>
          <w:sz w:val="32"/>
          <w:szCs w:val="32"/>
          <w:lang w:eastAsia="zh-CN"/>
        </w:rPr>
        <w:t>人</w:t>
      </w:r>
      <w:r>
        <w:rPr>
          <w:rFonts w:hint="eastAsia" w:ascii="仿宋_GB2312" w:hAnsi="仿宋_GB2312" w:eastAsia="仿宋_GB2312" w:cs="仿宋_GB2312"/>
          <w:kern w:val="2"/>
          <w:sz w:val="32"/>
          <w:szCs w:val="32"/>
        </w:rPr>
        <w:t>两项补贴</w:t>
      </w:r>
      <w:r>
        <w:rPr>
          <w:rFonts w:hint="eastAsia" w:ascii="仿宋_GB2312" w:hAnsi="仿宋_GB2312" w:eastAsia="仿宋_GB2312" w:cs="仿宋_GB2312"/>
          <w:kern w:val="2"/>
          <w:sz w:val="32"/>
          <w:szCs w:val="32"/>
          <w:lang w:eastAsia="zh-CN"/>
        </w:rPr>
        <w:t>平均人数</w:t>
      </w:r>
      <w:r>
        <w:rPr>
          <w:rFonts w:hint="eastAsia" w:ascii="仿宋_GB2312" w:hAnsi="仿宋_GB2312" w:eastAsia="仿宋_GB2312" w:cs="仿宋_GB2312"/>
          <w:kern w:val="2"/>
          <w:sz w:val="32"/>
          <w:szCs w:val="32"/>
          <w:lang w:val="en-US" w:eastAsia="zh-CN"/>
        </w:rPr>
        <w:t>3589</w:t>
      </w:r>
      <w:r>
        <w:rPr>
          <w:rFonts w:hint="eastAsia" w:ascii="仿宋_GB2312" w:hAnsi="仿宋_GB2312" w:eastAsia="仿宋_GB2312" w:cs="仿宋_GB2312"/>
          <w:kern w:val="2"/>
          <w:sz w:val="32"/>
          <w:szCs w:val="32"/>
        </w:rPr>
        <w:t>，其中享受生活补贴</w:t>
      </w:r>
      <w:r>
        <w:rPr>
          <w:rFonts w:hint="eastAsia" w:ascii="仿宋_GB2312" w:hAnsi="仿宋_GB2312" w:eastAsia="仿宋_GB2312" w:cs="仿宋_GB2312"/>
          <w:kern w:val="2"/>
          <w:sz w:val="32"/>
          <w:szCs w:val="32"/>
          <w:lang w:eastAsia="zh-CN"/>
        </w:rPr>
        <w:t>平均人数1850，发放</w:t>
      </w:r>
      <w:r>
        <w:rPr>
          <w:rFonts w:hint="eastAsia" w:ascii="仿宋_GB2312" w:hAnsi="仿宋_GB2312" w:eastAsia="仿宋_GB2312" w:cs="仿宋_GB2312"/>
          <w:kern w:val="2"/>
          <w:sz w:val="32"/>
          <w:szCs w:val="32"/>
          <w:lang w:val="en-US" w:eastAsia="zh-CN"/>
        </w:rPr>
        <w:t>131.16万元、</w:t>
      </w:r>
      <w:r>
        <w:rPr>
          <w:rFonts w:hint="eastAsia" w:ascii="仿宋_GB2312" w:hAnsi="仿宋_GB2312" w:eastAsia="仿宋_GB2312" w:cs="仿宋_GB2312"/>
          <w:kern w:val="2"/>
          <w:sz w:val="32"/>
          <w:szCs w:val="32"/>
        </w:rPr>
        <w:t>护理补贴</w:t>
      </w:r>
      <w:r>
        <w:rPr>
          <w:rFonts w:hint="eastAsia" w:ascii="仿宋_GB2312" w:hAnsi="仿宋_GB2312" w:eastAsia="仿宋_GB2312" w:cs="仿宋_GB2312"/>
          <w:kern w:val="2"/>
          <w:sz w:val="32"/>
          <w:szCs w:val="32"/>
          <w:lang w:eastAsia="zh-CN"/>
        </w:rPr>
        <w:t>平均人数1690</w:t>
      </w: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发放</w:t>
      </w:r>
      <w:r>
        <w:rPr>
          <w:rFonts w:hint="eastAsia" w:ascii="仿宋_GB2312" w:hAnsi="仿宋_GB2312" w:eastAsia="仿宋_GB2312" w:cs="仿宋_GB2312"/>
          <w:kern w:val="2"/>
          <w:sz w:val="32"/>
          <w:szCs w:val="32"/>
          <w:lang w:val="en-US" w:eastAsia="zh-CN"/>
        </w:rPr>
        <w:t>129.888万元。</w:t>
      </w:r>
    </w:p>
    <w:p w14:paraId="2402764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366B7B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1DF953D8">
      <w:pPr>
        <w:pStyle w:val="10"/>
        <w:widowControl w:val="0"/>
        <w:spacing w:before="0" w:after="0" w:line="560" w:lineRule="exact"/>
        <w:ind w:firstLine="640" w:firstLineChars="200"/>
        <w:jc w:val="both"/>
        <w:outlineLvl w:val="9"/>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1.绩效评价完整性</w:t>
      </w:r>
    </w:p>
    <w:p w14:paraId="0FCDD496">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435A1FA">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47D1871D">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141811C">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67D9E2D">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仿宋_GB2312" w:hAnsi="仿宋_GB2312" w:eastAsia="仿宋_GB2312" w:cs="仿宋_GB2312"/>
          <w:b w:val="0"/>
          <w:bCs w:val="0"/>
          <w:kern w:val="2"/>
          <w:sz w:val="32"/>
          <w:szCs w:val="32"/>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85F516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50784C71">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（1）评估项目实施效果</w:t>
      </w:r>
    </w:p>
    <w:p w14:paraId="365F9477">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通过对项目预算执行情况及各项绩效目标达成程度的系统性分析，全面、客观地评估项目在预定周期内的实施效果，包括社会效益维度指标，为项目后续的改进与优化提供科学依据。</w:t>
      </w:r>
    </w:p>
    <w:p w14:paraId="6DE2AEED">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（2）提升资源利用效率</w:t>
      </w:r>
    </w:p>
    <w:p w14:paraId="5F2A12B3">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AAEC63F">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（3）强化项目管理责任</w:t>
      </w:r>
    </w:p>
    <w:p w14:paraId="6DDED9B4">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9AD6C96">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（4）为决策提供支持</w:t>
      </w:r>
    </w:p>
    <w:p w14:paraId="68BB1E87">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AC27595">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（5）促进项目持续改进</w:t>
      </w:r>
    </w:p>
    <w:p w14:paraId="17559FA9">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152A584">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76E8FBA">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6D4AED36">
      <w:pPr>
        <w:pStyle w:val="10"/>
        <w:widowControl w:val="0"/>
        <w:spacing w:before="0" w:after="0" w:line="560" w:lineRule="exact"/>
        <w:ind w:firstLine="640" w:firstLineChars="200"/>
        <w:jc w:val="both"/>
        <w:outlineLvl w:val="9"/>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本项目预算绩效评价报告的评价对象是</w:t>
      </w:r>
      <w:r>
        <w:rPr>
          <w:rFonts w:hint="eastAsia" w:ascii="仿宋_GB2312" w:hAnsi="仿宋_GB2312" w:eastAsia="仿宋_GB2312" w:cs="仿宋_GB2312"/>
          <w:b w:val="0"/>
          <w:bCs w:val="0"/>
          <w:kern w:val="2"/>
          <w:sz w:val="32"/>
          <w:szCs w:val="32"/>
          <w:lang w:val="en-US" w:eastAsia="zh-CN" w:bidi="ar-SA"/>
        </w:rPr>
        <w:t>残疾人两项补贴</w:t>
      </w:r>
      <w:r>
        <w:rPr>
          <w:rFonts w:hint="default" w:ascii="仿宋_GB2312" w:hAnsi="仿宋_GB2312" w:eastAsia="仿宋_GB2312" w:cs="仿宋_GB2312"/>
          <w:b w:val="0"/>
          <w:bCs w:val="0"/>
          <w:kern w:val="2"/>
          <w:sz w:val="32"/>
          <w:szCs w:val="32"/>
          <w:lang w:val="en-US" w:eastAsia="zh-CN" w:bidi="ar-SA"/>
        </w:rPr>
        <w:t>及其预算执行情况。该项目由</w:t>
      </w:r>
      <w:r>
        <w:rPr>
          <w:rFonts w:hint="eastAsia" w:ascii="仿宋_GB2312" w:hAnsi="仿宋_GB2312" w:eastAsia="仿宋_GB2312" w:cs="仿宋_GB2312"/>
          <w:b w:val="0"/>
          <w:bCs w:val="0"/>
          <w:kern w:val="2"/>
          <w:sz w:val="32"/>
          <w:szCs w:val="32"/>
          <w:lang w:val="en-US" w:eastAsia="zh-CN" w:bidi="ar-SA"/>
        </w:rPr>
        <w:t>特克斯县民政局</w:t>
      </w:r>
      <w:r>
        <w:rPr>
          <w:rFonts w:hint="default" w:ascii="仿宋_GB2312" w:hAnsi="仿宋_GB2312" w:eastAsia="仿宋_GB2312" w:cs="仿宋_GB2312"/>
          <w:b w:val="0"/>
          <w:bCs w:val="0"/>
          <w:kern w:val="2"/>
          <w:sz w:val="32"/>
          <w:szCs w:val="32"/>
          <w:lang w:val="en-US" w:eastAsia="zh-CN" w:bidi="ar-SA"/>
        </w:rPr>
        <w:t>负责实施，旨在补贴资金使残疾人有能力购买康复服务、护理服务等，提升了生活自理能力和健康水平。如部分地区的残疾人利用补贴资金参与专业康复训练，身体机能得到明显改善。项目预算涵盖从</w:t>
      </w:r>
      <w:r>
        <w:rPr>
          <w:rFonts w:hint="eastAsia" w:ascii="仿宋_GB2312" w:hAnsi="仿宋_GB2312" w:eastAsia="仿宋_GB2312" w:cs="仿宋_GB2312"/>
          <w:b w:val="0"/>
          <w:bCs w:val="0"/>
          <w:kern w:val="2"/>
          <w:sz w:val="32"/>
          <w:szCs w:val="32"/>
          <w:lang w:val="en-US" w:eastAsia="zh-CN" w:bidi="ar-SA"/>
        </w:rPr>
        <w:t>2024年1月</w:t>
      </w:r>
      <w:r>
        <w:rPr>
          <w:rFonts w:hint="default" w:ascii="仿宋_GB2312" w:hAnsi="仿宋_GB2312" w:eastAsia="仿宋_GB2312" w:cs="仿宋_GB2312"/>
          <w:b w:val="0"/>
          <w:bCs w:val="0"/>
          <w:kern w:val="2"/>
          <w:sz w:val="32"/>
          <w:szCs w:val="32"/>
          <w:lang w:val="en-US" w:eastAsia="zh-CN" w:bidi="ar-SA"/>
        </w:rPr>
        <w:t>至</w:t>
      </w:r>
      <w:r>
        <w:rPr>
          <w:rFonts w:hint="eastAsia" w:ascii="仿宋_GB2312" w:hAnsi="仿宋_GB2312" w:eastAsia="仿宋_GB2312" w:cs="仿宋_GB2312"/>
          <w:b w:val="0"/>
          <w:bCs w:val="0"/>
          <w:kern w:val="2"/>
          <w:sz w:val="32"/>
          <w:szCs w:val="32"/>
          <w:lang w:val="en-US" w:eastAsia="zh-CN" w:bidi="ar-SA"/>
        </w:rPr>
        <w:t>2024年12月</w:t>
      </w:r>
      <w:r>
        <w:rPr>
          <w:rFonts w:hint="default" w:ascii="仿宋_GB2312" w:hAnsi="仿宋_GB2312" w:eastAsia="仿宋_GB2312" w:cs="仿宋_GB2312"/>
          <w:b w:val="0"/>
          <w:bCs w:val="0"/>
          <w:kern w:val="2"/>
          <w:sz w:val="32"/>
          <w:szCs w:val="32"/>
          <w:lang w:val="en-US" w:eastAsia="zh-CN" w:bidi="ar-SA"/>
        </w:rPr>
        <w:t>的全部资金投入与支出，涉及资金总额为</w:t>
      </w:r>
      <w:r>
        <w:rPr>
          <w:rFonts w:hint="eastAsia" w:ascii="仿宋_GB2312" w:hAnsi="仿宋_GB2312" w:eastAsia="仿宋_GB2312" w:cs="仿宋_GB2312"/>
          <w:b w:val="0"/>
          <w:bCs w:val="0"/>
          <w:kern w:val="2"/>
          <w:sz w:val="32"/>
          <w:szCs w:val="32"/>
          <w:lang w:val="en-US" w:eastAsia="zh-CN" w:bidi="ar-SA"/>
        </w:rPr>
        <w:t>517.01</w:t>
      </w:r>
      <w:r>
        <w:rPr>
          <w:rFonts w:hint="default" w:ascii="仿宋_GB2312" w:hAnsi="仿宋_GB2312" w:eastAsia="仿宋_GB2312" w:cs="仿宋_GB2312"/>
          <w:b w:val="0"/>
          <w:bCs w:val="0"/>
          <w:kern w:val="2"/>
          <w:sz w:val="32"/>
          <w:szCs w:val="32"/>
          <w:lang w:val="en-US" w:eastAsia="zh-CN" w:bidi="ar-SA"/>
        </w:rPr>
        <w:t>万元。</w:t>
      </w:r>
    </w:p>
    <w:p w14:paraId="23D2AB2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0EFF6F3D">
      <w:pPr>
        <w:spacing w:line="560" w:lineRule="exact"/>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本项目预算绩效评价报告的评价范围广泛而全面，涵盖了从项目立项至评价时点期间的所有关键预算活动和财务流程。具体而言，评价范围包括但不限于以下几个方面：</w:t>
      </w:r>
    </w:p>
    <w:p w14:paraId="648A0C69">
      <w:pPr>
        <w:spacing w:line="560" w:lineRule="exact"/>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项目预算编制与执行：全面审视项目预算的编制依据、合理性、科学性以及实际执行情况，包括预算调整的原因和效果。</w:t>
      </w:r>
    </w:p>
    <w:p w14:paraId="2E9298C4">
      <w:pPr>
        <w:spacing w:line="560" w:lineRule="exact"/>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资金管理：深入分析项目资金的分配、使用和监管情况，确保资金使用的合规性、高效性和透明度。</w:t>
      </w:r>
    </w:p>
    <w:p w14:paraId="12207DE4">
      <w:pPr>
        <w:spacing w:line="560" w:lineRule="exact"/>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项目实施进度与产出：评估项目是否按照既定计划顺利推进，各项任务是否按时完成，以及项目产出的数量、质量和时效性是否符合预期。</w:t>
      </w:r>
    </w:p>
    <w:p w14:paraId="728BEC50">
      <w:pPr>
        <w:spacing w:line="560" w:lineRule="exact"/>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Times New Roman" w:hAnsi="Times New Roman" w:eastAsia="仿宋_GB2312" w:cs="Times New Roman"/>
          <w:color w:val="000000"/>
          <w:sz w:val="32"/>
          <w:szCs w:val="32"/>
          <w:lang w:val="en-US" w:eastAsia="zh-CN"/>
        </w:rPr>
        <w:t>社会、</w:t>
      </w:r>
      <w:r>
        <w:rPr>
          <w:rFonts w:hint="eastAsia" w:ascii="Times New Roman" w:hAnsi="Times New Roman" w:eastAsia="仿宋_GB2312" w:cs="Times New Roman"/>
          <w:color w:val="000000"/>
          <w:sz w:val="32"/>
          <w:szCs w:val="32"/>
          <w:lang w:val="en-US" w:eastAsia="zh-CN"/>
        </w:rPr>
        <w:t>生态</w:t>
      </w:r>
      <w:r>
        <w:rPr>
          <w:rFonts w:hint="default" w:ascii="Times New Roman" w:hAnsi="Times New Roman" w:eastAsia="仿宋_GB2312" w:cs="Times New Roman"/>
          <w:color w:val="000000"/>
          <w:sz w:val="32"/>
          <w:szCs w:val="32"/>
          <w:lang w:val="en-US" w:eastAsia="zh-CN"/>
        </w:rPr>
        <w:t>等影响：考察项目对社会综合</w:t>
      </w:r>
      <w:r>
        <w:rPr>
          <w:rFonts w:hint="default" w:ascii="仿宋_GB2312" w:hAnsi="仿宋_GB2312" w:eastAsia="仿宋_GB2312" w:cs="仿宋_GB2312"/>
          <w:b w:val="0"/>
          <w:bCs w:val="0"/>
          <w:kern w:val="2"/>
          <w:sz w:val="32"/>
          <w:szCs w:val="32"/>
          <w:lang w:val="en-US" w:eastAsia="zh-CN" w:bidi="ar-SA"/>
        </w:rPr>
        <w:t>影响。</w:t>
      </w:r>
    </w:p>
    <w:p w14:paraId="1C474DC0">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CB2D8E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42F15E9B">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4C96F11E">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70D9D334">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E2EA916">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62F4833C">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D94A88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1546F534">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3C93F08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4C60218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166B2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16DF651A">
      <w:pPr>
        <w:spacing w:line="560" w:lineRule="exact"/>
        <w:ind w:firstLine="708" w:firstLineChars="200"/>
        <w:rPr>
          <w:rFonts w:hint="default" w:ascii="Times New Roman" w:hAnsi="Times New Roman" w:eastAsia="仿宋_GB2312" w:cs="Times New Roman"/>
          <w:color w:val="00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确定各个指标相对于项目总体绩效的权重分值。在绩效评价指标体系中，项目产出权重为</w:t>
      </w:r>
      <w:r>
        <w:rPr>
          <w:rFonts w:hint="eastAsia" w:ascii="Times New Roman" w:hAnsi="Times New Roman" w:eastAsia="仿宋_GB2312" w:cs="Times New Roman"/>
          <w:color w:val="000000"/>
          <w:spacing w:val="17"/>
          <w:sz w:val="32"/>
          <w:szCs w:val="32"/>
          <w:lang w:val="en-US" w:eastAsia="zh-CN"/>
        </w:rPr>
        <w:t>40</w:t>
      </w:r>
      <w:r>
        <w:rPr>
          <w:rFonts w:hint="default" w:ascii="Times New Roman" w:hAnsi="Times New Roman" w:eastAsia="仿宋_GB2312" w:cs="Times New Roman"/>
          <w:color w:val="000000"/>
          <w:spacing w:val="17"/>
          <w:sz w:val="32"/>
          <w:szCs w:val="32"/>
        </w:rPr>
        <w:t>分，项目成本权重为20分，项目效益权重为</w:t>
      </w:r>
      <w:r>
        <w:rPr>
          <w:rFonts w:hint="eastAsia" w:ascii="Times New Roman" w:hAnsi="Times New Roman" w:eastAsia="仿宋_GB2312" w:cs="Times New Roman"/>
          <w:color w:val="000000"/>
          <w:spacing w:val="17"/>
          <w:sz w:val="32"/>
          <w:szCs w:val="32"/>
          <w:lang w:val="en-US" w:eastAsia="zh-CN"/>
        </w:rPr>
        <w:t>20</w:t>
      </w:r>
      <w:r>
        <w:rPr>
          <w:rFonts w:hint="default" w:ascii="Times New Roman" w:hAnsi="Times New Roman" w:eastAsia="仿宋_GB2312" w:cs="Times New Roman"/>
          <w:color w:val="000000"/>
          <w:spacing w:val="17"/>
          <w:sz w:val="32"/>
          <w:szCs w:val="32"/>
        </w:rPr>
        <w:t>分，项目满意度权重为</w:t>
      </w:r>
      <w:r>
        <w:rPr>
          <w:rFonts w:hint="eastAsia" w:ascii="Times New Roman" w:hAnsi="Times New Roman" w:eastAsia="仿宋_GB2312" w:cs="Times New Roman"/>
          <w:color w:val="000000"/>
          <w:spacing w:val="17"/>
          <w:sz w:val="32"/>
          <w:szCs w:val="32"/>
          <w:lang w:val="en-US" w:eastAsia="zh-CN"/>
        </w:rPr>
        <w:t>10</w:t>
      </w:r>
      <w:r>
        <w:rPr>
          <w:rFonts w:hint="default" w:ascii="Times New Roman" w:hAnsi="Times New Roman" w:eastAsia="仿宋_GB2312" w:cs="Times New Roman"/>
          <w:color w:val="000000"/>
          <w:spacing w:val="17"/>
          <w:sz w:val="32"/>
          <w:szCs w:val="32"/>
        </w:rPr>
        <w:t>分。</w:t>
      </w:r>
    </w:p>
    <w:p w14:paraId="2D07051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CB797F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407D45EC">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28575EC">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0447235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72D4171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E948FCE">
      <w:pPr>
        <w:spacing w:line="560" w:lineRule="exact"/>
        <w:ind w:firstLine="708" w:firstLineChars="200"/>
        <w:rPr>
          <w:rFonts w:hint="default" w:ascii="Times New Roman" w:hAnsi="Times New Roman" w:eastAsia="仿宋_GB2312" w:cs="Times New Roman"/>
          <w:color w:val="000000"/>
          <w:spacing w:val="17"/>
          <w:sz w:val="32"/>
          <w:szCs w:val="32"/>
          <w:highlight w:val="gree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F87637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w:t>
      </w:r>
      <w:r>
        <w:rPr>
          <w:rFonts w:hint="eastAsia" w:ascii="Times New Roman" w:hAnsi="Times New Roman" w:eastAsia="仿宋_GB2312" w:cs="Times New Roman"/>
          <w:color w:val="000000"/>
          <w:spacing w:val="17"/>
          <w:sz w:val="32"/>
          <w:szCs w:val="32"/>
          <w:lang w:eastAsia="zh-CN"/>
        </w:rPr>
        <w:t>一</w:t>
      </w:r>
      <w:r>
        <w:rPr>
          <w:rFonts w:hint="default" w:ascii="Times New Roman" w:hAnsi="Times New Roman" w:eastAsia="仿宋_GB2312" w:cs="Times New Roman"/>
          <w:color w:val="000000"/>
          <w:spacing w:val="17"/>
          <w:sz w:val="32"/>
          <w:szCs w:val="32"/>
        </w:rPr>
        <w:t>）因素分析法。是指综合分析影响绩效目标实现、实施效果的内外部因素的方法。能全面梳理出影响补贴绩效的各类因素，如补贴标准的合理性、审核发放流程的效率、信息管理系统的准确性、对特殊困难群体的关注程度等。通过对这些因素的深入分析，可精准找出补贴政策执行过程中存在的问题，比如是因为审核流程繁琐导致补贴发放不及时，还是由于信息更新不及时致使部分残疾人未能及时享受补贴等。</w:t>
      </w:r>
    </w:p>
    <w:p w14:paraId="74B0708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19CB8D9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6F395B3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r>
        <w:rPr>
          <w:rFonts w:hint="eastAsia" w:ascii="Times New Roman" w:hAnsi="Times New Roman" w:eastAsia="仿宋_GB2312" w:cs="Times New Roman"/>
          <w:b w:val="0"/>
          <w:bCs w:val="0"/>
          <w:lang w:eastAsia="zh-CN"/>
        </w:rPr>
        <w:t>一是</w:t>
      </w:r>
      <w:r>
        <w:rPr>
          <w:rFonts w:hint="default" w:ascii="Times New Roman" w:hAnsi="Times New Roman" w:eastAsia="仿宋_GB2312" w:cs="Times New Roman"/>
          <w:b w:val="0"/>
          <w:bCs w:val="0"/>
        </w:rPr>
        <w:t>明确补贴对象：计划标准明确规定了困难残疾人生活补贴和重度残疾人护理补贴的对象范围，如困难残疾人生活补贴主要针对低保家庭中的残疾人等，重度残疾人护理补贴针对残疾等级为一级、二级且需要长期照护的重度残疾人等，这有助于精准识别真正需要补贴的残疾人，避免遗漏或错发。</w:t>
      </w:r>
    </w:p>
    <w:p w14:paraId="12F8E0C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eastAsia" w:ascii="Times New Roman" w:hAnsi="Times New Roman" w:eastAsia="仿宋_GB2312" w:cs="Times New Roman"/>
          <w:b w:val="0"/>
          <w:bCs w:val="0"/>
          <w:lang w:eastAsia="zh-CN"/>
        </w:rPr>
        <w:t>二是</w:t>
      </w:r>
      <w:r>
        <w:rPr>
          <w:rFonts w:hint="default" w:ascii="Times New Roman" w:hAnsi="Times New Roman" w:eastAsia="仿宋_GB2312" w:cs="Times New Roman"/>
          <w:b w:val="0"/>
          <w:bCs w:val="0"/>
        </w:rPr>
        <w:t>规范补贴流程：计划标准对补贴的申请、审核、发放等流程进行了规范。例如，规定了申请人需提交的材料、审核的部门及时间节点等，使补贴发放工作有章可循，保障了政策实施的规范性和公正性。</w:t>
      </w:r>
    </w:p>
    <w:p w14:paraId="418FCF72">
      <w:pPr>
        <w:pStyle w:val="10"/>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0B8585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14:paraId="3C5C58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ED9C1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14:paraId="0D2075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53CD46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14:paraId="3287F0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E3C81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14:paraId="7CB2EF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643F8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14:paraId="34B96B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C3EA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14:paraId="4E0D11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4C7C0BA">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BB552DB">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144D7603">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lang w:val="en-US" w:eastAsia="zh-CN" w:bidi="ar-SA"/>
        </w:rPr>
        <w:t>残疾人两项补贴</w:t>
      </w:r>
      <w:r>
        <w:rPr>
          <w:rFonts w:hint="default" w:ascii="Times New Roman" w:hAnsi="Times New Roman" w:eastAsia="仿宋_GB2312" w:cs="Times New Roman"/>
          <w:b w:val="0"/>
          <w:bCs w:val="0"/>
          <w:kern w:val="28"/>
          <w:sz w:val="32"/>
          <w:szCs w:val="32"/>
          <w:lang w:val="en-US" w:eastAsia="zh-CN" w:bidi="ar-SA"/>
        </w:rPr>
        <w:t>在残疾人两项补贴政策自实施以来，在保障残疾人基本生活、提升社会福祉等方面取得显著成效</w:t>
      </w:r>
      <w:r>
        <w:rPr>
          <w:rFonts w:hint="eastAsia" w:ascii="Times New Roman" w:hAnsi="Times New Roman" w:eastAsia="仿宋_GB2312" w:cs="Times New Roman"/>
          <w:b w:val="0"/>
          <w:bCs w:val="0"/>
          <w:kern w:val="28"/>
          <w:sz w:val="32"/>
          <w:szCs w:val="32"/>
          <w:lang w:val="en-US" w:eastAsia="zh-CN" w:bidi="ar-SA"/>
        </w:rPr>
        <w:t>，</w:t>
      </w:r>
      <w:r>
        <w:rPr>
          <w:rFonts w:hint="default" w:ascii="Times New Roman" w:hAnsi="Times New Roman" w:eastAsia="仿宋_GB2312" w:cs="Times New Roman"/>
          <w:b w:val="0"/>
          <w:bCs w:val="0"/>
          <w:kern w:val="28"/>
          <w:sz w:val="32"/>
          <w:szCs w:val="32"/>
          <w:lang w:val="en-US" w:eastAsia="zh-CN" w:bidi="ar-SA"/>
        </w:rPr>
        <w:t>表现出色，达到了预期的标准与要求。同时，项目也在残疾人两项补贴政策体现了国家和社会对残疾人群体的关爱，缩小了残疾人与健全人在生活水平上的差距，促进了社会公平正义。取得了显著的成效，如强化基本生活保障、 提升生活质量等。</w:t>
      </w:r>
    </w:p>
    <w:p w14:paraId="14A3AFDC">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r>
        <w:rPr>
          <w:rFonts w:hint="eastAsia" w:ascii="Times New Roman" w:hAnsi="Times New Roman" w:eastAsia="仿宋_GB2312" w:cs="Times New Roman"/>
          <w:b w:val="0"/>
          <w:bCs w:val="0"/>
          <w:kern w:val="28"/>
          <w:sz w:val="32"/>
          <w:szCs w:val="32"/>
          <w:lang w:val="en-US" w:eastAsia="zh-CN" w:bidi="ar-SA"/>
        </w:rPr>
        <w:t>特克斯县民政局</w:t>
      </w:r>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14:paraId="63E429FD">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不仅实现了预期的社会效益等方面产生了积极的影响。具体而言，通过严格的资格审核和动态管理机制，确保补贴资金精准发放到符合条件的残疾人手中，提高了政策实施的精准性和有效性。等方面的提升，为项目的利益相关者带来了实实在在的利益。</w:t>
      </w:r>
    </w:p>
    <w:p w14:paraId="00C89813">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w:t>
      </w:r>
      <w:r>
        <w:rPr>
          <w:rFonts w:hint="eastAsia" w:ascii="Times New Roman" w:hAnsi="Times New Roman" w:eastAsia="仿宋_GB2312" w:cs="Times New Roman"/>
          <w:b w:val="0"/>
          <w:bCs w:val="0"/>
          <w:kern w:val="28"/>
          <w:sz w:val="32"/>
          <w:szCs w:val="32"/>
          <w:lang w:val="en-US" w:eastAsia="zh-CN" w:bidi="ar-SA"/>
        </w:rPr>
        <w:t>残疾人两项补贴</w:t>
      </w:r>
      <w:r>
        <w:rPr>
          <w:rFonts w:hint="default" w:ascii="Times New Roman" w:hAnsi="Times New Roman" w:eastAsia="仿宋_GB2312" w:cs="Times New Roman"/>
          <w:b w:val="0"/>
          <w:bCs w:val="0"/>
          <w:kern w:val="28"/>
          <w:sz w:val="32"/>
          <w:szCs w:val="32"/>
          <w:lang w:val="en-US" w:eastAsia="zh-CN" w:bidi="ar-SA"/>
        </w:rPr>
        <w:t>在绩效评价中表现出色，达到了项目的预期目标，并在多个方面取得了显著的成效。</w:t>
      </w:r>
    </w:p>
    <w:p w14:paraId="50D07EC6">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3BCDF456">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分，属于“优”。其中，项目决策类指标权重为20分，得分为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60520EA0">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B4112F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8C84A2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0BEBFAD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A4B6BC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208742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F4104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FA0214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EB0166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7546A8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13B064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3D136A9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C8A528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497C5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43CDF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A88DAB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43E113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6E3CDDF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F4F71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E80367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DEC4E2F">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311D55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19D068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E5EBF5D">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08847FC">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3A554DB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262C5814">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1FA1DA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870B21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698C94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F47D43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578F72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258FEDF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6A32DE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E4C945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364DFB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215D71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D25AF9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F9E6B37">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55311B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790EC6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36414A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2FE8D2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43A5FEE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99673E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96713A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A0794C2">
      <w:pPr>
        <w:pStyle w:val="10"/>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7B1494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6904612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0B27D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5DD9555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517.01</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1EB2B3D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1DAD75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517.01</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00586C0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0EFD966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1508CDE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172304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85D55E5">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34AF841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09C3F31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54F4667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29D7C8E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0FA5F89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685ED9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37721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0E90FB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13D05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82416BD">
      <w:pPr>
        <w:pStyle w:val="11"/>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27D41C8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分，实际得分</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71403AD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060A7C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指标1：重度残疾人人数</w:t>
      </w:r>
      <w:r>
        <w:rPr>
          <w:rFonts w:hint="eastAsia" w:eastAsia="仿宋_GB2312" w:cs="Times New Roman"/>
          <w:sz w:val="32"/>
          <w:szCs w:val="32"/>
          <w:highlight w:val="none"/>
          <w:lang w:eastAsia="zh-CN"/>
        </w:rPr>
        <w:t>、困难残疾人人数、补贴发放次数</w:t>
      </w:r>
      <w:r>
        <w:rPr>
          <w:rFonts w:hint="default" w:ascii="Times New Roman" w:hAnsi="Times New Roman" w:eastAsia="仿宋_GB2312" w:cs="Times New Roman"/>
          <w:sz w:val="32"/>
          <w:szCs w:val="32"/>
          <w:highlight w:val="none"/>
        </w:rPr>
        <w:t>，指标值：&gt;=1758人</w:t>
      </w:r>
      <w:r>
        <w:rPr>
          <w:rFonts w:hint="eastAsia" w:eastAsia="仿宋_GB2312" w:cs="Times New Roman"/>
          <w:sz w:val="32"/>
          <w:szCs w:val="32"/>
          <w:highlight w:val="none"/>
          <w:lang w:eastAsia="zh-CN"/>
        </w:rPr>
        <w:t>、&gt;=1831人</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、=12次</w:t>
      </w:r>
      <w:r>
        <w:rPr>
          <w:rFonts w:hint="default" w:ascii="Times New Roman" w:hAnsi="Times New Roman" w:eastAsia="仿宋_GB2312" w:cs="Times New Roman"/>
          <w:sz w:val="32"/>
          <w:szCs w:val="32"/>
          <w:highlight w:val="none"/>
        </w:rPr>
        <w:t>，实际完成值：1758人</w:t>
      </w:r>
      <w:r>
        <w:rPr>
          <w:rFonts w:hint="eastAsia" w:eastAsia="仿宋_GB2312" w:cs="Times New Roman"/>
          <w:sz w:val="32"/>
          <w:szCs w:val="32"/>
          <w:highlight w:val="none"/>
          <w:lang w:eastAsia="zh-CN"/>
        </w:rPr>
        <w:t>、1831人、12次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D51BE2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265EB73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指标1：补贴发放覆盖率，指标值：=100% ，实际完成值：100%人，指标完成率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57DD4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3160FFA8">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指标1：补贴发放及时率，指标值：=100% ，实际完成值：100%人，指标完成率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p>
    <w:p w14:paraId="4FC499D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73F9A1B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指标1：重度残疾人护理补贴标准</w:t>
      </w:r>
      <w:r>
        <w:rPr>
          <w:rFonts w:hint="eastAsia" w:eastAsia="仿宋_GB2312" w:cs="Times New Roman"/>
          <w:sz w:val="32"/>
          <w:szCs w:val="32"/>
          <w:highlight w:val="none"/>
          <w:lang w:eastAsia="zh-CN"/>
        </w:rPr>
        <w:t>、困难残疾人生活补贴标准</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120元/月，实际完成值120元/月，指标完成率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A388682">
      <w:pPr>
        <w:pStyle w:val="11"/>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5D85BBE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17C1CEA4">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AED891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eastAsia="zh-CN"/>
        </w:rPr>
        <w:t>社会</w:t>
      </w:r>
      <w:r>
        <w:rPr>
          <w:rFonts w:hint="default" w:ascii="Times New Roman" w:hAnsi="Times New Roman" w:eastAsia="仿宋_GB2312" w:cs="Times New Roman"/>
          <w:sz w:val="32"/>
          <w:szCs w:val="32"/>
          <w:highlight w:val="none"/>
        </w:rPr>
        <w:t>效益指标：</w:t>
      </w:r>
    </w:p>
    <w:p w14:paraId="06FF3E1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指标1：保障残疾人员生活质量，指标值：效果显著，实际完成值：效果显著，指标完成率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A3639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0D9082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指标1：残疾人满意度，指标值：&gt;=95%，实际完成值：95%，指标完成率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BD33FDE">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62CEBED0">
      <w:pPr>
        <w:pStyle w:val="20"/>
        <w:spacing w:line="560" w:lineRule="exact"/>
        <w:ind w:firstLine="640"/>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残疾人两项补贴</w:t>
      </w:r>
      <w:r>
        <w:rPr>
          <w:rFonts w:hint="default" w:ascii="Times New Roman" w:hAnsi="Times New Roman" w:eastAsia="仿宋_GB2312" w:cs="Times New Roman"/>
          <w:kern w:val="2"/>
          <w:sz w:val="32"/>
          <w:szCs w:val="32"/>
          <w:highlight w:val="none"/>
          <w:lang w:val="en-US" w:eastAsia="zh-CN" w:bidi="ar-SA"/>
        </w:rPr>
        <w:t>项目年初预算</w:t>
      </w:r>
      <w:r>
        <w:rPr>
          <w:rFonts w:hint="eastAsia" w:ascii="Times New Roman" w:hAnsi="Times New Roman" w:eastAsia="仿宋_GB2312" w:cs="Times New Roman"/>
          <w:kern w:val="2"/>
          <w:sz w:val="32"/>
          <w:szCs w:val="32"/>
          <w:highlight w:val="none"/>
          <w:lang w:val="en-US" w:eastAsia="zh-CN" w:bidi="ar-SA"/>
        </w:rPr>
        <w:t>517.01</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517.01</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517.01</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14:paraId="461A5155">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3379B9F1">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6016D43">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精准识别，确保应补尽补：构建多部门数据共享机制，通过与民政、残联、公安等部门定期交换信息，精准筛选出符合补贴条件的人员，防止错漏。同时，利用大数据比对分析，对疑似符合条件但未申请的人员进行主动排查，确保每一位符合条件的残疾人都能享受到补贴。</w:t>
      </w:r>
    </w:p>
    <w:p w14:paraId="5564FDEE">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优化流程，实现高效发放：简化申请流程，减少不必要的证明材料，推行线上申请、审核，让数据多跑路、群众少跑腿。与金融机构建立协同机制，确保补贴资金按时、足额发放到位，提高资金发放效率。</w:t>
      </w:r>
    </w:p>
    <w:p w14:paraId="39085250">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贴心服务，增强补贴实效：为行动不便的残疾人提供上门办理服务，组织志愿者协助填写申请表格、准备材料。设立专门的咨询热线，及时解答残疾人及其家属关于补贴政策的疑问，提供个性化的服务指导。</w:t>
      </w:r>
    </w:p>
    <w:p w14:paraId="7ACDB6AA">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动态管理，保障公平公正：建立定期复核机制，每半年对补贴对象进行资格复查，及时更新人员信息，对不符合条件的及时停发补贴。畅通投诉举报渠道，接受社会监督，确保补贴发放公开、公平、公正。</w:t>
      </w:r>
    </w:p>
    <w:p w14:paraId="4F8FE1E6">
      <w:pPr>
        <w:keepNext/>
        <w:keepLines/>
        <w:numPr>
          <w:ilvl w:val="0"/>
          <w:numId w:val="0"/>
        </w:numPr>
        <w:spacing w:line="560" w:lineRule="exact"/>
        <w:ind w:firstLine="643" w:firstLineChars="200"/>
        <w:rPr>
          <w:rFonts w:hint="default"/>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default" w:ascii="Times New Roman" w:hAnsi="Times New Roman" w:eastAsia="楷体_GB2312" w:cs="Times New Roman"/>
          <w:b/>
          <w:bCs/>
          <w:sz w:val="32"/>
          <w:szCs w:val="32"/>
        </w:rPr>
        <w:t>存在的问题及原因分析</w:t>
      </w:r>
    </w:p>
    <w:p w14:paraId="5EFC75DC">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宣传方式不够多样化，主要依赖传统的张贴公告、发放宣传册等方式，对于一些不常接触此类信息渠道的残疾人家庭难以覆盖。</w:t>
      </w:r>
    </w:p>
    <w:p w14:paraId="79C278B1">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宣传内容不够通俗易懂，政策文件中的专业术语较多，残疾人及其家属对补贴条件、申请流程等关键信息理解不透彻。</w:t>
      </w:r>
    </w:p>
    <w:p w14:paraId="6D60094A">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13D1E261">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多</w:t>
      </w:r>
      <w:r>
        <w:rPr>
          <w:rFonts w:hint="default" w:ascii="Times New Roman" w:hAnsi="Times New Roman" w:eastAsia="仿宋_GB2312" w:cs="Times New Roman"/>
          <w:kern w:val="2"/>
          <w:sz w:val="32"/>
          <w:szCs w:val="32"/>
          <w:lang w:val="en-US" w:eastAsia="zh-CN" w:bidi="ar-SA"/>
        </w:rPr>
        <w:t>样化宣传方式：利用多种渠道，如社区宣传、媒体报道、网络平台、手机短信等，广泛宣传两项补贴政策，提高政策知晓率。针对残疾人及其家属开展专门的政策培训和咨询服务，帮助他们了解政策内容和申请流程。</w:t>
      </w:r>
    </w:p>
    <w:p w14:paraId="6EF267F4">
      <w:pPr>
        <w:pStyle w:val="2"/>
        <w:numPr>
          <w:ilvl w:val="0"/>
          <w:numId w:val="0"/>
        </w:numPr>
        <w:ind w:leftChars="0"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优化服务质量：加强工作人员培训，提高服务意识和业务水平，为残疾人提供热情、周到、专业</w:t>
      </w:r>
      <w:bookmarkStart w:id="1" w:name="_GoBack"/>
      <w:bookmarkEnd w:id="1"/>
      <w:r>
        <w:rPr>
          <w:rFonts w:hint="default" w:ascii="Times New Roman" w:hAnsi="Times New Roman" w:eastAsia="仿宋_GB2312" w:cs="Times New Roman"/>
          <w:kern w:val="2"/>
          <w:sz w:val="32"/>
          <w:szCs w:val="32"/>
          <w:lang w:val="en-US" w:eastAsia="zh-CN" w:bidi="ar-SA"/>
        </w:rPr>
        <w:t>的服务。建立投诉举报机制，及时处理残疾人的诉求和意见，维护他们的合法权益。</w:t>
      </w:r>
    </w:p>
    <w:p w14:paraId="37C31CA3">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543FD3FA">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096F05BF">
      <w:pPr>
        <w:pStyle w:val="2"/>
        <w:spacing w:after="0" w:line="560" w:lineRule="exact"/>
        <w:ind w:left="0" w:leftChars="0" w:firstLine="0" w:firstLineChars="0"/>
        <w:rPr>
          <w:rFonts w:hint="default" w:ascii="Times New Roman" w:hAnsi="Times New Roman" w:eastAsia="仿宋_GB2312" w:cs="Times New Roman"/>
          <w:sz w:val="32"/>
          <w:szCs w:val="32"/>
        </w:rPr>
      </w:pPr>
    </w:p>
    <w:p w14:paraId="708D0475">
      <w:pPr>
        <w:pStyle w:val="2"/>
        <w:rPr>
          <w:rFonts w:hint="default" w:ascii="Times New Roman" w:hAnsi="Times New Roman" w:cs="Times New Roman"/>
        </w:rPr>
      </w:pPr>
    </w:p>
    <w:p w14:paraId="1CCA8B85">
      <w:pPr>
        <w:rPr>
          <w:rFonts w:hint="default" w:ascii="Times New Roman" w:hAnsi="Times New Roman" w:cs="Times New Roman"/>
        </w:rPr>
      </w:pP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4D2C88-2433-468B-8043-56FFCA5DEC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1CD23969-3ED5-42C6-834D-4A3E69003686}"/>
  </w:font>
  <w:font w:name="华文中宋">
    <w:panose1 w:val="02010600040101010101"/>
    <w:charset w:val="86"/>
    <w:family w:val="auto"/>
    <w:pitch w:val="default"/>
    <w:sig w:usb0="00000287" w:usb1="080F0000" w:usb2="00000000" w:usb3="00000000" w:csb0="0004009F" w:csb1="DFD70000"/>
    <w:embedRegular r:id="rId3" w:fontKey="{2B6B4FBA-AA15-46AB-BBF6-84508CB9720B}"/>
  </w:font>
  <w:font w:name="方正小标宋_GBK">
    <w:panose1 w:val="02000000000000000000"/>
    <w:charset w:val="86"/>
    <w:family w:val="script"/>
    <w:pitch w:val="default"/>
    <w:sig w:usb0="A00002BF" w:usb1="38CF7CFA" w:usb2="00082016" w:usb3="00000000" w:csb0="00040001" w:csb1="00000000"/>
    <w:embedRegular r:id="rId4" w:fontKey="{F9B7627D-7869-46DF-A21B-CAECD41C532B}"/>
  </w:font>
  <w:font w:name="方正小标宋简体">
    <w:panose1 w:val="03000509000000000000"/>
    <w:charset w:val="86"/>
    <w:family w:val="auto"/>
    <w:pitch w:val="default"/>
    <w:sig w:usb0="00000001" w:usb1="080E0000" w:usb2="00000000" w:usb3="00000000" w:csb0="00040000" w:csb1="00000000"/>
    <w:embedRegular r:id="rId5" w:fontKey="{A0C13E05-E60B-4F57-A924-80095888B203}"/>
  </w:font>
  <w:font w:name="楷体_GB2312">
    <w:panose1 w:val="02010609030101010101"/>
    <w:charset w:val="86"/>
    <w:family w:val="auto"/>
    <w:pitch w:val="default"/>
    <w:sig w:usb0="00000001" w:usb1="080E0000" w:usb2="00000000" w:usb3="00000000" w:csb0="00040000" w:csb1="00000000"/>
    <w:embedRegular r:id="rId6" w:fontKey="{E02F0EC5-89B5-4715-AA34-7DDF3F6F7B15}"/>
  </w:font>
  <w:font w:name="楷体">
    <w:panose1 w:val="02010609060101010101"/>
    <w:charset w:val="86"/>
    <w:family w:val="modern"/>
    <w:pitch w:val="default"/>
    <w:sig w:usb0="800002BF" w:usb1="38CF7CFA" w:usb2="00000016" w:usb3="00000000" w:csb0="00040001" w:csb1="00000000"/>
    <w:embedRegular r:id="rId7" w:fontKey="{7C66DEA0-A479-44C5-9C7C-2FEF665D4C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81B651B">
        <w:pPr>
          <w:pStyle w:val="7"/>
          <w:jc w:val="center"/>
        </w:pPr>
        <w:r>
          <w:fldChar w:fldCharType="begin"/>
        </w:r>
        <w:r>
          <w:instrText xml:space="preserve">PAGE   \* MERGEFORMAT</w:instrText>
        </w:r>
        <w:r>
          <w:fldChar w:fldCharType="separate"/>
        </w:r>
        <w:r>
          <w:rPr>
            <w:lang w:val="zh-CN"/>
          </w:rPr>
          <w:t>13</w:t>
        </w:r>
        <w:r>
          <w:fldChar w:fldCharType="end"/>
        </w:r>
      </w:p>
    </w:sdtContent>
  </w:sdt>
  <w:p w14:paraId="0D806F9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B36F6"/>
    <w:multiLevelType w:val="singleLevel"/>
    <w:tmpl w:val="81CB36F6"/>
    <w:lvl w:ilvl="0" w:tentative="0">
      <w:start w:val="3"/>
      <w:numFmt w:val="chineseCounting"/>
      <w:suff w:val="nothing"/>
      <w:lvlText w:val="（%1）"/>
      <w:lvlJc w:val="left"/>
      <w:rPr>
        <w:rFonts w:hint="eastAsia"/>
      </w:rPr>
    </w:lvl>
  </w:abstractNum>
  <w:abstractNum w:abstractNumId="1">
    <w:nsid w:val="BB0CDE48"/>
    <w:multiLevelType w:val="singleLevel"/>
    <w:tmpl w:val="BB0CDE48"/>
    <w:lvl w:ilvl="0" w:tentative="0">
      <w:start w:val="2"/>
      <w:numFmt w:val="chineseCounting"/>
      <w:suff w:val="nothing"/>
      <w:lvlText w:val="（%1）"/>
      <w:lvlJc w:val="left"/>
      <w:rPr>
        <w:rFonts w:hint="eastAsia"/>
      </w:rPr>
    </w:lvl>
  </w:abstractNum>
  <w:abstractNum w:abstractNumId="2">
    <w:nsid w:val="E706B272"/>
    <w:multiLevelType w:val="singleLevel"/>
    <w:tmpl w:val="E706B272"/>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B723F4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5"/>
    <w:qFormat/>
    <w:uiPriority w:val="0"/>
    <w:pPr>
      <w:spacing w:after="0"/>
      <w:ind w:firstLine="20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6"/>
    <w:qFormat/>
    <w:uiPriority w:val="0"/>
    <w:rPr>
      <w:rFonts w:ascii="Times New Roman" w:hAnsi="Times New Roman" w:eastAsia="宋体" w:cs="Times New Roman"/>
      <w:kern w:val="2"/>
      <w:sz w:val="18"/>
      <w:szCs w:val="18"/>
    </w:rPr>
  </w:style>
  <w:style w:type="character" w:customStyle="1" w:styleId="22">
    <w:name w:val="页眉 字符"/>
    <w:basedOn w:val="14"/>
    <w:link w:val="8"/>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9CB5A03863224B1F8E4C488F7856E523_13</vt:lpwstr>
  </property>
  <property fmtid="{D5CDD505-2E9C-101B-9397-08002B2CF9AE}" pid="4" name="KSOTemplateDocerSaveRecord">
    <vt:lpwstr>eyJoZGlkIjoiMjhlNTYwOWIwMDQxNjU0ZjVjNjk3MGJlYmQ4MTE5ZTgifQ==</vt:lpwstr>
  </property>
</Properties>
</file>

<file path=customXml/itemProps1.xml><?xml version="1.0" encoding="utf-8"?>
<ds:datastoreItem xmlns:ds="http://schemas.openxmlformats.org/officeDocument/2006/customXml" ds:itemID="{51ed806c-d705-4425-a09c-203d3f14215b}">
  <ds:schemaRefs/>
</ds:datastoreItem>
</file>

<file path=docProps/app.xml><?xml version="1.0" encoding="utf-8"?>
<Properties xmlns="http://schemas.openxmlformats.org/officeDocument/2006/extended-properties" xmlns:vt="http://schemas.openxmlformats.org/officeDocument/2006/docPropsVTypes">
  <Template>Normal</Template>
  <Pages>23</Pages>
  <Words>9869</Words>
  <Characters>10213</Characters>
  <Lines>58</Lines>
  <Paragraphs>16</Paragraphs>
  <TotalTime>7</TotalTime>
  <ScaleCrop>false</ScaleCrop>
  <LinksUpToDate>false</LinksUpToDate>
  <CharactersWithSpaces>10224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2025-11-13T05:36:46Z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9CB5A03863224B1F8E4C488F7856E523_13</vt:lpwstr>
  </property>
  <property fmtid="{D5CDD505-2E9C-101B-9397-08002B2CF9AE}" pid="4" name="KSOTemplateDocerSaveRecord">
    <vt:lpwstr>eyJoZGlkIjoiMjhlNTYwOWIwMDQxNjU0ZjVjNjk3MGJlYmQ4MTE5ZTgifQ_x003D__x003D_</vt:lpwstr>
  </property>
</Properties>
</file>