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特克斯县市场监督管理局2024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D2872AF">
      <w:r>
        <w:br w:type="page"/>
      </w:r>
    </w:p>
    <w:p w14:paraId="2D2EB7AD">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5769A02F">
      <w:pPr>
        <w:spacing w:line="640" w:lineRule="exact"/>
        <w:ind w:firstLine="640"/>
        <w:jc w:val="both"/>
        <w:outlineLvl w:val="2"/>
      </w:pPr>
      <w:r>
        <w:rPr>
          <w:rFonts w:ascii="黑体" w:hAnsi="黑体" w:eastAsia="黑体"/>
          <w:sz w:val="32"/>
        </w:rPr>
        <w:t>一、主要职能</w:t>
      </w:r>
    </w:p>
    <w:p w14:paraId="335E926B">
      <w:pPr>
        <w:spacing w:line="580" w:lineRule="exact"/>
        <w:ind w:firstLine="640"/>
        <w:jc w:val="both"/>
      </w:pPr>
      <w:r>
        <w:rPr>
          <w:rFonts w:ascii="仿宋_GB2312" w:hAnsi="仿宋_GB2312" w:eastAsia="仿宋_GB2312"/>
          <w:sz w:val="32"/>
        </w:rPr>
        <w:t>1.贯彻执行国家、自治区、自治州有关工商行政管理、质量技术监督、食品药品监督管理等方面的法律法规和政策；拟订相关规范性文件和政策、措施，经批准后监督实施。</w:t>
      </w:r>
    </w:p>
    <w:p w14:paraId="52904BE0">
      <w:pPr>
        <w:spacing w:line="580" w:lineRule="exact"/>
        <w:ind w:firstLine="640"/>
        <w:jc w:val="both"/>
      </w:pPr>
      <w:r>
        <w:rPr>
          <w:rFonts w:ascii="仿宋_GB2312" w:hAnsi="仿宋_GB2312" w:eastAsia="仿宋_GB2312"/>
          <w:sz w:val="32"/>
        </w:rPr>
        <w:t>2.拟订并组织实施市场监督管理事业发展规划、技术机构建设规划、质量技术监督事业发展规划及食品药品安全规划；组织推进高质量发展工作；组织实施商标战略和名牌战略；指导广告业发展；参与制定商品交易市场发展规划。</w:t>
      </w:r>
    </w:p>
    <w:p w14:paraId="792D58E6">
      <w:pPr>
        <w:spacing w:line="580" w:lineRule="exact"/>
        <w:ind w:firstLine="640"/>
        <w:jc w:val="both"/>
      </w:pPr>
      <w:r>
        <w:rPr>
          <w:rFonts w:ascii="仿宋_GB2312" w:hAnsi="仿宋_GB2312" w:eastAsia="仿宋_GB2312"/>
          <w:sz w:val="32"/>
        </w:rPr>
        <w:t>3.负责涉及工商行政管理、质量技术监督、食品药品监督管理的各类行政审批和行政许可并监督管理。</w:t>
      </w:r>
    </w:p>
    <w:p w14:paraId="40E5CE49">
      <w:pPr>
        <w:spacing w:line="580" w:lineRule="exact"/>
        <w:ind w:firstLine="640"/>
        <w:jc w:val="both"/>
      </w:pPr>
      <w:r>
        <w:rPr>
          <w:rFonts w:ascii="仿宋_GB2312" w:hAnsi="仿宋_GB2312" w:eastAsia="仿宋_GB2312"/>
          <w:sz w:val="32"/>
        </w:rPr>
        <w:t>4.组织指导查处违反工商行政、质量技术、食品药品监督管理法律法规、规章的行为。承担县食品安全委员会的日常工作；承担食品安全综合协调工作，健全协调联动机制；开展食品安全宣传、教育培训；负责实施食品安全信息统一发布制度，依法发布重大食品安全信息；督促检查县有关部门和乡镇（场）人民政府履行食品安全监督管理职责并负责考核评价；组织拟定本行政区域的食品安全事故应急预案；组织查处食品安全重大事故。依法承担食品、食品添加剂及食品相关产品生产、食品流通及餐饮服务的安全监督管理职责；承担保健食品、化妆品卫生监督管理责任；会同有关部门拟订食品安全风险监测方案，根据食品安全风险监测方案开展食品安全有关风险监测工作。</w:t>
      </w:r>
    </w:p>
    <w:p w14:paraId="16DCECF5">
      <w:pPr>
        <w:spacing w:line="580" w:lineRule="exact"/>
        <w:ind w:firstLine="640"/>
        <w:jc w:val="both"/>
      </w:pPr>
      <w:r>
        <w:rPr>
          <w:rFonts w:ascii="仿宋_GB2312" w:hAnsi="仿宋_GB2312" w:eastAsia="仿宋_GB2312"/>
          <w:sz w:val="32"/>
        </w:rPr>
        <w:t>5.承担药品、医疗器械行政监督和技术监督的责任；监督药品、医疗器械生产、流通、使用及医疗机构制剂生产的质量管理规范实施；监督实施国家药品、医疗器械标准，组织监测药品不良反应、医疗器械不良事件和药物滥用；建立健全药品安全应急体系；监督实施处方药和非处方药分类管理制度；配合有关部门实施国家基本药物制度；组织实施中药质量管理规范及中药品种保护制度；监督实施中药材生产质量管理规范、中药饮片炮制规范。监督管理放射性药品、麻醉药品、毒性药品、精神药品；承担药品、医疗器械、保健食品质量监督、化妆品卫生监督的抽检工作；收集和上报药品、医疗器械质量安全信息；监测保健食品、药品和医疗器械广告；监督食品、药品、医疗器械、保健食品、化妆品从业人员职业资格准入制度实施。</w:t>
      </w:r>
    </w:p>
    <w:p w14:paraId="31F9C6E3">
      <w:pPr>
        <w:spacing w:line="580" w:lineRule="exact"/>
        <w:ind w:firstLine="640"/>
        <w:jc w:val="both"/>
      </w:pPr>
      <w:r>
        <w:rPr>
          <w:rFonts w:ascii="仿宋_GB2312" w:hAnsi="仿宋_GB2312" w:eastAsia="仿宋_GB2312"/>
          <w:sz w:val="32"/>
        </w:rPr>
        <w:t>6.负责全县各类工商企业和从事经营活动的</w:t>
      </w:r>
      <w:r>
        <w:rPr>
          <w:rFonts w:hint="eastAsia" w:ascii="仿宋_GB2312" w:hAnsi="仿宋_GB2312" w:eastAsia="仿宋_GB2312"/>
          <w:sz w:val="32"/>
          <w:lang w:eastAsia="zh-CN"/>
        </w:rPr>
        <w:t>单位</w:t>
      </w:r>
      <w:r>
        <w:rPr>
          <w:rFonts w:ascii="仿宋_GB2312" w:hAnsi="仿宋_GB2312" w:eastAsia="仿宋_GB2312"/>
          <w:sz w:val="32"/>
        </w:rPr>
        <w:t>、个人等市场主体的登记注册；组织开展企业信用体系建设，推进政府、企业和行业信用建设，实施信用分类管理和信息公示工作；负责全县各类市场主体的日常监督管理，引导各类市场主体规范经营、健康发展；承担依法查处取缔无照经营行为的职责。组织对全县市场主体经营活动的监督检查；负责对不正当竞争、侵犯知识产权、制售假冒伪劣商品、非法传销、违反登记法律法规案件的查处；负责市场交易行为和网络交易行为及有关服务行为的监督管理职责；依法监督管理直销企业和直销人员及其直销行为，依法查处违法直销案件。</w:t>
      </w:r>
    </w:p>
    <w:p w14:paraId="6FE1FCBC">
      <w:pPr>
        <w:spacing w:line="580" w:lineRule="exact"/>
        <w:ind w:firstLine="640"/>
        <w:jc w:val="both"/>
      </w:pPr>
      <w:r>
        <w:rPr>
          <w:rFonts w:ascii="仿宋_GB2312" w:hAnsi="仿宋_GB2312" w:eastAsia="仿宋_GB2312"/>
          <w:sz w:val="32"/>
        </w:rPr>
        <w:t>7.监督管理各类消费品市场、生产资料市场；参与监督管理文化、期货、典当、拍卖市场以及金融、劳动力、房地产、技术、信息、建筑等各类生产要素市场；组织各类市场登记和统计工作；依法监督管理经纪人、经纪机构及经纪活动。</w:t>
      </w:r>
    </w:p>
    <w:p w14:paraId="1460BF8E">
      <w:pPr>
        <w:spacing w:line="580" w:lineRule="exact"/>
        <w:ind w:firstLine="640"/>
        <w:jc w:val="both"/>
      </w:pPr>
      <w:r>
        <w:rPr>
          <w:rFonts w:ascii="仿宋_GB2312" w:hAnsi="仿宋_GB2312" w:eastAsia="仿宋_GB2312"/>
          <w:sz w:val="32"/>
        </w:rPr>
        <w:t>8.依法对商标使用进行监督管理；查处商标侵权行为，保护商标专用权；开展驰名商标、著名商标和知名商标审核、申报和保护工作；依法保护特殊标志和官方标志；负责地理标志产品日常监督管理工作；组织实施对广告经营活动的监督管理，依法查处广告违法违章行为。依法实施合同行政监督管理，规范合同行为，组织实施合同格式条款备案，查处利用合同进行违法违章活动；组织管理动产抵押登记，监督管理拍卖行为；组织开展企业信用监督管理工作。</w:t>
      </w:r>
    </w:p>
    <w:p w14:paraId="7CBA1D13">
      <w:pPr>
        <w:spacing w:line="580" w:lineRule="exact"/>
        <w:ind w:firstLine="640"/>
        <w:jc w:val="both"/>
      </w:pPr>
      <w:r>
        <w:rPr>
          <w:rFonts w:ascii="仿宋_GB2312" w:hAnsi="仿宋_GB2312" w:eastAsia="仿宋_GB2312"/>
          <w:sz w:val="32"/>
        </w:rPr>
        <w:t>9.依法承担消费者权益保护责任，建立消费者权益保护体系，组织指导消费维权工作；负责处理涉及工商行政管理、质量技术监督、食品药品监督管理的投诉和举报。综合管理和指导全县质量工作，并做好质量监督工作。参与重大产品质量事故的调查；对实行生产许可证制度的产品进行质量监督；负责产品防伪的监督管理工作；推荐全县名牌产品、政府质量奖企业；拟定上报产品质量监督检查计划，组织对产品质量实施监督检查并按规定处理；组织实施质量奖励制度和缺陷产品（商品）召回制度。</w:t>
      </w:r>
    </w:p>
    <w:p w14:paraId="4562CF44">
      <w:pPr>
        <w:spacing w:line="580" w:lineRule="exact"/>
        <w:ind w:firstLine="640"/>
        <w:jc w:val="both"/>
      </w:pPr>
      <w:r>
        <w:rPr>
          <w:rFonts w:ascii="仿宋_GB2312" w:hAnsi="仿宋_GB2312" w:eastAsia="仿宋_GB2312"/>
          <w:sz w:val="32"/>
        </w:rPr>
        <w:t>10.统一管理标准化和计量工作；依法组织和监督标准的贯彻实施；推进采用国际标准、国外先进标准；管理企业标准备案；管理全县商品编码工作；推行法定计量</w:t>
      </w:r>
      <w:r>
        <w:rPr>
          <w:rFonts w:hint="eastAsia" w:ascii="仿宋_GB2312" w:hAnsi="仿宋_GB2312" w:eastAsia="仿宋_GB2312"/>
          <w:sz w:val="32"/>
          <w:lang w:eastAsia="zh-CN"/>
        </w:rPr>
        <w:t>单位</w:t>
      </w:r>
      <w:r>
        <w:rPr>
          <w:rFonts w:ascii="仿宋_GB2312" w:hAnsi="仿宋_GB2312" w:eastAsia="仿宋_GB2312"/>
          <w:sz w:val="32"/>
        </w:rPr>
        <w:t>，监督国家计量制度在全县的执行，依法管理计量器具工作；协助实施监督量值传递和计量器具强制检定工作；规范市场计量行为，组织计量仲裁检定；组织实施对商品计量的监督；指导企业计量工作。协调和指导行业和专业的质量技术监督工作；综合管理特种设备质量监督和安全监察工作；协助上级部门开展特种设备开工告知、使用登记和作业人员考核工作；组织依法查处违反质量、标准、计量、特种设备安全法律法规的行为；监督检查高耗能特种设备节能标准的执行情况；根据授权，组织实施有关专项打假活动。</w:t>
      </w:r>
    </w:p>
    <w:p w14:paraId="57A62618">
      <w:pPr>
        <w:spacing w:line="580" w:lineRule="exact"/>
        <w:ind w:firstLine="640"/>
        <w:jc w:val="both"/>
      </w:pPr>
      <w:r>
        <w:rPr>
          <w:rFonts w:ascii="仿宋_GB2312" w:hAnsi="仿宋_GB2312" w:eastAsia="仿宋_GB2312"/>
          <w:sz w:val="32"/>
        </w:rPr>
        <w:t>11.负责全县认证认可的监督管理。依法负责检验机构及其检验服务活动的监督管理工作；规范和监督认证市场行为。负责能效标识的监督管理，推进实施国家相关产业政策。负责全县市场监管、食品药品领域安全事故应急体系和隐患排查治理机制建设，组织重大突发事件应对处置和调查处理工作，组织查处相关违法行为，监督事故查处落实情况。承担县委、县政府及县食品安全委员会交办的其他事项。</w:t>
      </w:r>
    </w:p>
    <w:p w14:paraId="527B5875">
      <w:pPr>
        <w:spacing w:line="640" w:lineRule="exact"/>
        <w:ind w:firstLine="640"/>
        <w:jc w:val="both"/>
        <w:outlineLvl w:val="2"/>
      </w:pPr>
      <w:r>
        <w:rPr>
          <w:rFonts w:ascii="黑体" w:hAnsi="黑体" w:eastAsia="黑体"/>
          <w:sz w:val="32"/>
        </w:rPr>
        <w:t>二、机构设置及人员情况</w:t>
      </w:r>
    </w:p>
    <w:p w14:paraId="12362483">
      <w:pPr>
        <w:spacing w:line="580" w:lineRule="exact"/>
        <w:ind w:firstLine="640"/>
        <w:jc w:val="both"/>
      </w:pPr>
      <w:r>
        <w:rPr>
          <w:rFonts w:ascii="仿宋_GB2312" w:hAnsi="仿宋_GB2312" w:eastAsia="仿宋_GB2312"/>
          <w:sz w:val="32"/>
        </w:rPr>
        <w:t>特克斯县市场监督管理局2024年度，实有人数105人，其中：在职人员45人，减少2人；离休人员0人，增加0人；退休人员60人,增加2人。</w:t>
      </w:r>
    </w:p>
    <w:p w14:paraId="03DCE529">
      <w:pPr>
        <w:spacing w:line="580" w:lineRule="exact"/>
        <w:ind w:firstLine="640"/>
        <w:jc w:val="both"/>
      </w:pPr>
      <w:r>
        <w:rPr>
          <w:rFonts w:ascii="仿宋_GB2312" w:hAnsi="仿宋_GB2312" w:eastAsia="仿宋_GB2312"/>
          <w:sz w:val="32"/>
        </w:rPr>
        <w:t>特克斯县市场监督管理局无下属预算</w:t>
      </w:r>
      <w:r>
        <w:rPr>
          <w:rFonts w:hint="eastAsia" w:ascii="仿宋_GB2312" w:hAnsi="仿宋_GB2312" w:eastAsia="仿宋_GB2312"/>
          <w:sz w:val="32"/>
          <w:lang w:eastAsia="zh-CN"/>
        </w:rPr>
        <w:t>单位</w:t>
      </w:r>
      <w:r>
        <w:rPr>
          <w:rFonts w:ascii="仿宋_GB2312" w:hAnsi="仿宋_GB2312" w:eastAsia="仿宋_GB2312"/>
          <w:sz w:val="32"/>
        </w:rPr>
        <w:t>，下设9个科室，分别是：办公室、法规科、登记注册科、市场监管科、质量标准科、食品监管科、药化监管科、市场监管综合行政执法队、质量与计量检测所。</w:t>
      </w:r>
    </w:p>
    <w:p w14:paraId="0389B2CF">
      <w:r>
        <w:br w:type="page"/>
      </w:r>
    </w:p>
    <w:p w14:paraId="2C84632D">
      <w:pPr>
        <w:spacing w:line="240" w:lineRule="auto"/>
        <w:jc w:val="center"/>
        <w:outlineLvl w:val="1"/>
      </w:pPr>
      <w:r>
        <w:rPr>
          <w:rFonts w:ascii="黑体" w:hAnsi="黑体" w:eastAsia="黑体"/>
          <w:sz w:val="32"/>
        </w:rPr>
        <w:t>第二部分 部门决算情况说明</w:t>
      </w:r>
    </w:p>
    <w:p w14:paraId="7756CFBD">
      <w:pPr>
        <w:spacing w:line="640" w:lineRule="exact"/>
        <w:ind w:firstLine="640"/>
        <w:jc w:val="both"/>
        <w:outlineLvl w:val="2"/>
      </w:pPr>
      <w:r>
        <w:rPr>
          <w:rFonts w:ascii="黑体" w:hAnsi="黑体" w:eastAsia="黑体"/>
          <w:sz w:val="32"/>
        </w:rPr>
        <w:t>一、收入支出决算总体情况说明</w:t>
      </w:r>
    </w:p>
    <w:p w14:paraId="11A89D8C">
      <w:pPr>
        <w:spacing w:line="580" w:lineRule="exact"/>
        <w:ind w:firstLine="640"/>
        <w:jc w:val="both"/>
      </w:pPr>
      <w:r>
        <w:rPr>
          <w:rFonts w:ascii="仿宋_GB2312" w:hAnsi="仿宋_GB2312" w:eastAsia="仿宋_GB2312"/>
          <w:b/>
          <w:sz w:val="32"/>
        </w:rPr>
        <w:t>2024年度收入总计859.21万元，</w:t>
      </w:r>
      <w:r>
        <w:rPr>
          <w:rFonts w:ascii="仿宋_GB2312" w:hAnsi="仿宋_GB2312" w:eastAsia="仿宋_GB2312"/>
          <w:b w:val="0"/>
          <w:sz w:val="32"/>
        </w:rPr>
        <w:t>其中：本年收入合计859.21万元，使用非财政拨款结余（含专用结余）0.00万元，年初结转和结余0.00万元。</w:t>
      </w:r>
    </w:p>
    <w:p w14:paraId="7BAFB232">
      <w:pPr>
        <w:spacing w:line="580" w:lineRule="exact"/>
        <w:ind w:firstLine="640"/>
        <w:jc w:val="both"/>
      </w:pPr>
      <w:r>
        <w:rPr>
          <w:rFonts w:ascii="仿宋_GB2312" w:hAnsi="仿宋_GB2312" w:eastAsia="仿宋_GB2312"/>
          <w:b/>
          <w:sz w:val="32"/>
        </w:rPr>
        <w:t>2024年度支出总计859.21万元，</w:t>
      </w:r>
      <w:r>
        <w:rPr>
          <w:rFonts w:ascii="仿宋_GB2312" w:hAnsi="仿宋_GB2312" w:eastAsia="仿宋_GB2312"/>
          <w:b w:val="0"/>
          <w:sz w:val="32"/>
        </w:rPr>
        <w:t>其中：本年支出合计859.21万元，结余分配0.00万元，年末结转和结余0.00万元。</w:t>
      </w:r>
    </w:p>
    <w:p w14:paraId="53F745DE">
      <w:pPr>
        <w:spacing w:line="580" w:lineRule="exact"/>
        <w:ind w:firstLine="640"/>
        <w:jc w:val="both"/>
      </w:pPr>
      <w:r>
        <w:rPr>
          <w:rFonts w:ascii="仿宋_GB2312" w:hAnsi="仿宋_GB2312" w:eastAsia="仿宋_GB2312"/>
          <w:b w:val="0"/>
          <w:sz w:val="32"/>
        </w:rPr>
        <w:t>收入支出总体与上年相比，增加27.30万元，增长3.28%，主要原因是：本年在职人员工资调增，社保、公积金基数调增，人员经费增加。</w:t>
      </w:r>
    </w:p>
    <w:p w14:paraId="1461525A">
      <w:pPr>
        <w:spacing w:line="640" w:lineRule="exact"/>
        <w:ind w:firstLine="640"/>
        <w:jc w:val="both"/>
        <w:outlineLvl w:val="2"/>
      </w:pPr>
      <w:r>
        <w:rPr>
          <w:rFonts w:ascii="黑体" w:hAnsi="黑体" w:eastAsia="黑体"/>
          <w:sz w:val="32"/>
        </w:rPr>
        <w:t>二、收入决算情况说明</w:t>
      </w:r>
    </w:p>
    <w:p w14:paraId="1CD40C4D">
      <w:pPr>
        <w:spacing w:line="580" w:lineRule="exact"/>
        <w:ind w:firstLine="640"/>
        <w:jc w:val="both"/>
      </w:pPr>
      <w:r>
        <w:rPr>
          <w:rFonts w:ascii="仿宋_GB2312" w:hAnsi="仿宋_GB2312" w:eastAsia="仿宋_GB2312"/>
          <w:b/>
          <w:sz w:val="32"/>
        </w:rPr>
        <w:t>本年收入859.21万元，</w:t>
      </w:r>
      <w:r>
        <w:rPr>
          <w:rFonts w:ascii="仿宋_GB2312" w:hAnsi="仿宋_GB2312" w:eastAsia="仿宋_GB2312"/>
          <w:b w:val="0"/>
          <w:sz w:val="32"/>
        </w:rPr>
        <w:t>其中：财政拨款收入859.16万元，占99.99%；上级补助收入0.00万元，占0.00%；事业收入0.00万元，占0.00%；经营收入0.00万元，占0.00%；附属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上缴收入0.00万元，占0.00%；其他收入0.05万元，占0.006%。</w:t>
      </w:r>
    </w:p>
    <w:p w14:paraId="6A4D684E">
      <w:pPr>
        <w:spacing w:line="640" w:lineRule="exact"/>
        <w:ind w:firstLine="640"/>
        <w:jc w:val="both"/>
        <w:outlineLvl w:val="2"/>
      </w:pPr>
      <w:r>
        <w:rPr>
          <w:rFonts w:ascii="黑体" w:hAnsi="黑体" w:eastAsia="黑体"/>
          <w:sz w:val="32"/>
        </w:rPr>
        <w:t>三、支出决算情况说明</w:t>
      </w:r>
    </w:p>
    <w:p w14:paraId="67062CB5">
      <w:pPr>
        <w:spacing w:line="580" w:lineRule="exact"/>
        <w:ind w:firstLine="640"/>
        <w:jc w:val="both"/>
      </w:pPr>
      <w:r>
        <w:rPr>
          <w:rFonts w:ascii="仿宋_GB2312" w:hAnsi="仿宋_GB2312" w:eastAsia="仿宋_GB2312"/>
          <w:b/>
          <w:sz w:val="32"/>
        </w:rPr>
        <w:t>本年支出859.21万元，</w:t>
      </w:r>
      <w:r>
        <w:rPr>
          <w:rFonts w:ascii="仿宋_GB2312" w:hAnsi="仿宋_GB2312" w:eastAsia="仿宋_GB2312"/>
          <w:b w:val="0"/>
          <w:sz w:val="32"/>
        </w:rPr>
        <w:t>其中：基本支出826.01万元，占96.14%；项目支出33.21万元，占3.87%；上缴上级支出0.00万元，占0.00%；经营支出0.00万元，占0.00%；对附属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0BC0D9AA">
      <w:pPr>
        <w:spacing w:line="640" w:lineRule="exact"/>
        <w:ind w:firstLine="640"/>
        <w:jc w:val="both"/>
        <w:outlineLvl w:val="2"/>
      </w:pPr>
      <w:r>
        <w:rPr>
          <w:rFonts w:ascii="黑体" w:hAnsi="黑体" w:eastAsia="黑体"/>
          <w:sz w:val="32"/>
        </w:rPr>
        <w:t>四、财政拨款收入支出决算总体情况说明</w:t>
      </w:r>
    </w:p>
    <w:p w14:paraId="39B124AB">
      <w:pPr>
        <w:spacing w:line="580" w:lineRule="exact"/>
        <w:ind w:firstLine="640"/>
        <w:jc w:val="both"/>
      </w:pPr>
      <w:r>
        <w:rPr>
          <w:rFonts w:ascii="仿宋_GB2312" w:hAnsi="仿宋_GB2312" w:eastAsia="仿宋_GB2312"/>
          <w:b/>
          <w:sz w:val="32"/>
        </w:rPr>
        <w:t>2024年度财政拨款收入总计859.16万元，</w:t>
      </w:r>
      <w:r>
        <w:rPr>
          <w:rFonts w:ascii="仿宋_GB2312" w:hAnsi="仿宋_GB2312" w:eastAsia="仿宋_GB2312"/>
          <w:b w:val="0"/>
          <w:sz w:val="32"/>
        </w:rPr>
        <w:t>其中：年初财政拨款结转和结余0.00万元，本年财政拨款收入859.16万元。</w:t>
      </w:r>
      <w:r>
        <w:rPr>
          <w:rFonts w:ascii="仿宋_GB2312" w:hAnsi="仿宋_GB2312" w:eastAsia="仿宋_GB2312"/>
          <w:b/>
          <w:sz w:val="32"/>
        </w:rPr>
        <w:t>财政拨款支出总计859.16万元，</w:t>
      </w:r>
      <w:r>
        <w:rPr>
          <w:rFonts w:ascii="仿宋_GB2312" w:hAnsi="仿宋_GB2312" w:eastAsia="仿宋_GB2312"/>
          <w:b w:val="0"/>
          <w:sz w:val="32"/>
        </w:rPr>
        <w:t>其中：年末财政拨款结转和结余0.00万元，本年财政拨款支出859.16万元。</w:t>
      </w:r>
    </w:p>
    <w:p w14:paraId="15F3BB6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增加27.57万元，增长3.32%，主要原因是：本年在职人员工资调增，社保、公积金基数调增，人员经费增加。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年初预算数789.73万元，决算数859.16万元，预决算差异率8.79%，主要原因是：年中追加人员工资、社保、公积金基数调增部分资金，导致预决算存在差异。</w:t>
      </w:r>
    </w:p>
    <w:p w14:paraId="315AAB64">
      <w:pPr>
        <w:spacing w:line="640" w:lineRule="exact"/>
        <w:ind w:firstLine="640"/>
        <w:jc w:val="both"/>
        <w:outlineLvl w:val="2"/>
      </w:pPr>
      <w:r>
        <w:rPr>
          <w:rFonts w:ascii="黑体" w:hAnsi="黑体" w:eastAsia="黑体"/>
          <w:sz w:val="32"/>
        </w:rPr>
        <w:t>五、一般公共预算财政拨款支出决算情况说明</w:t>
      </w:r>
    </w:p>
    <w:p w14:paraId="358DFFEE">
      <w:pPr>
        <w:spacing w:line="640" w:lineRule="exact"/>
        <w:ind w:firstLine="640"/>
        <w:jc w:val="both"/>
        <w:outlineLvl w:val="3"/>
      </w:pPr>
      <w:r>
        <w:rPr>
          <w:rFonts w:ascii="楷体_GB2312" w:hAnsi="楷体_GB2312" w:eastAsia="楷体_GB2312"/>
          <w:b/>
          <w:sz w:val="32"/>
        </w:rPr>
        <w:t>（一）一般公共预算财政拨款支出决算总体情况</w:t>
      </w:r>
    </w:p>
    <w:p w14:paraId="75871119">
      <w:pPr>
        <w:spacing w:line="580" w:lineRule="exact"/>
        <w:ind w:firstLine="640"/>
        <w:jc w:val="both"/>
      </w:pPr>
      <w:r>
        <w:rPr>
          <w:rFonts w:ascii="仿宋_GB2312" w:hAnsi="仿宋_GB2312" w:eastAsia="仿宋_GB2312"/>
          <w:b/>
          <w:sz w:val="32"/>
        </w:rPr>
        <w:t>2024年度一般公共预算财政拨款支出859.16万元，</w:t>
      </w:r>
      <w:r>
        <w:rPr>
          <w:rFonts w:ascii="仿宋_GB2312" w:hAnsi="仿宋_GB2312" w:eastAsia="仿宋_GB2312"/>
          <w:b w:val="0"/>
          <w:sz w:val="32"/>
        </w:rPr>
        <w:t>占本年支出合计的99.99%。</w:t>
      </w:r>
      <w:r>
        <w:rPr>
          <w:rFonts w:ascii="仿宋_GB2312" w:hAnsi="仿宋_GB2312" w:eastAsia="仿宋_GB2312"/>
          <w:b/>
          <w:sz w:val="32"/>
        </w:rPr>
        <w:t>与上年相比，</w:t>
      </w:r>
      <w:r>
        <w:rPr>
          <w:rFonts w:ascii="仿宋_GB2312" w:hAnsi="仿宋_GB2312" w:eastAsia="仿宋_GB2312"/>
          <w:b w:val="0"/>
          <w:sz w:val="32"/>
        </w:rPr>
        <w:t>增加27.57万元，增长3.32%，主要原因是：本年在职人员工资调增，社保、公积金基数调增，人员经费增加。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年初预算数789.73万元，决算数859.16万元，预决算差异率8.79%，主要原因是：年中追加人员工资、社保、公积金基数调增部分资金，导致预决算存在差异。</w:t>
      </w:r>
    </w:p>
    <w:p w14:paraId="7EE446B7">
      <w:pPr>
        <w:spacing w:line="640" w:lineRule="exact"/>
        <w:ind w:firstLine="640"/>
        <w:jc w:val="both"/>
        <w:outlineLvl w:val="3"/>
      </w:pPr>
      <w:r>
        <w:rPr>
          <w:rFonts w:ascii="楷体_GB2312" w:hAnsi="楷体_GB2312" w:eastAsia="楷体_GB2312"/>
          <w:b/>
          <w:sz w:val="32"/>
        </w:rPr>
        <w:t>（二）一般公共预算财政拨款支出决算结构情况</w:t>
      </w:r>
    </w:p>
    <w:p w14:paraId="160540CB">
      <w:pPr>
        <w:spacing w:line="580" w:lineRule="exact"/>
        <w:ind w:firstLine="640"/>
        <w:jc w:val="both"/>
      </w:pPr>
      <w:r>
        <w:rPr>
          <w:rFonts w:ascii="仿宋_GB2312" w:hAnsi="仿宋_GB2312" w:eastAsia="仿宋_GB2312"/>
          <w:b w:val="0"/>
          <w:sz w:val="32"/>
        </w:rPr>
        <w:t>1.一般公共服务支出(类)606.67万元,占70.61%。</w:t>
      </w:r>
    </w:p>
    <w:p w14:paraId="0F7E92C7">
      <w:pPr>
        <w:spacing w:line="580" w:lineRule="exact"/>
        <w:ind w:firstLine="640"/>
        <w:jc w:val="both"/>
      </w:pPr>
      <w:r>
        <w:rPr>
          <w:rFonts w:ascii="仿宋_GB2312" w:hAnsi="仿宋_GB2312" w:eastAsia="仿宋_GB2312"/>
          <w:b w:val="0"/>
          <w:sz w:val="32"/>
        </w:rPr>
        <w:t>2.社会保障和就业支出(类)130.80万元,占15.22%。</w:t>
      </w:r>
    </w:p>
    <w:p w14:paraId="6FCEF4E9">
      <w:pPr>
        <w:spacing w:line="580" w:lineRule="exact"/>
        <w:ind w:firstLine="640"/>
        <w:jc w:val="both"/>
      </w:pPr>
      <w:r>
        <w:rPr>
          <w:rFonts w:ascii="仿宋_GB2312" w:hAnsi="仿宋_GB2312" w:eastAsia="仿宋_GB2312"/>
          <w:b w:val="0"/>
          <w:sz w:val="32"/>
        </w:rPr>
        <w:t>3.卫生健康支出(类)32.27万元,占3.76%。</w:t>
      </w:r>
    </w:p>
    <w:p w14:paraId="3B987F31">
      <w:pPr>
        <w:spacing w:line="580" w:lineRule="exact"/>
        <w:ind w:firstLine="640"/>
        <w:jc w:val="both"/>
      </w:pPr>
      <w:r>
        <w:rPr>
          <w:rFonts w:ascii="仿宋_GB2312" w:hAnsi="仿宋_GB2312" w:eastAsia="仿宋_GB2312"/>
          <w:b w:val="0"/>
          <w:sz w:val="32"/>
        </w:rPr>
        <w:t>4.农林水支出(类)31.00万元,占3.61%。</w:t>
      </w:r>
    </w:p>
    <w:p w14:paraId="161B5EC0">
      <w:pPr>
        <w:spacing w:line="580" w:lineRule="exact"/>
        <w:ind w:firstLine="640"/>
        <w:jc w:val="both"/>
      </w:pPr>
      <w:r>
        <w:rPr>
          <w:rFonts w:ascii="仿宋_GB2312" w:hAnsi="仿宋_GB2312" w:eastAsia="仿宋_GB2312"/>
          <w:b w:val="0"/>
          <w:sz w:val="32"/>
        </w:rPr>
        <w:t>5.住房保障支出(类)58.43万元,占6.80%。</w:t>
      </w:r>
    </w:p>
    <w:p w14:paraId="24422FCF">
      <w:pPr>
        <w:spacing w:line="640" w:lineRule="exact"/>
        <w:ind w:firstLine="640"/>
        <w:jc w:val="both"/>
        <w:outlineLvl w:val="3"/>
      </w:pPr>
      <w:r>
        <w:rPr>
          <w:rFonts w:ascii="楷体_GB2312" w:hAnsi="楷体_GB2312" w:eastAsia="楷体_GB2312"/>
          <w:b/>
          <w:sz w:val="32"/>
        </w:rPr>
        <w:t>（三）一般公共预算财政拨款支出决算具体情况</w:t>
      </w:r>
    </w:p>
    <w:p w14:paraId="1150749D">
      <w:pPr>
        <w:spacing w:line="580" w:lineRule="exact"/>
        <w:ind w:firstLine="640"/>
        <w:jc w:val="both"/>
      </w:pPr>
      <w:r>
        <w:rPr>
          <w:rFonts w:ascii="仿宋_GB2312" w:hAnsi="仿宋_GB2312" w:eastAsia="仿宋_GB2312"/>
          <w:b w:val="0"/>
          <w:sz w:val="32"/>
        </w:rPr>
        <w:t>1.一般公共服务支出(类)市场监督管理事务(款)行政运行(项):支出决算数为604.46万元，比上年决算增加33.72万元，增长5.91%,主要原因是：本年在职人员工资调增，导致相关人员经费较上年有所增加。</w:t>
      </w:r>
    </w:p>
    <w:p w14:paraId="007657F3">
      <w:pPr>
        <w:spacing w:line="580" w:lineRule="exact"/>
        <w:ind w:firstLine="640"/>
        <w:jc w:val="both"/>
      </w:pPr>
      <w:r>
        <w:rPr>
          <w:rFonts w:ascii="仿宋_GB2312" w:hAnsi="仿宋_GB2312" w:eastAsia="仿宋_GB2312"/>
          <w:b w:val="0"/>
          <w:sz w:val="32"/>
        </w:rPr>
        <w:t>2.一般公共服务支出(类)市场监督管理事务(款)质量安全监管(项):支出决算数为0.00万元，比上年决算减少4.54万元，下降100.00%,主要原因是：本年减少产品质量监督抽查及强制检定公用计量设备购置项目，导致</w:t>
      </w:r>
      <w:r>
        <w:rPr>
          <w:rFonts w:hint="eastAsia" w:ascii="仿宋_GB2312" w:hAnsi="仿宋_GB2312" w:eastAsia="仿宋_GB2312"/>
          <w:b w:val="0"/>
          <w:sz w:val="32"/>
          <w:lang w:val="en-US" w:eastAsia="zh-CN"/>
        </w:rPr>
        <w:t>经费</w:t>
      </w:r>
      <w:r>
        <w:rPr>
          <w:rFonts w:ascii="仿宋_GB2312" w:hAnsi="仿宋_GB2312" w:eastAsia="仿宋_GB2312"/>
          <w:b w:val="0"/>
          <w:sz w:val="32"/>
        </w:rPr>
        <w:t>减少。</w:t>
      </w:r>
    </w:p>
    <w:p w14:paraId="6A988D2D">
      <w:pPr>
        <w:spacing w:line="580" w:lineRule="exact"/>
        <w:ind w:firstLine="640"/>
        <w:jc w:val="both"/>
      </w:pPr>
      <w:r>
        <w:rPr>
          <w:rFonts w:ascii="仿宋_GB2312" w:hAnsi="仿宋_GB2312" w:eastAsia="仿宋_GB2312"/>
          <w:b w:val="0"/>
          <w:sz w:val="32"/>
        </w:rPr>
        <w:t>3.一般公共服务支出(类)市场监督管理事务(款)食品安全监管(项):支出决算数为0.00万元，比上年决算减少10.88万元，下降100.00%,主要原因是：本年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食用农产品抽检费用、市场监管专项检查及执法办案</w:t>
      </w:r>
      <w:r>
        <w:rPr>
          <w:rFonts w:hint="eastAsia" w:ascii="仿宋_GB2312" w:hAnsi="仿宋_GB2312" w:eastAsia="仿宋_GB2312"/>
          <w:b w:val="0"/>
          <w:sz w:val="32"/>
          <w:lang w:val="en-US" w:eastAsia="zh-CN"/>
        </w:rPr>
        <w:t>经费</w:t>
      </w:r>
      <w:r>
        <w:rPr>
          <w:rFonts w:ascii="仿宋_GB2312" w:hAnsi="仿宋_GB2312" w:eastAsia="仿宋_GB2312"/>
          <w:b w:val="0"/>
          <w:sz w:val="32"/>
        </w:rPr>
        <w:t>。</w:t>
      </w:r>
    </w:p>
    <w:p w14:paraId="2F6A0374">
      <w:pPr>
        <w:spacing w:line="580" w:lineRule="exact"/>
        <w:ind w:firstLine="640"/>
        <w:jc w:val="both"/>
      </w:pPr>
      <w:r>
        <w:rPr>
          <w:rFonts w:ascii="仿宋_GB2312" w:hAnsi="仿宋_GB2312" w:eastAsia="仿宋_GB2312"/>
          <w:b w:val="0"/>
          <w:sz w:val="32"/>
        </w:rPr>
        <w:t>4.一般公共服务支出(类)市场监督管理事务(款)其他市场监督管理事务(项):支出决算数为2.21万元，比上年决算增加2.21万元，增长100.00%,主要原因是：本年增加中央食品药品监管补助资金，相应支出增加。</w:t>
      </w:r>
    </w:p>
    <w:p w14:paraId="4A4DDADB">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基本养老保险缴费支出(项):支出决算数为73.01万元，比上年决算增加5.54万元，增长8.21%,主要原因是：本年在职人员工资基数调增，养老缴费基数上涨，相应支出增加。</w:t>
      </w:r>
    </w:p>
    <w:p w14:paraId="0021CBC2">
      <w:pPr>
        <w:spacing w:line="580" w:lineRule="exact"/>
        <w:ind w:firstLine="640"/>
        <w:jc w:val="both"/>
      </w:pPr>
      <w:r>
        <w:rPr>
          <w:rFonts w:ascii="仿宋_GB2312" w:hAnsi="仿宋_GB2312" w:eastAsia="仿宋_GB2312"/>
          <w:b w:val="0"/>
          <w:sz w:val="32"/>
        </w:rPr>
        <w:t>6.社会保障和就业支出(类)行政事业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职业年金缴费支出(项):支出决算数为21.54万元，比上年决算增加9.20万元，增长74.55%,主要原因是：本年新增退休人员，职业年金缴费支出增加。</w:t>
      </w:r>
    </w:p>
    <w:p w14:paraId="5A21D3D5">
      <w:pPr>
        <w:spacing w:line="580" w:lineRule="exact"/>
        <w:ind w:firstLine="640"/>
        <w:jc w:val="both"/>
      </w:pPr>
      <w:r>
        <w:rPr>
          <w:rFonts w:ascii="仿宋_GB2312" w:hAnsi="仿宋_GB2312" w:eastAsia="仿宋_GB2312"/>
          <w:b w:val="0"/>
          <w:sz w:val="32"/>
        </w:rPr>
        <w:t>7.社会保障和就业支出(类)抚恤(款)死亡抚恤(项):支出决算数为36.25万元，比上年决算减少44.03万元，下降54.85%,主要原因是：本年新增去世人员较上年减少，死亡抚恤支出较上年减少。</w:t>
      </w:r>
    </w:p>
    <w:p w14:paraId="078E1E61">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医疗(项):支出决算数为31.00万元，比上年决算增加0.63万元，增长2.07%,主要原因是：本年在职人员工资基数调增，医疗缴费基数上涨，相应支出增加。</w:t>
      </w:r>
    </w:p>
    <w:p w14:paraId="5D67BC85">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医疗(款)公务员医疗补助(项):支出决算数为0.71万元，比上年决算减少0.02万元，下降2.74%,主要原因是：</w:t>
      </w:r>
      <w:r>
        <w:rPr>
          <w:rFonts w:hint="eastAsia" w:ascii="仿宋_GB2312" w:hAnsi="仿宋_GB2312" w:eastAsia="仿宋_GB2312"/>
          <w:b w:val="0"/>
          <w:sz w:val="32"/>
          <w:lang w:val="en-US" w:eastAsia="zh-CN"/>
        </w:rPr>
        <w:t>本年在职人员减少</w:t>
      </w:r>
      <w:r>
        <w:rPr>
          <w:rFonts w:ascii="仿宋_GB2312" w:hAnsi="仿宋_GB2312" w:eastAsia="仿宋_GB2312"/>
          <w:b w:val="0"/>
          <w:sz w:val="32"/>
        </w:rPr>
        <w:t>，导致公务员医疗补助较上年减少。</w:t>
      </w:r>
    </w:p>
    <w:p w14:paraId="109727F1">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医疗支出(项):支出决算数为0.56万元，比上年决算减少0.64万元，下降53.33%,主要原因是：因退休人员医疗保险制度改革，退休人员基本医疗不再由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1AF86F13">
      <w:pPr>
        <w:spacing w:line="580" w:lineRule="exact"/>
        <w:ind w:firstLine="640"/>
        <w:jc w:val="both"/>
      </w:pPr>
      <w:r>
        <w:rPr>
          <w:rFonts w:ascii="仿宋_GB2312" w:hAnsi="仿宋_GB2312" w:eastAsia="仿宋_GB2312"/>
          <w:b w:val="0"/>
          <w:sz w:val="32"/>
        </w:rPr>
        <w:t>11.农林水支出(类)巩固脱贫攻坚成果衔接乡村振兴(款)其他巩固脱贫攻坚成果衔接乡村振兴支出(项):支出决算数为31.00万元，比上年决算增加31.00万元，增长100.00%,主要原因是：本年新增推动产业帮扶精准到户促进农民持续增收补助项目中为脱贫户、监测户发放自主创业一次性补助，导致</w:t>
      </w:r>
      <w:r>
        <w:rPr>
          <w:rFonts w:hint="eastAsia" w:ascii="仿宋_GB2312" w:hAnsi="仿宋_GB2312" w:eastAsia="仿宋_GB2312"/>
          <w:b w:val="0"/>
          <w:sz w:val="32"/>
          <w:lang w:val="en-US" w:eastAsia="zh-CN"/>
        </w:rPr>
        <w:t>经费</w:t>
      </w:r>
      <w:r>
        <w:rPr>
          <w:rFonts w:ascii="仿宋_GB2312" w:hAnsi="仿宋_GB2312" w:eastAsia="仿宋_GB2312"/>
          <w:b w:val="0"/>
          <w:sz w:val="32"/>
        </w:rPr>
        <w:t>较上年增加。</w:t>
      </w:r>
    </w:p>
    <w:p w14:paraId="6FA5D687">
      <w:pPr>
        <w:spacing w:line="580" w:lineRule="exact"/>
        <w:ind w:firstLine="640"/>
        <w:jc w:val="both"/>
      </w:pPr>
      <w:r>
        <w:rPr>
          <w:rFonts w:ascii="仿宋_GB2312" w:hAnsi="仿宋_GB2312" w:eastAsia="仿宋_GB2312"/>
          <w:b w:val="0"/>
          <w:sz w:val="32"/>
        </w:rPr>
        <w:t>12.住房保障支出(类)住房改革支出(款)住房公积金(项):支出决算数为58.43万元，比上年决算增加5.39万元，增长10.16%,主要原因是：本年在职人员工资基数调增，公积金缴费基数上涨，相应支出增加。</w:t>
      </w:r>
    </w:p>
    <w:p w14:paraId="3CE20C18">
      <w:pPr>
        <w:spacing w:line="640" w:lineRule="exact"/>
        <w:ind w:firstLine="640"/>
        <w:jc w:val="both"/>
        <w:outlineLvl w:val="2"/>
      </w:pPr>
      <w:r>
        <w:rPr>
          <w:rFonts w:ascii="黑体" w:hAnsi="黑体" w:eastAsia="黑体"/>
          <w:sz w:val="32"/>
        </w:rPr>
        <w:t>六、一般公共预算财政拨款基本支出决算情况说明</w:t>
      </w:r>
    </w:p>
    <w:p w14:paraId="697C31C3">
      <w:pPr>
        <w:spacing w:line="580" w:lineRule="exact"/>
        <w:ind w:firstLine="640"/>
        <w:jc w:val="both"/>
      </w:pPr>
      <w:r>
        <w:rPr>
          <w:rFonts w:ascii="仿宋_GB2312" w:hAnsi="仿宋_GB2312" w:eastAsia="仿宋_GB2312"/>
          <w:b w:val="0"/>
          <w:sz w:val="32"/>
        </w:rPr>
        <w:t>2024年度一般公共预算财政拨款基本支出825.96万元，其中：</w:t>
      </w:r>
      <w:r>
        <w:rPr>
          <w:rFonts w:ascii="仿宋_GB2312" w:hAnsi="仿宋_GB2312" w:eastAsia="仿宋_GB2312"/>
          <w:b/>
          <w:sz w:val="32"/>
        </w:rPr>
        <w:t>人员经费807.16万元，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基本养老保险缴费、职业年金缴费、职工基本医疗保险缴费、公务员医疗补助缴费、其他社会保障缴费、住房公积金、退休费、抚恤金、生活补助。</w:t>
      </w:r>
    </w:p>
    <w:p w14:paraId="60CA1BFD">
      <w:pPr>
        <w:spacing w:line="580" w:lineRule="exact"/>
        <w:ind w:firstLine="640"/>
        <w:jc w:val="both"/>
      </w:pPr>
      <w:r>
        <w:rPr>
          <w:rFonts w:ascii="仿宋_GB2312" w:hAnsi="仿宋_GB2312" w:eastAsia="仿宋_GB2312"/>
          <w:b/>
          <w:sz w:val="32"/>
        </w:rPr>
        <w:t>公用经费18.80万元，</w:t>
      </w:r>
      <w:r>
        <w:rPr>
          <w:rFonts w:ascii="仿宋_GB2312" w:hAnsi="仿宋_GB2312" w:eastAsia="仿宋_GB2312"/>
          <w:b w:val="0"/>
          <w:sz w:val="32"/>
        </w:rPr>
        <w:t>包括：办公费、水费、邮电费、差旅费、工会经费、公务用车运行维护费。</w:t>
      </w:r>
    </w:p>
    <w:p w14:paraId="1B6D7079">
      <w:pPr>
        <w:spacing w:line="640" w:lineRule="exact"/>
        <w:ind w:firstLine="640"/>
        <w:jc w:val="both"/>
        <w:outlineLvl w:val="2"/>
      </w:pPr>
      <w:r>
        <w:rPr>
          <w:rFonts w:ascii="黑体" w:hAnsi="黑体" w:eastAsia="黑体"/>
          <w:sz w:val="32"/>
        </w:rPr>
        <w:t>七、政府性基金预算财政拨款收入支出决算情况说明</w:t>
      </w:r>
    </w:p>
    <w:p w14:paraId="30C58B2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50208020">
      <w:pPr>
        <w:spacing w:line="640" w:lineRule="exact"/>
        <w:ind w:firstLine="640"/>
        <w:jc w:val="both"/>
        <w:outlineLvl w:val="2"/>
      </w:pPr>
      <w:r>
        <w:rPr>
          <w:rFonts w:ascii="黑体" w:hAnsi="黑体" w:eastAsia="黑体"/>
          <w:sz w:val="32"/>
        </w:rPr>
        <w:t>八、国有资本经营预算财政拨款收入支出决算情况说明</w:t>
      </w:r>
    </w:p>
    <w:p w14:paraId="3B0DD9D0">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4441A462">
      <w:pPr>
        <w:spacing w:line="640" w:lineRule="exact"/>
        <w:ind w:firstLine="640"/>
        <w:jc w:val="both"/>
        <w:outlineLvl w:val="2"/>
      </w:pPr>
      <w:r>
        <w:rPr>
          <w:rFonts w:ascii="黑体" w:hAnsi="黑体" w:eastAsia="黑体"/>
          <w:sz w:val="32"/>
        </w:rPr>
        <w:t>九、财政拨款“三公”经费支出决算情况说明</w:t>
      </w:r>
    </w:p>
    <w:p w14:paraId="4D1BCF60">
      <w:pPr>
        <w:spacing w:line="580" w:lineRule="exact"/>
        <w:ind w:firstLine="640"/>
        <w:jc w:val="both"/>
      </w:pPr>
      <w:r>
        <w:rPr>
          <w:rFonts w:ascii="仿宋_GB2312" w:hAnsi="仿宋_GB2312" w:eastAsia="仿宋_GB2312"/>
          <w:b/>
          <w:sz w:val="32"/>
        </w:rPr>
        <w:t>2024年度财政拨款“三公”经费支出2.40万元，</w:t>
      </w:r>
      <w:r>
        <w:rPr>
          <w:rFonts w:ascii="仿宋_GB2312" w:hAnsi="仿宋_GB2312" w:eastAsia="仿宋_GB2312"/>
          <w:b w:val="0"/>
          <w:sz w:val="32"/>
        </w:rPr>
        <w:t>比上年增加0.80万元，增长50.00%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2.40万元，占100.00%，比上年增加0.80万元，增长50.00%，主要原因是：本年因业务需求，用车次数增加，燃油费增加，导致公务用车运行维护费较上年增加。公务接待费支出0.00万元，占0.00%，比上年增加0.00万元，增长0.00%，主要原因是：2023年与2024年均未安排公务接待费支出。</w:t>
      </w:r>
    </w:p>
    <w:p w14:paraId="0BD0397F">
      <w:pPr>
        <w:spacing w:line="580" w:lineRule="exact"/>
        <w:ind w:firstLine="640"/>
        <w:jc w:val="both"/>
      </w:pPr>
      <w:r>
        <w:rPr>
          <w:rFonts w:ascii="仿宋_GB2312" w:hAnsi="仿宋_GB2312" w:eastAsia="仿宋_GB2312"/>
          <w:b/>
          <w:sz w:val="32"/>
        </w:rPr>
        <w:t>具体情况如下：</w:t>
      </w:r>
    </w:p>
    <w:p w14:paraId="7C851152">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00FB589D">
      <w:pPr>
        <w:spacing w:line="580" w:lineRule="exact"/>
        <w:ind w:firstLine="640"/>
        <w:jc w:val="both"/>
      </w:pPr>
      <w:r>
        <w:rPr>
          <w:rFonts w:ascii="仿宋_GB2312" w:hAnsi="仿宋_GB2312" w:eastAsia="仿宋_GB2312"/>
          <w:b w:val="0"/>
          <w:sz w:val="32"/>
        </w:rPr>
        <w:t>公务用车购置及运行维护费2.40万元，其中：公务用车购置费0.00万元，公务用车运行维护费2.40万元。公务用车运行维护费开支内容包括车辆加油费、维修费、保险费、审车费、过路费等。公务用车购置数0辆，公务用车保有量6辆。国有资产占用情况中固定资产车辆6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4E23BA8E">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57ADB9B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2.40万元，决算数2.40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2.40万元，决算数2.40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973A2F3">
      <w:pPr>
        <w:spacing w:line="640" w:lineRule="exact"/>
        <w:ind w:firstLine="640"/>
        <w:jc w:val="both"/>
        <w:outlineLvl w:val="2"/>
      </w:pPr>
      <w:r>
        <w:rPr>
          <w:rFonts w:ascii="黑体" w:hAnsi="黑体" w:eastAsia="黑体"/>
          <w:sz w:val="32"/>
        </w:rPr>
        <w:t>十、其他重要事项的情况说明</w:t>
      </w:r>
    </w:p>
    <w:p w14:paraId="585EC424">
      <w:pPr>
        <w:spacing w:line="640" w:lineRule="exact"/>
        <w:ind w:firstLine="640"/>
        <w:jc w:val="both"/>
        <w:outlineLvl w:val="3"/>
      </w:pPr>
      <w:r>
        <w:rPr>
          <w:rFonts w:ascii="楷体_GB2312" w:hAnsi="楷体_GB2312" w:eastAsia="楷体_GB2312"/>
          <w:b/>
          <w:sz w:val="32"/>
        </w:rPr>
        <w:t>（一）机关运行经费及公用经费支出情况</w:t>
      </w:r>
    </w:p>
    <w:p w14:paraId="1B1E665E">
      <w:pPr>
        <w:spacing w:line="580" w:lineRule="exact"/>
        <w:ind w:firstLine="640"/>
        <w:jc w:val="both"/>
      </w:pPr>
      <w:r>
        <w:rPr>
          <w:rFonts w:ascii="仿宋_GB2312" w:hAnsi="仿宋_GB2312" w:eastAsia="仿宋_GB2312"/>
          <w:b w:val="0"/>
          <w:sz w:val="32"/>
        </w:rPr>
        <w:t>2024年度特克斯县市场监督管理局（行政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）机关运行经费支出18.80万元，比上年减少7.53万元，下降28.60%，主要原因是：严格控制公用经费，合理节约办公用品，减少不必要开支。</w:t>
      </w:r>
    </w:p>
    <w:p w14:paraId="34137852">
      <w:pPr>
        <w:spacing w:line="640" w:lineRule="exact"/>
        <w:ind w:firstLine="640"/>
        <w:jc w:val="both"/>
        <w:outlineLvl w:val="3"/>
      </w:pPr>
      <w:r>
        <w:rPr>
          <w:rFonts w:ascii="楷体_GB2312" w:hAnsi="楷体_GB2312" w:eastAsia="楷体_GB2312"/>
          <w:b/>
          <w:sz w:val="32"/>
        </w:rPr>
        <w:t>（二）政府采购情况</w:t>
      </w:r>
    </w:p>
    <w:p w14:paraId="475A0871">
      <w:pPr>
        <w:spacing w:line="580" w:lineRule="exact"/>
        <w:ind w:firstLine="640"/>
        <w:jc w:val="both"/>
      </w:pPr>
      <w:r>
        <w:rPr>
          <w:rFonts w:ascii="仿宋_GB2312" w:hAnsi="仿宋_GB2312" w:eastAsia="仿宋_GB2312"/>
          <w:b w:val="0"/>
          <w:sz w:val="32"/>
        </w:rPr>
        <w:t>2024年度政府采购支出总额2.65万元，其中：政府采购货物支出1.71万元、政府采购工程支出0.00万元、政府采购服务支出0.94万元。</w:t>
      </w:r>
    </w:p>
    <w:p w14:paraId="29B1F955">
      <w:pPr>
        <w:spacing w:line="580" w:lineRule="exact"/>
        <w:ind w:firstLine="640"/>
        <w:jc w:val="both"/>
      </w:pPr>
      <w:r>
        <w:rPr>
          <w:rFonts w:ascii="仿宋_GB2312" w:hAnsi="仿宋_GB2312" w:eastAsia="仿宋_GB2312"/>
          <w:b w:val="0"/>
          <w:sz w:val="32"/>
        </w:rPr>
        <w:t>授予中小企业合同金额1.99万元，占政府采购支出总额的75.09%，其中：授予小微企业合同金额1.99万元，占政府采购支出总额的75.09%。</w:t>
      </w:r>
    </w:p>
    <w:p w14:paraId="12A27C8F">
      <w:pPr>
        <w:spacing w:line="640" w:lineRule="exact"/>
        <w:ind w:firstLine="640"/>
        <w:jc w:val="both"/>
        <w:outlineLvl w:val="3"/>
      </w:pPr>
      <w:r>
        <w:rPr>
          <w:rFonts w:ascii="楷体_GB2312" w:hAnsi="楷体_GB2312" w:eastAsia="楷体_GB2312"/>
          <w:b/>
          <w:sz w:val="32"/>
        </w:rPr>
        <w:t>（三）国有资产占用情况说明</w:t>
      </w:r>
    </w:p>
    <w:p w14:paraId="0350C027">
      <w:pPr>
        <w:spacing w:line="580" w:lineRule="exact"/>
        <w:ind w:firstLine="640"/>
        <w:jc w:val="both"/>
      </w:pPr>
      <w:r>
        <w:rPr>
          <w:rFonts w:ascii="仿宋_GB2312" w:hAnsi="仿宋_GB2312" w:eastAsia="仿宋_GB2312"/>
          <w:b w:val="0"/>
          <w:sz w:val="32"/>
        </w:rPr>
        <w:t>截至2024年12月31日，房屋3,301.96平方米，价值874.34万元。车辆6辆，价值127.67万元，其中：副部（省）级及以上领导用车0辆、主要负责人用车0辆、机要通信用车0辆、应急保障用车0辆、执法执勤用车3辆、特种专业技术用车1辆、离退休干部服务用车0辆、其他用车2辆，其他用车主要是：一般公务用车。单价100万元（含）以上设备（不含车辆）0台（套）。</w:t>
      </w:r>
    </w:p>
    <w:p w14:paraId="510EEB7A">
      <w:pPr>
        <w:spacing w:line="640" w:lineRule="exact"/>
        <w:ind w:firstLine="640"/>
        <w:jc w:val="both"/>
        <w:outlineLvl w:val="2"/>
      </w:pPr>
      <w:r>
        <w:rPr>
          <w:rFonts w:ascii="黑体" w:hAnsi="黑体" w:eastAsia="黑体"/>
          <w:sz w:val="32"/>
        </w:rPr>
        <w:t>十一、预算绩效的情况说明</w:t>
      </w:r>
    </w:p>
    <w:p w14:paraId="63085DBE">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859.21万元，实际执行总额859.21万元；预算绩效评价项目2个，全年预算数2.25万元，全年执行数2.25万元。预算绩效管理取得的成效：目前的预算管理在编制和实施中还存在编制不细、预算调整较多、追加预算比重较大等现象，因此项目预算执行的准确性还有待加强，同时分析手段和技术水平上还有待完善。加强与县财政局的紧密配合，开展好整体支出及项目资金绩效管理工作，运用好绩效评价的结果，不断提升预算管理水平。发现的问题及原因：绩效管理和预算管理工作没有结合起来，预算管理年初预算数与全年执行数有差距，预算调整较多，对绩效管理认识不足，绩效管理不够细化明确，对绩效监控组织、管理、实施方式等思路了解不够深入，不透彻。下一步改进措施：一是加强新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会计制度和新预算法学习培训、规范账务处理，加强新《中华人民共和国预算法》《行政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财务规则》等学习培训，规范部门预算收支核算。二是落实预算执行分析，及时了解预算执行差异，合理调整、纠正预算执行偏差，切实提高部门预算收支管理水平，尽可能地做到决算与预算相衔接。具体附整体支出绩效自评表，项目支出绩效自评表和评价报告。</w:t>
      </w:r>
    </w:p>
    <w:p w14:paraId="637BEEF5">
      <w:r>
        <w:br w:type="page"/>
      </w:r>
    </w:p>
    <w:tbl>
      <w:tblPr>
        <w:tblStyle w:val="9"/>
        <w:tblW w:w="0" w:type="auto"/>
        <w:tblInd w:w="0" w:type="dxa"/>
        <w:tblLayout w:type="autofit"/>
        <w:tblCellMar>
          <w:top w:w="0" w:type="dxa"/>
          <w:left w:w="108" w:type="dxa"/>
          <w:bottom w:w="0" w:type="dxa"/>
          <w:right w:w="108" w:type="dxa"/>
        </w:tblCellMar>
      </w:tblPr>
      <w:tblGrid>
        <w:gridCol w:w="1105"/>
        <w:gridCol w:w="1012"/>
        <w:gridCol w:w="93"/>
        <w:gridCol w:w="1105"/>
        <w:gridCol w:w="202"/>
        <w:gridCol w:w="903"/>
        <w:gridCol w:w="1105"/>
        <w:gridCol w:w="538"/>
        <w:gridCol w:w="567"/>
        <w:gridCol w:w="447"/>
        <w:gridCol w:w="658"/>
        <w:gridCol w:w="248"/>
        <w:gridCol w:w="857"/>
      </w:tblGrid>
      <w:tr w14:paraId="1342CBCA">
        <w:tblPrEx>
          <w:tblCellMar>
            <w:top w:w="0" w:type="dxa"/>
            <w:left w:w="108" w:type="dxa"/>
            <w:bottom w:w="0" w:type="dxa"/>
            <w:right w:w="108" w:type="dxa"/>
          </w:tblCellMar>
        </w:tblPrEx>
        <w:tc>
          <w:tcPr>
            <w:tcW w:w="8840" w:type="dxa"/>
            <w:gridSpan w:val="13"/>
            <w:vAlign w:val="center"/>
          </w:tcPr>
          <w:p w14:paraId="3721E4C4">
            <w:pPr>
              <w:jc w:val="center"/>
            </w:pPr>
            <w:r>
              <w:rPr>
                <w:rFonts w:hint="eastAsia" w:ascii="宋体" w:hAnsi="宋体"/>
                <w:sz w:val="24"/>
                <w:lang w:eastAsia="zh-CN"/>
              </w:rPr>
              <w:t>单位</w:t>
            </w:r>
            <w:r>
              <w:rPr>
                <w:rFonts w:ascii="宋体" w:hAnsi="宋体" w:eastAsia="宋体"/>
                <w:sz w:val="24"/>
              </w:rPr>
              <w:t>整体支出绩效自评表</w:t>
            </w:r>
          </w:p>
        </w:tc>
      </w:tr>
      <w:tr w14:paraId="1F0C7382">
        <w:tblPrEx>
          <w:tblCellMar>
            <w:top w:w="0" w:type="dxa"/>
            <w:left w:w="108" w:type="dxa"/>
            <w:bottom w:w="0" w:type="dxa"/>
            <w:right w:w="108" w:type="dxa"/>
          </w:tblCellMar>
        </w:tblPrEx>
        <w:tc>
          <w:tcPr>
            <w:tcW w:w="8840" w:type="dxa"/>
            <w:gridSpan w:val="13"/>
            <w:vAlign w:val="center"/>
          </w:tcPr>
          <w:p w14:paraId="7AC27C8D">
            <w:pPr>
              <w:jc w:val="center"/>
            </w:pPr>
            <w:r>
              <w:rPr>
                <w:rFonts w:ascii="宋体" w:hAnsi="宋体" w:eastAsia="宋体"/>
                <w:sz w:val="24"/>
              </w:rPr>
              <w:t>（2024年度）</w:t>
            </w:r>
          </w:p>
        </w:tc>
      </w:tr>
      <w:tr w14:paraId="2A72CCE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F66D0B">
            <w:pPr>
              <w:jc w:val="center"/>
            </w:pPr>
            <w:r>
              <w:rPr>
                <w:rFonts w:hint="eastAsia" w:ascii="宋体" w:hAnsi="宋体"/>
                <w:sz w:val="16"/>
                <w:lang w:eastAsia="zh-CN"/>
              </w:rPr>
              <w:t>单位</w:t>
            </w:r>
            <w:r>
              <w:rPr>
                <w:rFonts w:ascii="宋体" w:hAnsi="宋体" w:eastAsia="宋体"/>
                <w:sz w:val="16"/>
              </w:rPr>
              <w:t>名称</w:t>
            </w:r>
          </w:p>
        </w:tc>
        <w:tc>
          <w:tcPr>
            <w:tcW w:w="7735" w:type="dxa"/>
            <w:gridSpan w:val="12"/>
            <w:tcBorders>
              <w:top w:val="single" w:color="auto" w:sz="10" w:space="0"/>
              <w:left w:val="single" w:color="auto" w:sz="10" w:space="0"/>
              <w:bottom w:val="single" w:color="auto" w:sz="10" w:space="0"/>
              <w:right w:val="single" w:color="auto" w:sz="10" w:space="0"/>
              <w:insideV w:val="single" w:sz="10" w:space="0"/>
            </w:tcBorders>
            <w:vAlign w:val="center"/>
          </w:tcPr>
          <w:p w14:paraId="291086C2">
            <w:pPr>
              <w:jc w:val="center"/>
            </w:pPr>
            <w:r>
              <w:rPr>
                <w:rFonts w:ascii="宋体" w:hAnsi="宋体" w:eastAsia="宋体"/>
                <w:sz w:val="16"/>
              </w:rPr>
              <w:t>特克斯县市场监督管理局</w:t>
            </w:r>
          </w:p>
        </w:tc>
      </w:tr>
      <w:tr w14:paraId="72CAA57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42617">
            <w:pPr>
              <w:jc w:val="center"/>
            </w:pPr>
            <w:r>
              <w:rPr>
                <w:rFonts w:ascii="宋体" w:hAnsi="宋体" w:eastAsia="宋体"/>
                <w:sz w:val="16"/>
              </w:rPr>
              <w:t>部门资金（万元）</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493E7">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DFD1A0">
            <w:pPr>
              <w:jc w:val="center"/>
            </w:pPr>
            <w:r>
              <w:rPr>
                <w:rFonts w:ascii="宋体" w:hAnsi="宋体" w:eastAsia="宋体"/>
                <w:sz w:val="16"/>
              </w:rPr>
              <w:t>年初预算数</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514BE">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4F04EF">
            <w:pPr>
              <w:jc w:val="center"/>
            </w:pPr>
            <w:r>
              <w:rPr>
                <w:rFonts w:ascii="宋体" w:hAnsi="宋体" w:eastAsia="宋体"/>
                <w:sz w:val="16"/>
              </w:rPr>
              <w:t>全年执行数</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1AFCB">
            <w:pPr>
              <w:jc w:val="center"/>
            </w:pPr>
            <w:r>
              <w:rPr>
                <w:rFonts w:ascii="宋体" w:hAnsi="宋体" w:eastAsia="宋体"/>
                <w:sz w:val="16"/>
              </w:rPr>
              <w:t>分值权重</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0B088">
            <w:pPr>
              <w:jc w:val="center"/>
            </w:pPr>
            <w:r>
              <w:rPr>
                <w:rFonts w:ascii="宋体" w:hAnsi="宋体" w:eastAsia="宋体"/>
                <w:sz w:val="16"/>
              </w:rPr>
              <w:t>执行率</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52C1C">
            <w:pPr>
              <w:jc w:val="center"/>
            </w:pPr>
            <w:r>
              <w:rPr>
                <w:rFonts w:ascii="宋体" w:hAnsi="宋体" w:eastAsia="宋体"/>
                <w:sz w:val="16"/>
              </w:rPr>
              <w:t>得分</w:t>
            </w:r>
          </w:p>
        </w:tc>
      </w:tr>
      <w:tr w14:paraId="152EDFC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D45B7A"/>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8D04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90CB97">
            <w:pPr>
              <w:jc w:val="center"/>
            </w:pPr>
            <w:r>
              <w:rPr>
                <w:rFonts w:ascii="宋体" w:hAnsi="宋体" w:eastAsia="宋体"/>
                <w:sz w:val="16"/>
              </w:rPr>
              <w:t>765.03</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0B4BB">
            <w:pPr>
              <w:jc w:val="center"/>
            </w:pPr>
            <w:r>
              <w:rPr>
                <w:rFonts w:ascii="宋体" w:hAnsi="宋体" w:eastAsia="宋体"/>
                <w:sz w:val="16"/>
              </w:rPr>
              <w:t>859.21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FEE689">
            <w:pPr>
              <w:jc w:val="center"/>
            </w:pPr>
            <w:r>
              <w:rPr>
                <w:rFonts w:ascii="宋体" w:hAnsi="宋体" w:eastAsia="宋体"/>
                <w:sz w:val="16"/>
              </w:rPr>
              <w:t>859.21</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9DEA6">
            <w:pPr>
              <w:jc w:val="center"/>
            </w:pPr>
            <w:r>
              <w:rPr>
                <w:rFonts w:ascii="宋体" w:hAnsi="宋体" w:eastAsia="宋体"/>
                <w:sz w:val="16"/>
              </w:rPr>
              <w:t>10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A8986">
            <w:pPr>
              <w:jc w:val="center"/>
            </w:pPr>
            <w:r>
              <w:rPr>
                <w:rFonts w:ascii="宋体" w:hAnsi="宋体" w:eastAsia="宋体"/>
                <w:sz w:val="16"/>
              </w:rPr>
              <w:t>100%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B7386">
            <w:pPr>
              <w:jc w:val="center"/>
            </w:pPr>
            <w:r>
              <w:rPr>
                <w:rFonts w:ascii="宋体" w:hAnsi="宋体" w:eastAsia="宋体"/>
                <w:sz w:val="16"/>
              </w:rPr>
              <w:t>10</w:t>
            </w:r>
          </w:p>
        </w:tc>
      </w:tr>
      <w:tr w14:paraId="0851C16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1F7745"/>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40F09">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456308">
            <w:pPr>
              <w:jc w:val="center"/>
            </w:pPr>
            <w:r>
              <w:rPr>
                <w:rFonts w:ascii="宋体" w:hAnsi="宋体" w:eastAsia="宋体"/>
                <w:sz w:val="16"/>
              </w:rPr>
              <w:t>0.00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B7BD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D2EBC">
            <w:pPr>
              <w:jc w:val="center"/>
            </w:pPr>
            <w:r>
              <w:rPr>
                <w:rFonts w:ascii="宋体" w:hAnsi="宋体" w:eastAsia="宋体"/>
                <w:sz w:val="16"/>
              </w:rPr>
              <w:t>0.00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D60EF">
            <w:pPr>
              <w:jc w:val="center"/>
            </w:pPr>
            <w:r>
              <w:rPr>
                <w:rFonts w:ascii="宋体" w:hAnsi="宋体" w:eastAsia="宋体"/>
                <w:sz w:val="16"/>
              </w:rPr>
              <w:t>-</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DE079">
            <w:pPr>
              <w:jc w:val="center"/>
            </w:pPr>
            <w:r>
              <w:rPr>
                <w:rFonts w:ascii="宋体" w:hAnsi="宋体" w:eastAsia="宋体"/>
                <w:sz w:val="16"/>
              </w:rPr>
              <w:t>-</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F5D1C">
            <w:pPr>
              <w:jc w:val="center"/>
            </w:pPr>
            <w:r>
              <w:rPr>
                <w:rFonts w:ascii="宋体" w:hAnsi="宋体" w:eastAsia="宋体"/>
                <w:sz w:val="16"/>
              </w:rPr>
              <w:t>-</w:t>
            </w:r>
          </w:p>
        </w:tc>
      </w:tr>
      <w:tr w14:paraId="5726525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119E6B"/>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F3BAD">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EEC6C1">
            <w:pPr>
              <w:jc w:val="center"/>
            </w:pPr>
            <w:r>
              <w:rPr>
                <w:rFonts w:ascii="宋体" w:hAnsi="宋体" w:eastAsia="宋体"/>
                <w:sz w:val="16"/>
              </w:rPr>
              <w:t>764.73</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DDD37">
            <w:pPr>
              <w:jc w:val="center"/>
            </w:pPr>
            <w:r>
              <w:rPr>
                <w:rFonts w:ascii="宋体" w:hAnsi="宋体" w:eastAsia="宋体"/>
                <w:sz w:val="16"/>
              </w:rPr>
              <w:t>859.16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C071B7">
            <w:pPr>
              <w:jc w:val="center"/>
            </w:pPr>
            <w:r>
              <w:rPr>
                <w:rFonts w:ascii="宋体" w:hAnsi="宋体" w:eastAsia="宋体"/>
                <w:sz w:val="16"/>
              </w:rPr>
              <w:t>859.16</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D9D0E">
            <w:pPr>
              <w:jc w:val="center"/>
            </w:pPr>
            <w:r>
              <w:rPr>
                <w:rFonts w:ascii="宋体" w:hAnsi="宋体" w:eastAsia="宋体"/>
                <w:sz w:val="16"/>
              </w:rPr>
              <w:t>-</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B8082">
            <w:pPr>
              <w:jc w:val="center"/>
            </w:pPr>
            <w:r>
              <w:rPr>
                <w:rFonts w:ascii="宋体" w:hAnsi="宋体" w:eastAsia="宋体"/>
                <w:sz w:val="16"/>
              </w:rPr>
              <w:t>-</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D3148">
            <w:pPr>
              <w:jc w:val="center"/>
            </w:pPr>
            <w:r>
              <w:rPr>
                <w:rFonts w:ascii="宋体" w:hAnsi="宋体" w:eastAsia="宋体"/>
                <w:sz w:val="16"/>
              </w:rPr>
              <w:t>-</w:t>
            </w:r>
          </w:p>
        </w:tc>
      </w:tr>
      <w:tr w14:paraId="4447DCC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3AA1BC"/>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2044F">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A8F4D3">
            <w:pPr>
              <w:jc w:val="center"/>
            </w:pPr>
            <w:r>
              <w:rPr>
                <w:rFonts w:ascii="宋体" w:hAnsi="宋体" w:eastAsia="宋体"/>
                <w:sz w:val="16"/>
              </w:rPr>
              <w:t>0.30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11526">
            <w:pPr>
              <w:jc w:val="center"/>
            </w:pPr>
            <w:r>
              <w:rPr>
                <w:rFonts w:ascii="宋体" w:hAnsi="宋体" w:eastAsia="宋体"/>
                <w:sz w:val="16"/>
              </w:rPr>
              <w:t>0.05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1303CF">
            <w:pPr>
              <w:jc w:val="center"/>
            </w:pPr>
            <w:r>
              <w:rPr>
                <w:rFonts w:ascii="宋体" w:hAnsi="宋体" w:eastAsia="宋体"/>
                <w:sz w:val="16"/>
              </w:rPr>
              <w:t>0.05</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5E8B2">
            <w:pPr>
              <w:jc w:val="center"/>
            </w:pPr>
            <w:r>
              <w:rPr>
                <w:rFonts w:ascii="宋体" w:hAnsi="宋体" w:eastAsia="宋体"/>
                <w:sz w:val="16"/>
              </w:rPr>
              <w:t>-</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31623">
            <w:pPr>
              <w:jc w:val="center"/>
            </w:pPr>
            <w:r>
              <w:rPr>
                <w:rFonts w:ascii="宋体" w:hAnsi="宋体" w:eastAsia="宋体"/>
                <w:sz w:val="16"/>
              </w:rPr>
              <w:t>-</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21EA8">
            <w:pPr>
              <w:jc w:val="center"/>
            </w:pPr>
            <w:r>
              <w:rPr>
                <w:rFonts w:ascii="宋体" w:hAnsi="宋体" w:eastAsia="宋体"/>
                <w:sz w:val="16"/>
              </w:rPr>
              <w:t>-</w:t>
            </w:r>
          </w:p>
        </w:tc>
      </w:tr>
      <w:tr w14:paraId="364332C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2016A">
            <w:pPr>
              <w:jc w:val="center"/>
            </w:pPr>
            <w:r>
              <w:rPr>
                <w:rFonts w:ascii="宋体" w:hAnsi="宋体" w:eastAsia="宋体"/>
                <w:sz w:val="16"/>
              </w:rPr>
              <w:t>年度总体目标</w:t>
            </w:r>
          </w:p>
        </w:tc>
        <w:tc>
          <w:tcPr>
            <w:tcW w:w="495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C98551">
            <w:pPr>
              <w:jc w:val="center"/>
            </w:pPr>
            <w:r>
              <w:rPr>
                <w:rFonts w:ascii="宋体" w:hAnsi="宋体" w:eastAsia="宋体"/>
                <w:sz w:val="16"/>
              </w:rPr>
              <w:t>预期目标</w:t>
            </w:r>
          </w:p>
        </w:tc>
        <w:tc>
          <w:tcPr>
            <w:tcW w:w="277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72B3D2">
            <w:pPr>
              <w:jc w:val="center"/>
            </w:pPr>
            <w:r>
              <w:rPr>
                <w:rFonts w:ascii="宋体" w:hAnsi="宋体" w:eastAsia="宋体"/>
                <w:sz w:val="16"/>
              </w:rPr>
              <w:t>实际完成情况</w:t>
            </w:r>
          </w:p>
        </w:tc>
      </w:tr>
      <w:tr w14:paraId="1A571F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B15C88"/>
        </w:tc>
        <w:tc>
          <w:tcPr>
            <w:tcW w:w="495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98AB55">
            <w:pPr>
              <w:jc w:val="both"/>
            </w:pPr>
            <w:r>
              <w:rPr>
                <w:rFonts w:ascii="宋体" w:hAnsi="宋体" w:eastAsia="宋体"/>
                <w:sz w:val="16"/>
              </w:rPr>
              <w:t>全面加强市场监管和贯彻新发展理念，加快构建新发展格局，着力推动高质量发展，持续优化营商环境，更大力度支持市场主体发展，提高工作人员法治思维和依法行政能力，政务服务审批实现“最多跑一次”“证照分离”目标，严格落实“四个最严”要求，加强对食品、药品医疗器械、标准计量特种设备监管，坚决守住食品企业产品、特种设备安全底线，提振市场信心，稳定市场预期，努力提高市场监管现代化水平，服务经济实现质的有效提升和量的合理增长。均衡推进食品抽检监测，开展食品安全监督抽检监测，及时稳妥公布食品抽检结果信息。</w:t>
            </w:r>
          </w:p>
        </w:tc>
        <w:tc>
          <w:tcPr>
            <w:tcW w:w="277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E27213">
            <w:pPr>
              <w:jc w:val="both"/>
            </w:pPr>
            <w:r>
              <w:rPr>
                <w:rFonts w:ascii="宋体" w:hAnsi="宋体" w:eastAsia="宋体"/>
                <w:sz w:val="16"/>
              </w:rPr>
              <w:t>加强全县市场监管，持续优化营商环境，更大力度支持市场主体发展，食品安全监督抽检252批次，营业执照网办率达到99.83%，特种设备使用</w:t>
            </w:r>
            <w:r>
              <w:rPr>
                <w:rFonts w:hint="eastAsia" w:ascii="宋体" w:hAnsi="宋体"/>
                <w:sz w:val="16"/>
                <w:lang w:eastAsia="zh-CN"/>
              </w:rPr>
              <w:t>单位</w:t>
            </w:r>
            <w:r>
              <w:rPr>
                <w:rFonts w:ascii="宋体" w:hAnsi="宋体" w:eastAsia="宋体"/>
                <w:sz w:val="16"/>
              </w:rPr>
              <w:t>监管数94家，药品、医疗器械经营企业监管数76家，学校食堂食品安全监管数71家。</w:t>
            </w:r>
          </w:p>
        </w:tc>
      </w:tr>
      <w:tr w14:paraId="1765EA8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479D15">
            <w:pPr>
              <w:jc w:val="center"/>
            </w:pPr>
            <w:r>
              <w:rPr>
                <w:rFonts w:ascii="宋体" w:hAnsi="宋体" w:eastAsia="宋体"/>
                <w:sz w:val="16"/>
              </w:rPr>
              <w:t>一级指标</w:t>
            </w:r>
          </w:p>
        </w:tc>
        <w:tc>
          <w:tcPr>
            <w:tcW w:w="1012" w:type="dxa"/>
            <w:tcBorders>
              <w:top w:val="single" w:color="auto" w:sz="10" w:space="0"/>
              <w:left w:val="single" w:color="auto" w:sz="10" w:space="0"/>
              <w:bottom w:val="single" w:color="auto" w:sz="10" w:space="0"/>
              <w:right w:val="single" w:color="auto" w:sz="10" w:space="0"/>
              <w:insideV w:val="single" w:sz="10" w:space="0"/>
            </w:tcBorders>
            <w:vAlign w:val="center"/>
          </w:tcPr>
          <w:p w14:paraId="5070B0E6">
            <w:pPr>
              <w:jc w:val="center"/>
            </w:pPr>
            <w:r>
              <w:rPr>
                <w:rFonts w:ascii="宋体" w:hAnsi="宋体" w:eastAsia="宋体"/>
                <w:sz w:val="16"/>
              </w:rPr>
              <w:t>二级指标</w:t>
            </w:r>
          </w:p>
        </w:tc>
        <w:tc>
          <w:tcPr>
            <w:tcW w:w="140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1A3E72">
            <w:pPr>
              <w:jc w:val="center"/>
            </w:pPr>
            <w:r>
              <w:rPr>
                <w:rFonts w:ascii="宋体" w:hAnsi="宋体" w:eastAsia="宋体"/>
                <w:sz w:val="16"/>
              </w:rPr>
              <w:t>三级指标</w:t>
            </w:r>
          </w:p>
        </w:tc>
        <w:tc>
          <w:tcPr>
            <w:tcW w:w="903" w:type="dxa"/>
            <w:tcBorders>
              <w:top w:val="single" w:color="auto" w:sz="10" w:space="0"/>
              <w:left w:val="single" w:color="auto" w:sz="10" w:space="0"/>
              <w:bottom w:val="single" w:color="auto" w:sz="10" w:space="0"/>
              <w:right w:val="single" w:color="auto" w:sz="10" w:space="0"/>
              <w:insideV w:val="single" w:sz="10" w:space="0"/>
            </w:tcBorders>
            <w:vAlign w:val="center"/>
          </w:tcPr>
          <w:p w14:paraId="659C5720">
            <w:pPr>
              <w:jc w:val="center"/>
            </w:pPr>
            <w:r>
              <w:rPr>
                <w:rFonts w:ascii="宋体" w:hAnsi="宋体" w:eastAsia="宋体"/>
                <w:sz w:val="16"/>
              </w:rPr>
              <w:t>预期指标值</w:t>
            </w:r>
          </w:p>
        </w:tc>
        <w:tc>
          <w:tcPr>
            <w:tcW w:w="16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16F2F">
            <w:pPr>
              <w:jc w:val="center"/>
            </w:pPr>
            <w:r>
              <w:rPr>
                <w:rFonts w:ascii="宋体" w:hAnsi="宋体" w:eastAsia="宋体"/>
                <w:sz w:val="16"/>
              </w:rPr>
              <w:t>指标值设定依据</w:t>
            </w:r>
          </w:p>
        </w:tc>
        <w:tc>
          <w:tcPr>
            <w:tcW w:w="10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5C780">
            <w:pPr>
              <w:jc w:val="center"/>
            </w:pPr>
            <w:r>
              <w:rPr>
                <w:rFonts w:ascii="宋体" w:hAnsi="宋体" w:eastAsia="宋体"/>
                <w:sz w:val="16"/>
              </w:rPr>
              <w:t>分值权重</w:t>
            </w:r>
          </w:p>
        </w:tc>
        <w:tc>
          <w:tcPr>
            <w:tcW w:w="9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AEC3C">
            <w:pPr>
              <w:jc w:val="center"/>
            </w:pPr>
            <w:r>
              <w:rPr>
                <w:rFonts w:ascii="宋体" w:hAnsi="宋体" w:eastAsia="宋体"/>
                <w:sz w:val="16"/>
              </w:rPr>
              <w:t>实际完成指标值</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0C9EA8DB">
            <w:pPr>
              <w:jc w:val="center"/>
            </w:pPr>
            <w:r>
              <w:rPr>
                <w:rFonts w:ascii="宋体" w:hAnsi="宋体" w:eastAsia="宋体"/>
                <w:sz w:val="16"/>
              </w:rPr>
              <w:t>得分</w:t>
            </w:r>
          </w:p>
        </w:tc>
      </w:tr>
      <w:tr w14:paraId="612962D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7F430">
            <w:pPr>
              <w:jc w:val="center"/>
            </w:pPr>
            <w:r>
              <w:rPr>
                <w:rFonts w:ascii="宋体" w:hAnsi="宋体" w:eastAsia="宋体"/>
                <w:sz w:val="16"/>
              </w:rPr>
              <w:t>履职效能</w:t>
            </w:r>
          </w:p>
        </w:tc>
        <w:tc>
          <w:tcPr>
            <w:tcW w:w="101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77118">
            <w:pPr>
              <w:jc w:val="center"/>
            </w:pPr>
            <w:r>
              <w:rPr>
                <w:rFonts w:ascii="宋体" w:hAnsi="宋体" w:eastAsia="宋体"/>
                <w:sz w:val="16"/>
              </w:rPr>
              <w:t>数量指标</w:t>
            </w:r>
          </w:p>
        </w:tc>
        <w:tc>
          <w:tcPr>
            <w:tcW w:w="140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E310FC">
            <w:pPr>
              <w:jc w:val="center"/>
            </w:pPr>
            <w:r>
              <w:rPr>
                <w:rFonts w:ascii="宋体" w:hAnsi="宋体" w:eastAsia="宋体"/>
                <w:sz w:val="16"/>
              </w:rPr>
              <w:t>食品安全监督抽检数量</w:t>
            </w:r>
          </w:p>
        </w:tc>
        <w:tc>
          <w:tcPr>
            <w:tcW w:w="903" w:type="dxa"/>
            <w:tcBorders>
              <w:top w:val="single" w:color="auto" w:sz="10" w:space="0"/>
              <w:left w:val="single" w:color="auto" w:sz="10" w:space="0"/>
              <w:bottom w:val="single" w:color="auto" w:sz="10" w:space="0"/>
              <w:right w:val="single" w:color="auto" w:sz="10" w:space="0"/>
              <w:insideV w:val="single" w:sz="10" w:space="0"/>
            </w:tcBorders>
            <w:vAlign w:val="center"/>
          </w:tcPr>
          <w:p w14:paraId="06DD4884">
            <w:pPr>
              <w:jc w:val="center"/>
            </w:pPr>
            <w:r>
              <w:rPr>
                <w:rFonts w:ascii="宋体" w:hAnsi="宋体" w:eastAsia="宋体"/>
                <w:sz w:val="16"/>
              </w:rPr>
              <w:t>&gt;=252批次</w:t>
            </w:r>
          </w:p>
        </w:tc>
        <w:tc>
          <w:tcPr>
            <w:tcW w:w="16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5FA69">
            <w:pPr>
              <w:jc w:val="center"/>
            </w:pPr>
            <w:r>
              <w:rPr>
                <w:rFonts w:ascii="宋体" w:hAnsi="宋体" w:eastAsia="宋体"/>
                <w:sz w:val="16"/>
              </w:rPr>
              <w:t>2024年地县局食品安全抽检任务分配表</w:t>
            </w:r>
          </w:p>
        </w:tc>
        <w:tc>
          <w:tcPr>
            <w:tcW w:w="10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043A0">
            <w:pPr>
              <w:jc w:val="center"/>
            </w:pPr>
            <w:r>
              <w:rPr>
                <w:rFonts w:ascii="宋体" w:hAnsi="宋体" w:eastAsia="宋体"/>
                <w:sz w:val="16"/>
              </w:rPr>
              <w:t>20</w:t>
            </w:r>
          </w:p>
        </w:tc>
        <w:tc>
          <w:tcPr>
            <w:tcW w:w="9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AFF2A">
            <w:pPr>
              <w:jc w:val="center"/>
            </w:pPr>
            <w:r>
              <w:rPr>
                <w:rFonts w:ascii="宋体" w:hAnsi="宋体" w:eastAsia="宋体"/>
                <w:sz w:val="16"/>
              </w:rPr>
              <w:t>252批次</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51F5AA04">
            <w:pPr>
              <w:jc w:val="center"/>
            </w:pPr>
            <w:r>
              <w:rPr>
                <w:rFonts w:ascii="宋体" w:hAnsi="宋体" w:eastAsia="宋体"/>
                <w:sz w:val="16"/>
              </w:rPr>
              <w:t>20</w:t>
            </w:r>
          </w:p>
        </w:tc>
      </w:tr>
      <w:tr w14:paraId="128B62E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A77633"/>
        </w:tc>
        <w:tc>
          <w:tcPr>
            <w:tcW w:w="1012" w:type="dxa"/>
            <w:vMerge w:val="continue"/>
            <w:tcBorders>
              <w:top w:val="single" w:color="auto" w:sz="10" w:space="0"/>
              <w:left w:val="single" w:color="auto" w:sz="10" w:space="0"/>
              <w:bottom w:val="single" w:color="auto" w:sz="10" w:space="0"/>
              <w:right w:val="single" w:color="auto" w:sz="10" w:space="0"/>
              <w:insideV w:val="single" w:sz="10" w:space="0"/>
            </w:tcBorders>
          </w:tcPr>
          <w:p w14:paraId="62E8E42E"/>
        </w:tc>
        <w:tc>
          <w:tcPr>
            <w:tcW w:w="140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2378D2">
            <w:pPr>
              <w:jc w:val="center"/>
            </w:pPr>
            <w:r>
              <w:rPr>
                <w:rFonts w:ascii="宋体" w:hAnsi="宋体" w:eastAsia="宋体"/>
                <w:sz w:val="16"/>
              </w:rPr>
              <w:t>营业执照网办率</w:t>
            </w:r>
          </w:p>
        </w:tc>
        <w:tc>
          <w:tcPr>
            <w:tcW w:w="903" w:type="dxa"/>
            <w:tcBorders>
              <w:top w:val="single" w:color="auto" w:sz="10" w:space="0"/>
              <w:left w:val="single" w:color="auto" w:sz="10" w:space="0"/>
              <w:bottom w:val="single" w:color="auto" w:sz="10" w:space="0"/>
              <w:right w:val="single" w:color="auto" w:sz="10" w:space="0"/>
              <w:insideV w:val="single" w:sz="10" w:space="0"/>
            </w:tcBorders>
            <w:vAlign w:val="center"/>
          </w:tcPr>
          <w:p w14:paraId="2FBEA71D">
            <w:pPr>
              <w:jc w:val="center"/>
            </w:pPr>
            <w:r>
              <w:rPr>
                <w:rFonts w:ascii="宋体" w:hAnsi="宋体" w:eastAsia="宋体"/>
                <w:sz w:val="16"/>
              </w:rPr>
              <w:t>&gt;=97%</w:t>
            </w:r>
          </w:p>
        </w:tc>
        <w:tc>
          <w:tcPr>
            <w:tcW w:w="16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94F91">
            <w:pPr>
              <w:jc w:val="center"/>
            </w:pPr>
            <w:r>
              <w:rPr>
                <w:rFonts w:ascii="宋体" w:hAnsi="宋体" w:eastAsia="宋体"/>
                <w:sz w:val="16"/>
              </w:rPr>
              <w:t>特克斯县市场监督管理局2024年工作思路</w:t>
            </w:r>
          </w:p>
        </w:tc>
        <w:tc>
          <w:tcPr>
            <w:tcW w:w="10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A30B1">
            <w:pPr>
              <w:jc w:val="center"/>
            </w:pPr>
            <w:r>
              <w:rPr>
                <w:rFonts w:ascii="宋体" w:hAnsi="宋体" w:eastAsia="宋体"/>
                <w:sz w:val="16"/>
              </w:rPr>
              <w:t>10</w:t>
            </w:r>
          </w:p>
        </w:tc>
        <w:tc>
          <w:tcPr>
            <w:tcW w:w="9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8C173">
            <w:pPr>
              <w:jc w:val="center"/>
            </w:pPr>
            <w:r>
              <w:rPr>
                <w:rFonts w:ascii="宋体" w:hAnsi="宋体" w:eastAsia="宋体"/>
                <w:sz w:val="16"/>
              </w:rPr>
              <w:t>99.83%</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742AADD5">
            <w:pPr>
              <w:jc w:val="center"/>
            </w:pPr>
            <w:r>
              <w:rPr>
                <w:rFonts w:ascii="宋体" w:hAnsi="宋体" w:eastAsia="宋体"/>
                <w:sz w:val="16"/>
              </w:rPr>
              <w:t>10</w:t>
            </w:r>
          </w:p>
        </w:tc>
      </w:tr>
      <w:tr w14:paraId="640C06E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B2144D"/>
        </w:tc>
        <w:tc>
          <w:tcPr>
            <w:tcW w:w="1012" w:type="dxa"/>
            <w:vMerge w:val="continue"/>
            <w:tcBorders>
              <w:top w:val="single" w:color="auto" w:sz="10" w:space="0"/>
              <w:left w:val="single" w:color="auto" w:sz="10" w:space="0"/>
              <w:bottom w:val="single" w:color="auto" w:sz="10" w:space="0"/>
              <w:right w:val="single" w:color="auto" w:sz="10" w:space="0"/>
              <w:insideV w:val="single" w:sz="10" w:space="0"/>
            </w:tcBorders>
          </w:tcPr>
          <w:p w14:paraId="148750DF"/>
        </w:tc>
        <w:tc>
          <w:tcPr>
            <w:tcW w:w="140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103E91">
            <w:pPr>
              <w:jc w:val="center"/>
            </w:pPr>
            <w:r>
              <w:rPr>
                <w:rFonts w:ascii="宋体" w:hAnsi="宋体" w:eastAsia="宋体"/>
                <w:sz w:val="16"/>
              </w:rPr>
              <w:t>特种设备使用</w:t>
            </w:r>
            <w:r>
              <w:rPr>
                <w:rFonts w:hint="eastAsia" w:ascii="宋体" w:hAnsi="宋体"/>
                <w:sz w:val="16"/>
                <w:lang w:eastAsia="zh-CN"/>
              </w:rPr>
              <w:t>单位</w:t>
            </w:r>
            <w:r>
              <w:rPr>
                <w:rFonts w:ascii="宋体" w:hAnsi="宋体" w:eastAsia="宋体"/>
                <w:sz w:val="16"/>
              </w:rPr>
              <w:t>监管数</w:t>
            </w:r>
          </w:p>
        </w:tc>
        <w:tc>
          <w:tcPr>
            <w:tcW w:w="903" w:type="dxa"/>
            <w:tcBorders>
              <w:top w:val="single" w:color="auto" w:sz="10" w:space="0"/>
              <w:left w:val="single" w:color="auto" w:sz="10" w:space="0"/>
              <w:bottom w:val="single" w:color="auto" w:sz="10" w:space="0"/>
              <w:right w:val="single" w:color="auto" w:sz="10" w:space="0"/>
              <w:insideV w:val="single" w:sz="10" w:space="0"/>
            </w:tcBorders>
            <w:vAlign w:val="center"/>
          </w:tcPr>
          <w:p w14:paraId="7746F812">
            <w:pPr>
              <w:jc w:val="center"/>
            </w:pPr>
            <w:r>
              <w:rPr>
                <w:rFonts w:ascii="宋体" w:hAnsi="宋体" w:eastAsia="宋体"/>
                <w:sz w:val="16"/>
              </w:rPr>
              <w:t>&gt;=94家</w:t>
            </w:r>
          </w:p>
        </w:tc>
        <w:tc>
          <w:tcPr>
            <w:tcW w:w="16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682DC">
            <w:pPr>
              <w:jc w:val="center"/>
            </w:pPr>
            <w:r>
              <w:rPr>
                <w:rFonts w:ascii="宋体" w:hAnsi="宋体" w:eastAsia="宋体"/>
                <w:sz w:val="16"/>
              </w:rPr>
              <w:t>特克斯县市场监督管理局2024年工作思路</w:t>
            </w:r>
          </w:p>
        </w:tc>
        <w:tc>
          <w:tcPr>
            <w:tcW w:w="10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EB52F">
            <w:pPr>
              <w:jc w:val="center"/>
            </w:pPr>
            <w:r>
              <w:rPr>
                <w:rFonts w:ascii="宋体" w:hAnsi="宋体" w:eastAsia="宋体"/>
                <w:sz w:val="16"/>
              </w:rPr>
              <w:t>20</w:t>
            </w:r>
          </w:p>
        </w:tc>
        <w:tc>
          <w:tcPr>
            <w:tcW w:w="9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FCA49">
            <w:pPr>
              <w:jc w:val="center"/>
            </w:pPr>
            <w:r>
              <w:rPr>
                <w:rFonts w:ascii="宋体" w:hAnsi="宋体" w:eastAsia="宋体"/>
                <w:sz w:val="16"/>
              </w:rPr>
              <w:t>94家</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049BC9A3">
            <w:pPr>
              <w:jc w:val="center"/>
            </w:pPr>
            <w:r>
              <w:rPr>
                <w:rFonts w:ascii="宋体" w:hAnsi="宋体" w:eastAsia="宋体"/>
                <w:sz w:val="16"/>
              </w:rPr>
              <w:t>20</w:t>
            </w:r>
          </w:p>
        </w:tc>
      </w:tr>
      <w:tr w14:paraId="5C9488C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C40EC1"/>
        </w:tc>
        <w:tc>
          <w:tcPr>
            <w:tcW w:w="1012" w:type="dxa"/>
            <w:vMerge w:val="continue"/>
            <w:tcBorders>
              <w:top w:val="single" w:color="auto" w:sz="10" w:space="0"/>
              <w:left w:val="single" w:color="auto" w:sz="10" w:space="0"/>
              <w:bottom w:val="single" w:color="auto" w:sz="10" w:space="0"/>
              <w:right w:val="single" w:color="auto" w:sz="10" w:space="0"/>
              <w:insideV w:val="single" w:sz="10" w:space="0"/>
            </w:tcBorders>
          </w:tcPr>
          <w:p w14:paraId="6AAED9A1"/>
        </w:tc>
        <w:tc>
          <w:tcPr>
            <w:tcW w:w="140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AC2BEA">
            <w:pPr>
              <w:jc w:val="center"/>
            </w:pPr>
            <w:r>
              <w:rPr>
                <w:rFonts w:ascii="宋体" w:hAnsi="宋体" w:eastAsia="宋体"/>
                <w:sz w:val="16"/>
              </w:rPr>
              <w:t>药品、医疗器械经营企业监管数</w:t>
            </w:r>
          </w:p>
        </w:tc>
        <w:tc>
          <w:tcPr>
            <w:tcW w:w="903" w:type="dxa"/>
            <w:tcBorders>
              <w:top w:val="single" w:color="auto" w:sz="10" w:space="0"/>
              <w:left w:val="single" w:color="auto" w:sz="10" w:space="0"/>
              <w:bottom w:val="single" w:color="auto" w:sz="10" w:space="0"/>
              <w:right w:val="single" w:color="auto" w:sz="10" w:space="0"/>
              <w:insideV w:val="single" w:sz="10" w:space="0"/>
            </w:tcBorders>
            <w:vAlign w:val="center"/>
          </w:tcPr>
          <w:p w14:paraId="32354DA5">
            <w:pPr>
              <w:jc w:val="center"/>
            </w:pPr>
            <w:r>
              <w:rPr>
                <w:rFonts w:ascii="宋体" w:hAnsi="宋体" w:eastAsia="宋体"/>
                <w:sz w:val="16"/>
              </w:rPr>
              <w:t>&gt;=76家</w:t>
            </w:r>
          </w:p>
        </w:tc>
        <w:tc>
          <w:tcPr>
            <w:tcW w:w="16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1FA5F">
            <w:pPr>
              <w:jc w:val="center"/>
            </w:pPr>
            <w:r>
              <w:rPr>
                <w:rFonts w:ascii="宋体" w:hAnsi="宋体" w:eastAsia="宋体"/>
                <w:sz w:val="16"/>
              </w:rPr>
              <w:t>特克斯县市场监督管理局2024年工作思路</w:t>
            </w:r>
          </w:p>
        </w:tc>
        <w:tc>
          <w:tcPr>
            <w:tcW w:w="10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42B8C">
            <w:pPr>
              <w:jc w:val="center"/>
            </w:pPr>
            <w:r>
              <w:rPr>
                <w:rFonts w:ascii="宋体" w:hAnsi="宋体" w:eastAsia="宋体"/>
                <w:sz w:val="16"/>
              </w:rPr>
              <w:t>20</w:t>
            </w:r>
          </w:p>
        </w:tc>
        <w:tc>
          <w:tcPr>
            <w:tcW w:w="9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6F8DE">
            <w:pPr>
              <w:jc w:val="center"/>
            </w:pPr>
            <w:r>
              <w:rPr>
                <w:rFonts w:ascii="宋体" w:hAnsi="宋体" w:eastAsia="宋体"/>
                <w:sz w:val="16"/>
              </w:rPr>
              <w:t>76家</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615125E6">
            <w:pPr>
              <w:jc w:val="center"/>
            </w:pPr>
            <w:r>
              <w:rPr>
                <w:rFonts w:ascii="宋体" w:hAnsi="宋体" w:eastAsia="宋体"/>
                <w:sz w:val="16"/>
              </w:rPr>
              <w:t>20</w:t>
            </w:r>
          </w:p>
        </w:tc>
      </w:tr>
      <w:tr w14:paraId="30046CD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52CA4A"/>
        </w:tc>
        <w:tc>
          <w:tcPr>
            <w:tcW w:w="1012" w:type="dxa"/>
            <w:vMerge w:val="continue"/>
            <w:tcBorders>
              <w:top w:val="single" w:color="auto" w:sz="10" w:space="0"/>
              <w:left w:val="single" w:color="auto" w:sz="10" w:space="0"/>
              <w:bottom w:val="single" w:color="auto" w:sz="10" w:space="0"/>
              <w:right w:val="single" w:color="auto" w:sz="10" w:space="0"/>
              <w:insideV w:val="single" w:sz="10" w:space="0"/>
            </w:tcBorders>
          </w:tcPr>
          <w:p w14:paraId="02E28792"/>
        </w:tc>
        <w:tc>
          <w:tcPr>
            <w:tcW w:w="140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32920B">
            <w:pPr>
              <w:jc w:val="center"/>
            </w:pPr>
            <w:r>
              <w:rPr>
                <w:rFonts w:ascii="宋体" w:hAnsi="宋体" w:eastAsia="宋体"/>
                <w:sz w:val="16"/>
              </w:rPr>
              <w:t>学校食堂食品安全监管数</w:t>
            </w:r>
          </w:p>
        </w:tc>
        <w:tc>
          <w:tcPr>
            <w:tcW w:w="903" w:type="dxa"/>
            <w:tcBorders>
              <w:top w:val="single" w:color="auto" w:sz="10" w:space="0"/>
              <w:left w:val="single" w:color="auto" w:sz="10" w:space="0"/>
              <w:bottom w:val="single" w:color="auto" w:sz="10" w:space="0"/>
              <w:right w:val="single" w:color="auto" w:sz="10" w:space="0"/>
              <w:insideV w:val="single" w:sz="10" w:space="0"/>
            </w:tcBorders>
            <w:vAlign w:val="center"/>
          </w:tcPr>
          <w:p w14:paraId="03AE1B2D">
            <w:pPr>
              <w:jc w:val="center"/>
            </w:pPr>
            <w:r>
              <w:rPr>
                <w:rFonts w:ascii="宋体" w:hAnsi="宋体" w:eastAsia="宋体"/>
                <w:sz w:val="16"/>
              </w:rPr>
              <w:t>&gt;=71家</w:t>
            </w:r>
          </w:p>
        </w:tc>
        <w:tc>
          <w:tcPr>
            <w:tcW w:w="16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1BA5D">
            <w:pPr>
              <w:jc w:val="center"/>
            </w:pPr>
            <w:r>
              <w:rPr>
                <w:rFonts w:ascii="宋体" w:hAnsi="宋体" w:eastAsia="宋体"/>
                <w:sz w:val="16"/>
              </w:rPr>
              <w:t>特克斯县市场监督管理局2024年工作思路</w:t>
            </w:r>
          </w:p>
        </w:tc>
        <w:tc>
          <w:tcPr>
            <w:tcW w:w="10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4031B">
            <w:pPr>
              <w:jc w:val="center"/>
            </w:pPr>
            <w:r>
              <w:rPr>
                <w:rFonts w:ascii="宋体" w:hAnsi="宋体" w:eastAsia="宋体"/>
                <w:sz w:val="16"/>
              </w:rPr>
              <w:t>20</w:t>
            </w:r>
          </w:p>
        </w:tc>
        <w:tc>
          <w:tcPr>
            <w:tcW w:w="9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7154C">
            <w:pPr>
              <w:jc w:val="center"/>
            </w:pPr>
            <w:r>
              <w:rPr>
                <w:rFonts w:ascii="宋体" w:hAnsi="宋体" w:eastAsia="宋体"/>
                <w:sz w:val="16"/>
              </w:rPr>
              <w:t>62家</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44B3373E">
            <w:pPr>
              <w:jc w:val="center"/>
            </w:pPr>
            <w:r>
              <w:rPr>
                <w:rFonts w:ascii="宋体" w:hAnsi="宋体" w:eastAsia="宋体"/>
                <w:sz w:val="16"/>
              </w:rPr>
              <w:t>17</w:t>
            </w:r>
          </w:p>
        </w:tc>
      </w:tr>
    </w:tbl>
    <w:p w14:paraId="403A826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03D283B">
        <w:tblPrEx>
          <w:tblCellMar>
            <w:top w:w="0" w:type="dxa"/>
            <w:left w:w="108" w:type="dxa"/>
            <w:bottom w:w="0" w:type="dxa"/>
            <w:right w:w="108" w:type="dxa"/>
          </w:tblCellMar>
        </w:tblPrEx>
        <w:tc>
          <w:tcPr>
            <w:tcW w:w="8848" w:type="dxa"/>
            <w:gridSpan w:val="14"/>
            <w:vAlign w:val="center"/>
          </w:tcPr>
          <w:p w14:paraId="5046D6BF">
            <w:pPr>
              <w:jc w:val="center"/>
            </w:pPr>
            <w:r>
              <w:rPr>
                <w:rFonts w:ascii="宋体" w:hAnsi="宋体" w:eastAsia="宋体"/>
                <w:sz w:val="24"/>
              </w:rPr>
              <w:t>项目支出绩效自评表</w:t>
            </w:r>
          </w:p>
        </w:tc>
      </w:tr>
      <w:tr w14:paraId="01EB925F">
        <w:tc>
          <w:tcPr>
            <w:tcW w:w="8848" w:type="dxa"/>
            <w:gridSpan w:val="14"/>
            <w:vAlign w:val="center"/>
          </w:tcPr>
          <w:p w14:paraId="7409F185">
            <w:pPr>
              <w:jc w:val="center"/>
            </w:pPr>
            <w:r>
              <w:rPr>
                <w:rFonts w:ascii="宋体" w:hAnsi="宋体" w:eastAsia="宋体"/>
                <w:sz w:val="24"/>
              </w:rPr>
              <w:t>(2024年度)</w:t>
            </w:r>
          </w:p>
        </w:tc>
      </w:tr>
      <w:tr w14:paraId="122043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1AC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032A39">
            <w:pPr>
              <w:jc w:val="center"/>
            </w:pPr>
            <w:r>
              <w:rPr>
                <w:rFonts w:ascii="宋体" w:hAnsi="宋体" w:eastAsia="宋体"/>
                <w:sz w:val="16"/>
              </w:rPr>
              <w:t>伊州财行</w:t>
            </w:r>
            <w:r>
              <w:rPr>
                <w:rFonts w:hint="eastAsia" w:ascii="宋体" w:hAnsi="宋体"/>
                <w:sz w:val="16"/>
                <w:lang w:eastAsia="zh-CN"/>
              </w:rPr>
              <w:t>〔2024〕16号</w:t>
            </w:r>
            <w:r>
              <w:rPr>
                <w:rFonts w:ascii="宋体" w:hAnsi="宋体" w:eastAsia="宋体"/>
                <w:sz w:val="16"/>
              </w:rPr>
              <w:t>2024年中央食品药品监管补助资金</w:t>
            </w:r>
          </w:p>
        </w:tc>
      </w:tr>
      <w:tr w14:paraId="312718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A7C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62DAA7">
            <w:pPr>
              <w:jc w:val="center"/>
            </w:pPr>
            <w:r>
              <w:rPr>
                <w:rFonts w:ascii="宋体" w:hAnsi="宋体" w:eastAsia="宋体"/>
                <w:sz w:val="16"/>
              </w:rPr>
              <w:t>特克斯县市场监督管理局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C5E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27F102">
            <w:pPr>
              <w:jc w:val="center"/>
            </w:pPr>
            <w:r>
              <w:rPr>
                <w:rFonts w:ascii="宋体" w:hAnsi="宋体" w:eastAsia="宋体"/>
                <w:sz w:val="16"/>
              </w:rPr>
              <w:t>特克斯县市场监督管理局</w:t>
            </w:r>
          </w:p>
        </w:tc>
      </w:tr>
      <w:tr w14:paraId="16185F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D87D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B70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C26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48D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3A0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EEA5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819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44B0">
            <w:pPr>
              <w:jc w:val="center"/>
            </w:pPr>
            <w:r>
              <w:rPr>
                <w:rFonts w:ascii="宋体" w:hAnsi="宋体" w:eastAsia="宋体"/>
                <w:sz w:val="16"/>
              </w:rPr>
              <w:t>得分</w:t>
            </w:r>
          </w:p>
        </w:tc>
      </w:tr>
      <w:tr w14:paraId="600EE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BBA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04C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37571">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816F1">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6ACBF">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8B6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315B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7DB6">
            <w:pPr>
              <w:jc w:val="center"/>
            </w:pPr>
            <w:r>
              <w:rPr>
                <w:rFonts w:ascii="宋体" w:hAnsi="宋体" w:eastAsia="宋体"/>
                <w:sz w:val="16"/>
              </w:rPr>
              <w:t>10.00</w:t>
            </w:r>
          </w:p>
        </w:tc>
      </w:tr>
      <w:tr w14:paraId="640610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613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E7B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C45E2">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34423">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8C24F">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C6B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1C5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6AE8">
            <w:pPr>
              <w:jc w:val="center"/>
            </w:pPr>
            <w:r>
              <w:rPr>
                <w:rFonts w:ascii="宋体" w:hAnsi="宋体" w:eastAsia="宋体"/>
                <w:sz w:val="16"/>
              </w:rPr>
              <w:t>—</w:t>
            </w:r>
          </w:p>
        </w:tc>
      </w:tr>
      <w:tr w14:paraId="7A631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089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CF4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908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063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FE2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A8B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568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0638">
            <w:pPr>
              <w:jc w:val="center"/>
            </w:pPr>
            <w:r>
              <w:rPr>
                <w:rFonts w:ascii="宋体" w:hAnsi="宋体" w:eastAsia="宋体"/>
                <w:sz w:val="16"/>
              </w:rPr>
              <w:t>—</w:t>
            </w:r>
          </w:p>
        </w:tc>
      </w:tr>
      <w:tr w14:paraId="0FA98902">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865C2">
            <w:pPr>
              <w:jc w:val="center"/>
            </w:pPr>
            <w:r>
              <w:rPr>
                <w:rFonts w:ascii="宋体" w:hAnsi="宋体" w:eastAsia="宋体"/>
                <w:sz w:val="16"/>
              </w:rPr>
              <w:t>年度总体目标</w:t>
            </w:r>
          </w:p>
        </w:tc>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E2091B">
            <w:pPr>
              <w:jc w:val="center"/>
            </w:pPr>
            <w:r>
              <w:rPr>
                <w:rFonts w:ascii="宋体" w:hAnsi="宋体" w:eastAsia="宋体"/>
                <w:sz w:val="16"/>
              </w:rPr>
              <w:t>预期目标</w:t>
            </w:r>
          </w:p>
        </w:tc>
        <w:tc>
          <w:tcPr>
            <w:tcW w:w="568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57A9350C">
            <w:pPr>
              <w:jc w:val="center"/>
            </w:pPr>
            <w:r>
              <w:rPr>
                <w:rFonts w:ascii="宋体" w:hAnsi="宋体" w:eastAsia="宋体"/>
                <w:sz w:val="16"/>
              </w:rPr>
              <w:t>实际完成情况</w:t>
            </w:r>
          </w:p>
        </w:tc>
      </w:tr>
      <w:tr w14:paraId="0CDFB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74E31"/>
        </w:tc>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26EA4E">
            <w:pPr>
              <w:jc w:val="both"/>
            </w:pPr>
            <w:r>
              <w:rPr>
                <w:rFonts w:ascii="宋体" w:hAnsi="宋体" w:eastAsia="宋体"/>
                <w:sz w:val="16"/>
              </w:rPr>
              <w:t>积极开展“两品一械”生产经营企业日常监督检查，全力保障公众用药用械用妆安全；加强培训，提高监管人员专业水平和综合素质。</w:t>
            </w:r>
          </w:p>
        </w:tc>
        <w:tc>
          <w:tcPr>
            <w:tcW w:w="568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39F7D7CC">
            <w:pPr>
              <w:jc w:val="both"/>
            </w:pPr>
            <w:r>
              <w:rPr>
                <w:rFonts w:ascii="宋体" w:hAnsi="宋体" w:eastAsia="宋体"/>
                <w:sz w:val="16"/>
              </w:rPr>
              <w:t>截至2024年12月，项目已完成，监督检查新开办、变更药品生产经营企业数57家；药品、化妆品、医疗器械监管对象培训人数120人；药品、医疗器械、化妆品生产企业检查覆盖率达到100%；“两品一械”培训人员覆盖率达到95%；培训成本在200元/人/天；通过项目实施提高全县“两品一械”总体安全水平，提高人民群众“两品一械”安全科普知识水平；积极开展“两品一械”生产经营企业日常监督检查，全力保障公众用药用械用妆安全，加强培训，化解排查药品安全风险隐患。</w:t>
            </w:r>
          </w:p>
        </w:tc>
      </w:tr>
      <w:tr w14:paraId="7B3285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D80B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1FD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EC2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A8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D9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6F8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AE1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EB1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30B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6A7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E06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88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37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4AF2">
            <w:pPr>
              <w:jc w:val="center"/>
            </w:pPr>
            <w:r>
              <w:rPr>
                <w:rFonts w:ascii="宋体" w:hAnsi="宋体" w:eastAsia="宋体"/>
                <w:sz w:val="16"/>
              </w:rPr>
              <w:t>偏差原因分析及改进措施</w:t>
            </w:r>
          </w:p>
        </w:tc>
      </w:tr>
      <w:tr w14:paraId="2B8F14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C4F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CD6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776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E07E">
            <w:pPr>
              <w:jc w:val="center"/>
            </w:pPr>
            <w:r>
              <w:rPr>
                <w:rFonts w:ascii="宋体" w:hAnsi="宋体" w:eastAsia="宋体"/>
                <w:sz w:val="16"/>
              </w:rPr>
              <w:t>监督检查药品生产经营企业数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0E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A3EA">
            <w:pPr>
              <w:jc w:val="center"/>
            </w:pPr>
            <w:r>
              <w:rPr>
                <w:rFonts w:ascii="宋体" w:hAnsi="宋体" w:eastAsia="宋体"/>
                <w:sz w:val="16"/>
              </w:rPr>
              <w:t>&gt;=29家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37D0">
            <w:pPr>
              <w:jc w:val="center"/>
            </w:pPr>
            <w:r>
              <w:rPr>
                <w:rFonts w:ascii="宋体" w:hAnsi="宋体" w:eastAsia="宋体"/>
                <w:sz w:val="16"/>
              </w:rPr>
              <w:t>57家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EC98C">
            <w:pPr>
              <w:jc w:val="center"/>
            </w:pPr>
            <w:r>
              <w:rPr>
                <w:rFonts w:ascii="宋体" w:hAnsi="宋体" w:eastAsia="宋体"/>
                <w:sz w:val="16"/>
              </w:rPr>
              <w:t>196%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119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34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FC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24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55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9E2E">
            <w:pPr>
              <w:jc w:val="center"/>
            </w:pPr>
            <w:r>
              <w:rPr>
                <w:rFonts w:ascii="宋体" w:hAnsi="宋体" w:eastAsia="宋体"/>
                <w:sz w:val="16"/>
              </w:rPr>
              <w:t>偏差原因：年初设置目标值偏低，实际工作中超出设置的目标值；改进措施：下一步需精准数据填报</w:t>
            </w:r>
          </w:p>
        </w:tc>
      </w:tr>
      <w:tr w14:paraId="7002B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67F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5E4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7BF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E202">
            <w:pPr>
              <w:jc w:val="center"/>
            </w:pPr>
            <w:r>
              <w:rPr>
                <w:rFonts w:ascii="宋体" w:hAnsi="宋体" w:eastAsia="宋体"/>
                <w:sz w:val="16"/>
              </w:rPr>
              <w:t>药品、化妆品、医疗器械监管对象培训人数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9D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998A">
            <w:pPr>
              <w:jc w:val="center"/>
            </w:pPr>
            <w:r>
              <w:rPr>
                <w:rFonts w:ascii="宋体" w:hAnsi="宋体" w:eastAsia="宋体"/>
                <w:sz w:val="16"/>
              </w:rPr>
              <w:t>&gt;=120家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C786">
            <w:pPr>
              <w:jc w:val="center"/>
            </w:pPr>
            <w:r>
              <w:rPr>
                <w:rFonts w:ascii="宋体" w:hAnsi="宋体" w:eastAsia="宋体"/>
                <w:sz w:val="16"/>
              </w:rPr>
              <w:t>177家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6226">
            <w:pPr>
              <w:jc w:val="center"/>
            </w:pPr>
            <w:r>
              <w:rPr>
                <w:rFonts w:ascii="宋体" w:hAnsi="宋体" w:eastAsia="宋体"/>
                <w:sz w:val="16"/>
              </w:rPr>
              <w:t>147%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0C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90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4B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0E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0E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2BA25">
            <w:pPr>
              <w:jc w:val="center"/>
            </w:pPr>
            <w:r>
              <w:rPr>
                <w:rFonts w:ascii="宋体" w:hAnsi="宋体" w:eastAsia="宋体"/>
                <w:sz w:val="16"/>
              </w:rPr>
              <w:t>偏差原因：年初设置目标值偏低，实际工作中超出设置的目标值；改进措施：下一步需精准数据填报</w:t>
            </w:r>
          </w:p>
        </w:tc>
      </w:tr>
      <w:tr w14:paraId="0ADD35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3A3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565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AE7E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F2C5">
            <w:pPr>
              <w:jc w:val="center"/>
            </w:pPr>
            <w:r>
              <w:rPr>
                <w:rFonts w:ascii="宋体" w:hAnsi="宋体" w:eastAsia="宋体"/>
                <w:sz w:val="16"/>
              </w:rPr>
              <w:t>药品、医疗器械、化妆品生产经营企业检查覆盖率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B6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146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288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B55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752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1F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49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B1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CB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B806">
            <w:pPr>
              <w:jc w:val="center"/>
            </w:pPr>
            <w:r>
              <w:rPr>
                <w:rFonts w:ascii="宋体" w:hAnsi="宋体" w:eastAsia="宋体"/>
                <w:sz w:val="16"/>
              </w:rPr>
              <w:t>偏差原因：年初设置目标值偏低，实际工作中超出设置的目标值；改进措施：下一步需精准数据填报</w:t>
            </w:r>
          </w:p>
        </w:tc>
      </w:tr>
      <w:tr w14:paraId="0822F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19F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F8A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F05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0BB3">
            <w:pPr>
              <w:jc w:val="center"/>
            </w:pPr>
            <w:r>
              <w:rPr>
                <w:rFonts w:ascii="宋体" w:hAnsi="宋体" w:eastAsia="宋体"/>
                <w:sz w:val="16"/>
              </w:rPr>
              <w:t>“两品一械”培训人员覆盖率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AF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99B7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073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826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58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33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8F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47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29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11CA">
            <w:pPr>
              <w:jc w:val="center"/>
            </w:pPr>
            <w:r>
              <w:rPr>
                <w:rFonts w:ascii="宋体" w:hAnsi="宋体" w:eastAsia="宋体"/>
                <w:sz w:val="16"/>
              </w:rPr>
              <w:t>偏差原因：年初设置目标值偏低，实际工作中超出设置的目标值；改进措施：下一步需精准数据填报</w:t>
            </w:r>
          </w:p>
        </w:tc>
      </w:tr>
      <w:tr w14:paraId="75C189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88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BFF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02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734A">
            <w:pPr>
              <w:jc w:val="center"/>
            </w:pPr>
            <w:r>
              <w:rPr>
                <w:rFonts w:ascii="宋体" w:hAnsi="宋体" w:eastAsia="宋体"/>
                <w:sz w:val="16"/>
              </w:rPr>
              <w:t>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1F0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CCB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AD0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3F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72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0B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C75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5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FB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AECC">
            <w:pPr>
              <w:jc w:val="center"/>
            </w:pPr>
          </w:p>
        </w:tc>
      </w:tr>
      <w:tr w14:paraId="14881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04A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DD6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46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D3B1">
            <w:pPr>
              <w:jc w:val="center"/>
            </w:pPr>
            <w:r>
              <w:rPr>
                <w:rFonts w:ascii="宋体" w:hAnsi="宋体" w:eastAsia="宋体"/>
                <w:sz w:val="16"/>
              </w:rPr>
              <w:t>“两品一械”监管人员培训成本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10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A5F8">
            <w:pPr>
              <w:jc w:val="center"/>
            </w:pPr>
            <w:r>
              <w:rPr>
                <w:rFonts w:ascii="宋体" w:hAnsi="宋体" w:eastAsia="宋体"/>
                <w:sz w:val="16"/>
              </w:rPr>
              <w:t>&lt;=200元/人/天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85FE">
            <w:pPr>
              <w:jc w:val="center"/>
            </w:pPr>
            <w:r>
              <w:rPr>
                <w:rFonts w:ascii="宋体" w:hAnsi="宋体" w:eastAsia="宋体"/>
                <w:sz w:val="16"/>
              </w:rPr>
              <w:t>200元/人/天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AB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F79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76F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D9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734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AB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952A">
            <w:pPr>
              <w:jc w:val="center"/>
            </w:pPr>
          </w:p>
        </w:tc>
      </w:tr>
      <w:tr w14:paraId="131A28B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5ED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0DE9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D1A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F1DC">
            <w:pPr>
              <w:jc w:val="center"/>
            </w:pPr>
            <w:r>
              <w:rPr>
                <w:rFonts w:ascii="宋体" w:hAnsi="宋体" w:eastAsia="宋体"/>
                <w:sz w:val="16"/>
              </w:rPr>
              <w:t>“两品一械”总体安全水平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40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FF55">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12C2">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19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99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7B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BF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94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7EF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3C09">
            <w:pPr>
              <w:jc w:val="center"/>
            </w:pPr>
          </w:p>
        </w:tc>
      </w:tr>
      <w:tr w14:paraId="520C371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054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6C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E44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172F">
            <w:pPr>
              <w:jc w:val="center"/>
            </w:pPr>
            <w:r>
              <w:rPr>
                <w:rFonts w:ascii="宋体" w:hAnsi="宋体" w:eastAsia="宋体"/>
                <w:sz w:val="16"/>
              </w:rPr>
              <w:t>人民群众“两品一械”安全科普知识水平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FC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35A8">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FB71">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E6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82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9D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64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52C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7D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212A">
            <w:pPr>
              <w:jc w:val="center"/>
            </w:pPr>
          </w:p>
        </w:tc>
      </w:tr>
      <w:tr w14:paraId="4CB69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AC3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8C6B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82E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F4BD">
            <w:pPr>
              <w:jc w:val="center"/>
            </w:pPr>
            <w:r>
              <w:rPr>
                <w:rFonts w:ascii="宋体" w:hAnsi="宋体" w:eastAsia="宋体"/>
                <w:sz w:val="16"/>
              </w:rPr>
              <w:t>公众对药品、医疗器械、化妆品监管满意度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31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D9A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9F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C94B">
            <w:pPr>
              <w:jc w:val="center"/>
            </w:pPr>
            <w:r>
              <w:rPr>
                <w:rFonts w:ascii="宋体" w:hAnsi="宋体" w:eastAsia="宋体"/>
                <w:sz w:val="16"/>
              </w:rPr>
              <w:t>117%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11A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D8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86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2AE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F4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A38E">
            <w:pPr>
              <w:jc w:val="center"/>
            </w:pPr>
            <w:r>
              <w:rPr>
                <w:rFonts w:ascii="宋体" w:hAnsi="宋体" w:eastAsia="宋体"/>
                <w:sz w:val="16"/>
              </w:rPr>
              <w:t>偏差原因：年初设置目标值偏低，实际工作中超出设置的目标值；改进措施：下一步</w:t>
            </w:r>
            <w:r>
              <w:rPr>
                <w:rFonts w:hint="eastAsia" w:ascii="宋体" w:hAnsi="宋体"/>
                <w:sz w:val="16"/>
                <w:lang w:eastAsia="zh-CN"/>
              </w:rPr>
              <w:t>需要</w:t>
            </w:r>
            <w:r>
              <w:rPr>
                <w:rFonts w:ascii="宋体" w:hAnsi="宋体" w:eastAsia="宋体"/>
                <w:sz w:val="16"/>
              </w:rPr>
              <w:t>精准数据填报</w:t>
            </w:r>
          </w:p>
        </w:tc>
      </w:tr>
      <w:tr w14:paraId="3B48C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BF9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241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8E1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8002">
            <w:pPr>
              <w:jc w:val="center"/>
            </w:pPr>
            <w:r>
              <w:rPr>
                <w:rFonts w:ascii="宋体" w:hAnsi="宋体" w:eastAsia="宋体"/>
                <w:sz w:val="16"/>
              </w:rPr>
              <w:t>培训对象对培训工作的满意度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406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CB66">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24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85BC">
            <w:pPr>
              <w:jc w:val="center"/>
            </w:pPr>
            <w:r>
              <w:rPr>
                <w:rFonts w:ascii="宋体" w:hAnsi="宋体" w:eastAsia="宋体"/>
                <w:sz w:val="16"/>
              </w:rPr>
              <w:t>117%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92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E3D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53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7D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EEA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642FC">
            <w:pPr>
              <w:jc w:val="center"/>
            </w:pPr>
            <w:r>
              <w:rPr>
                <w:rFonts w:ascii="宋体" w:hAnsi="宋体" w:eastAsia="宋体"/>
                <w:sz w:val="16"/>
              </w:rPr>
              <w:t>偏差原因：年初设置目标值偏低，实际工作中超出设置的目标值；改进措施：下一步</w:t>
            </w:r>
            <w:r>
              <w:rPr>
                <w:rFonts w:hint="eastAsia" w:ascii="宋体" w:hAnsi="宋体"/>
                <w:sz w:val="16"/>
                <w:lang w:eastAsia="zh-CN"/>
              </w:rPr>
              <w:t>需要</w:t>
            </w:r>
            <w:r>
              <w:rPr>
                <w:rFonts w:ascii="宋体" w:hAnsi="宋体" w:eastAsia="宋体"/>
                <w:sz w:val="16"/>
              </w:rPr>
              <w:t>精准数据填报</w:t>
            </w:r>
          </w:p>
        </w:tc>
      </w:tr>
      <w:tr w14:paraId="7C7E38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B3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832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DC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A45D">
            <w:pPr>
              <w:jc w:val="center"/>
            </w:pPr>
            <w:r>
              <w:rPr>
                <w:rFonts w:ascii="宋体" w:hAnsi="宋体" w:eastAsia="宋体"/>
                <w:sz w:val="16"/>
              </w:rPr>
              <w:t>药品经营企业满意度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98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615D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2AB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0F1C">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D43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9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C1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15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3E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10BF">
            <w:pPr>
              <w:jc w:val="center"/>
            </w:pPr>
            <w:r>
              <w:rPr>
                <w:rFonts w:ascii="宋体" w:hAnsi="宋体" w:eastAsia="宋体"/>
                <w:sz w:val="16"/>
              </w:rPr>
              <w:t>偏差原因：年初设置目标值偏低，实际工作中超出设置的目标值；改进措施：下一步</w:t>
            </w:r>
            <w:r>
              <w:rPr>
                <w:rFonts w:hint="eastAsia" w:ascii="宋体" w:hAnsi="宋体"/>
                <w:sz w:val="16"/>
                <w:lang w:eastAsia="zh-CN"/>
              </w:rPr>
              <w:t>需要</w:t>
            </w:r>
            <w:r>
              <w:rPr>
                <w:rFonts w:ascii="宋体" w:hAnsi="宋体" w:eastAsia="宋体"/>
                <w:sz w:val="16"/>
              </w:rPr>
              <w:t>精准数据填报</w:t>
            </w:r>
          </w:p>
        </w:tc>
      </w:tr>
      <w:tr w14:paraId="0FFC95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8512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32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CEC9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7240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B770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7FE4">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F02A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C6AD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CFE9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3935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E2946E"/>
        </w:tc>
      </w:tr>
    </w:tbl>
    <w:p w14:paraId="0B4F4AB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AD5B95A">
        <w:tblPrEx>
          <w:tblCellMar>
            <w:top w:w="0" w:type="dxa"/>
            <w:left w:w="108" w:type="dxa"/>
            <w:bottom w:w="0" w:type="dxa"/>
            <w:right w:w="108" w:type="dxa"/>
          </w:tblCellMar>
        </w:tblPrEx>
        <w:tc>
          <w:tcPr>
            <w:tcW w:w="8848" w:type="dxa"/>
            <w:gridSpan w:val="14"/>
            <w:vAlign w:val="center"/>
          </w:tcPr>
          <w:p w14:paraId="519C21F1">
            <w:pPr>
              <w:jc w:val="center"/>
            </w:pPr>
            <w:r>
              <w:rPr>
                <w:rFonts w:ascii="宋体" w:hAnsi="宋体" w:eastAsia="宋体"/>
                <w:sz w:val="24"/>
              </w:rPr>
              <w:t>项目支出绩效自评表</w:t>
            </w:r>
          </w:p>
        </w:tc>
      </w:tr>
      <w:tr w14:paraId="68DAC0E8">
        <w:tblPrEx>
          <w:tblCellMar>
            <w:top w:w="0" w:type="dxa"/>
            <w:left w:w="108" w:type="dxa"/>
            <w:bottom w:w="0" w:type="dxa"/>
            <w:right w:w="108" w:type="dxa"/>
          </w:tblCellMar>
        </w:tblPrEx>
        <w:tc>
          <w:tcPr>
            <w:tcW w:w="8848" w:type="dxa"/>
            <w:gridSpan w:val="14"/>
            <w:vAlign w:val="center"/>
          </w:tcPr>
          <w:p w14:paraId="781BC770">
            <w:pPr>
              <w:jc w:val="center"/>
            </w:pPr>
            <w:r>
              <w:rPr>
                <w:rFonts w:ascii="宋体" w:hAnsi="宋体" w:eastAsia="宋体"/>
                <w:sz w:val="24"/>
              </w:rPr>
              <w:t>(2024年度)</w:t>
            </w:r>
          </w:p>
        </w:tc>
      </w:tr>
      <w:tr w14:paraId="20E0BA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44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BF5C34">
            <w:pPr>
              <w:jc w:val="center"/>
            </w:pPr>
            <w:r>
              <w:rPr>
                <w:rFonts w:ascii="宋体" w:hAnsi="宋体" w:eastAsia="宋体"/>
                <w:sz w:val="16"/>
              </w:rPr>
              <w:t>慰问困难党员经费</w:t>
            </w:r>
          </w:p>
        </w:tc>
      </w:tr>
      <w:tr w14:paraId="74F3C6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12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9C7969">
            <w:pPr>
              <w:jc w:val="center"/>
            </w:pPr>
            <w:r>
              <w:rPr>
                <w:rFonts w:ascii="宋体" w:hAnsi="宋体" w:eastAsia="宋体"/>
                <w:sz w:val="16"/>
              </w:rPr>
              <w:t>特克斯县市场监督管理局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07F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250617">
            <w:pPr>
              <w:jc w:val="center"/>
            </w:pPr>
            <w:r>
              <w:rPr>
                <w:rFonts w:ascii="宋体" w:hAnsi="宋体" w:eastAsia="宋体"/>
                <w:sz w:val="16"/>
              </w:rPr>
              <w:t>特克斯县市场监督管理局</w:t>
            </w:r>
          </w:p>
        </w:tc>
      </w:tr>
      <w:tr w14:paraId="1C0C52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D7F4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5F7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9B9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059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4BC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E28B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4E01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A61B">
            <w:pPr>
              <w:jc w:val="center"/>
            </w:pPr>
            <w:r>
              <w:rPr>
                <w:rFonts w:ascii="宋体" w:hAnsi="宋体" w:eastAsia="宋体"/>
                <w:sz w:val="16"/>
              </w:rPr>
              <w:t>得分</w:t>
            </w:r>
          </w:p>
        </w:tc>
      </w:tr>
      <w:tr w14:paraId="56F4BF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95C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B55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C994D">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D8CF6">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AC6AA">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D47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B514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4543">
            <w:pPr>
              <w:jc w:val="center"/>
            </w:pPr>
            <w:r>
              <w:rPr>
                <w:rFonts w:ascii="宋体" w:hAnsi="宋体" w:eastAsia="宋体"/>
                <w:sz w:val="16"/>
              </w:rPr>
              <w:t>10.00</w:t>
            </w:r>
          </w:p>
        </w:tc>
      </w:tr>
      <w:tr w14:paraId="0D040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E37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868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F8B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477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411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3A2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EC1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BAD2">
            <w:pPr>
              <w:jc w:val="center"/>
            </w:pPr>
            <w:r>
              <w:rPr>
                <w:rFonts w:ascii="宋体" w:hAnsi="宋体" w:eastAsia="宋体"/>
                <w:sz w:val="16"/>
              </w:rPr>
              <w:t>—</w:t>
            </w:r>
          </w:p>
        </w:tc>
      </w:tr>
      <w:tr w14:paraId="36665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35D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EF1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66C37">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C4A47">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D6169">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0C3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906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F6DA">
            <w:pPr>
              <w:jc w:val="center"/>
            </w:pPr>
            <w:r>
              <w:rPr>
                <w:rFonts w:ascii="宋体" w:hAnsi="宋体" w:eastAsia="宋体"/>
                <w:sz w:val="16"/>
              </w:rPr>
              <w:t>—</w:t>
            </w:r>
          </w:p>
        </w:tc>
      </w:tr>
      <w:tr w14:paraId="595E56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EA4F5">
            <w:pPr>
              <w:jc w:val="center"/>
            </w:pPr>
            <w:r>
              <w:rPr>
                <w:rFonts w:ascii="宋体" w:hAnsi="宋体" w:eastAsia="宋体"/>
                <w:sz w:val="16"/>
              </w:rPr>
              <w:t>年度总体目标</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B68C13">
            <w:pPr>
              <w:jc w:val="center"/>
            </w:pPr>
            <w:r>
              <w:rPr>
                <w:rFonts w:ascii="宋体" w:hAnsi="宋体" w:eastAsia="宋体"/>
                <w:sz w:val="16"/>
              </w:rPr>
              <w:t>预期目标</w:t>
            </w:r>
          </w:p>
        </w:tc>
        <w:tc>
          <w:tcPr>
            <w:tcW w:w="505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A47911A">
            <w:pPr>
              <w:jc w:val="center"/>
            </w:pPr>
            <w:r>
              <w:rPr>
                <w:rFonts w:ascii="宋体" w:hAnsi="宋体" w:eastAsia="宋体"/>
                <w:sz w:val="16"/>
              </w:rPr>
              <w:t>实际完成情况</w:t>
            </w:r>
          </w:p>
        </w:tc>
      </w:tr>
      <w:tr w14:paraId="455BD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AE5EB"/>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9BB16E">
            <w:pPr>
              <w:jc w:val="both"/>
            </w:pPr>
            <w:r>
              <w:rPr>
                <w:rFonts w:ascii="宋体" w:hAnsi="宋体" w:eastAsia="宋体"/>
                <w:sz w:val="16"/>
              </w:rPr>
              <w:t>在元旦春节期间开展走访慰问生活困难党员、老党员、老干部活动，了解他们的思想动态和诉求，有针对性地帮助解决实际困难。</w:t>
            </w:r>
          </w:p>
        </w:tc>
        <w:tc>
          <w:tcPr>
            <w:tcW w:w="505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3B1BDD1">
            <w:pPr>
              <w:jc w:val="both"/>
            </w:pPr>
            <w:r>
              <w:rPr>
                <w:rFonts w:ascii="宋体" w:hAnsi="宋体" w:eastAsia="宋体"/>
                <w:sz w:val="16"/>
              </w:rPr>
              <w:t>为认真贯彻落实全面从严治党要求，强化基层组织建设，元旦春节期间特克斯县“小个专”综合党委开展走访慰问生活困难党员、老党员、老干部活动，为1名困难党员送去慰问金500元，使党员在</w:t>
            </w:r>
            <w:r>
              <w:rPr>
                <w:rFonts w:hint="eastAsia" w:ascii="宋体" w:hAnsi="宋体"/>
                <w:sz w:val="16"/>
                <w:lang w:eastAsia="zh-CN"/>
              </w:rPr>
              <w:t>感党恩、听党话、跟党走</w:t>
            </w:r>
            <w:r>
              <w:rPr>
                <w:rFonts w:ascii="宋体" w:hAnsi="宋体" w:eastAsia="宋体"/>
                <w:sz w:val="16"/>
              </w:rPr>
              <w:t>和坚定坚决落实总目标方面发挥模范带头作用。</w:t>
            </w:r>
          </w:p>
        </w:tc>
      </w:tr>
      <w:tr w14:paraId="77F828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F839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5C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18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42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38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E31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732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723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06B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943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A4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91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7B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51EC">
            <w:pPr>
              <w:jc w:val="center"/>
            </w:pPr>
            <w:r>
              <w:rPr>
                <w:rFonts w:ascii="宋体" w:hAnsi="宋体" w:eastAsia="宋体"/>
                <w:sz w:val="16"/>
              </w:rPr>
              <w:t>偏差原因分析及改进措施</w:t>
            </w:r>
          </w:p>
        </w:tc>
      </w:tr>
      <w:tr w14:paraId="621CF5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A29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98C5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F5D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A1FF">
            <w:pPr>
              <w:jc w:val="center"/>
            </w:pPr>
            <w:r>
              <w:rPr>
                <w:rFonts w:ascii="宋体" w:hAnsi="宋体" w:eastAsia="宋体"/>
                <w:sz w:val="16"/>
              </w:rPr>
              <w:t>慰问困难党员数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22E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519B">
            <w:pPr>
              <w:jc w:val="center"/>
            </w:pPr>
            <w:r>
              <w:rPr>
                <w:rFonts w:ascii="宋体" w:hAnsi="宋体" w:eastAsia="宋体"/>
                <w:sz w:val="16"/>
              </w:rPr>
              <w:t>&lt;=1个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A27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B2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2BF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50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71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FE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13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E186">
            <w:pPr>
              <w:jc w:val="center"/>
            </w:pPr>
          </w:p>
        </w:tc>
      </w:tr>
      <w:tr w14:paraId="7D72F0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D7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828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5838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5D60">
            <w:pPr>
              <w:jc w:val="center"/>
            </w:pPr>
            <w:r>
              <w:rPr>
                <w:rFonts w:ascii="宋体" w:hAnsi="宋体" w:eastAsia="宋体"/>
                <w:sz w:val="16"/>
              </w:rPr>
              <w:t>慰问金发放准确率（%）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81F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43DD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74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7245">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6E1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8A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303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D3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C3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F587">
            <w:pPr>
              <w:jc w:val="center"/>
            </w:pPr>
            <w:r>
              <w:rPr>
                <w:rFonts w:ascii="宋体" w:hAnsi="宋体" w:eastAsia="宋体"/>
                <w:sz w:val="16"/>
              </w:rPr>
              <w:t>偏差原因：年初设置目标值偏低，实际工作中超出设置的目标值；改进措施：年初设置目标值偏低，实际工作中超出设置的目标值，下一步需精准数据填报</w:t>
            </w:r>
          </w:p>
        </w:tc>
      </w:tr>
      <w:tr w14:paraId="69E79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54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233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5B6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EE4F2">
            <w:pPr>
              <w:jc w:val="center"/>
            </w:pPr>
            <w:r>
              <w:rPr>
                <w:rFonts w:ascii="宋体" w:hAnsi="宋体" w:eastAsia="宋体"/>
                <w:sz w:val="16"/>
              </w:rPr>
              <w:t>走访慰问对象覆盖率（%）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6B5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B8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1F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C4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D86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00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88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49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CC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2E6C">
            <w:pPr>
              <w:jc w:val="center"/>
            </w:pPr>
          </w:p>
        </w:tc>
      </w:tr>
      <w:tr w14:paraId="0C0F6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E4A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FE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E63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7422">
            <w:pPr>
              <w:jc w:val="center"/>
            </w:pPr>
            <w:r>
              <w:rPr>
                <w:rFonts w:ascii="宋体" w:hAnsi="宋体" w:eastAsia="宋体"/>
                <w:sz w:val="16"/>
              </w:rPr>
              <w:t>走访慰问工作完成及时率（%）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F79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BBD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FA9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7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7C7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CD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5C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3E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FE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9EF4">
            <w:pPr>
              <w:jc w:val="center"/>
            </w:pPr>
          </w:p>
        </w:tc>
      </w:tr>
      <w:tr w14:paraId="03543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5B8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93C5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26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3FE7">
            <w:pPr>
              <w:jc w:val="center"/>
            </w:pPr>
            <w:r>
              <w:rPr>
                <w:rFonts w:ascii="宋体" w:hAnsi="宋体" w:eastAsia="宋体"/>
                <w:sz w:val="16"/>
              </w:rPr>
              <w:t>慰问每名困难党员金额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59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5CDD">
            <w:pPr>
              <w:jc w:val="center"/>
            </w:pPr>
            <w:r>
              <w:rPr>
                <w:rFonts w:ascii="宋体" w:hAnsi="宋体" w:eastAsia="宋体"/>
                <w:sz w:val="16"/>
              </w:rPr>
              <w:t>=500元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644B">
            <w:pPr>
              <w:jc w:val="center"/>
            </w:pPr>
            <w:r>
              <w:rPr>
                <w:rFonts w:ascii="宋体" w:hAnsi="宋体" w:eastAsia="宋体"/>
                <w:sz w:val="16"/>
              </w:rPr>
              <w:t>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BC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99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0C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90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7A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17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1ACD">
            <w:pPr>
              <w:jc w:val="center"/>
            </w:pPr>
          </w:p>
        </w:tc>
      </w:tr>
      <w:tr w14:paraId="0AE7C8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10F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0E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03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B249">
            <w:pPr>
              <w:jc w:val="center"/>
            </w:pPr>
            <w:r>
              <w:rPr>
                <w:rFonts w:ascii="宋体" w:hAnsi="宋体" w:eastAsia="宋体"/>
                <w:sz w:val="16"/>
              </w:rPr>
              <w:t>私个协党支部党员工作成效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95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2201">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886F">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62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FC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4A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D8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D0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C9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0B3D">
            <w:pPr>
              <w:jc w:val="center"/>
            </w:pPr>
          </w:p>
        </w:tc>
      </w:tr>
      <w:tr w14:paraId="5439B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FE1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70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3D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3D7C">
            <w:pPr>
              <w:jc w:val="center"/>
            </w:pPr>
            <w:r>
              <w:rPr>
                <w:rFonts w:ascii="宋体" w:hAnsi="宋体" w:eastAsia="宋体"/>
                <w:sz w:val="16"/>
              </w:rPr>
              <w:t>走访慰问对象满意度（%）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37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695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3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873B">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39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B1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66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54E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83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AF17F">
            <w:pPr>
              <w:jc w:val="center"/>
            </w:pPr>
            <w:r>
              <w:rPr>
                <w:rFonts w:ascii="宋体" w:hAnsi="宋体" w:eastAsia="宋体"/>
                <w:sz w:val="16"/>
              </w:rPr>
              <w:t>偏差原因：年初设置目标值偏低，实际工作中超出设置的目标值，下一步</w:t>
            </w:r>
            <w:r>
              <w:rPr>
                <w:rFonts w:hint="eastAsia" w:ascii="宋体" w:hAnsi="宋体"/>
                <w:sz w:val="16"/>
                <w:lang w:eastAsia="zh-CN"/>
              </w:rPr>
              <w:t>需要</w:t>
            </w:r>
            <w:r>
              <w:rPr>
                <w:rFonts w:ascii="宋体" w:hAnsi="宋体" w:eastAsia="宋体"/>
                <w:sz w:val="16"/>
              </w:rPr>
              <w:t>精准数据填报</w:t>
            </w:r>
          </w:p>
        </w:tc>
      </w:tr>
      <w:tr w14:paraId="2FC8C4E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8E11B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3D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0C34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DD3D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D643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AD6A">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F20A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B79D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F40D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C76E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5DF977"/>
        </w:tc>
      </w:tr>
    </w:tbl>
    <w:p w14:paraId="27D4B45C">
      <w:r>
        <w:br w:type="page"/>
      </w:r>
    </w:p>
    <w:p w14:paraId="0C9B4C71">
      <w:pPr>
        <w:spacing w:line="640" w:lineRule="exact"/>
        <w:ind w:firstLine="640"/>
        <w:jc w:val="both"/>
        <w:outlineLvl w:val="2"/>
      </w:pPr>
      <w:r>
        <w:rPr>
          <w:rFonts w:ascii="黑体" w:hAnsi="黑体" w:eastAsia="黑体"/>
          <w:sz w:val="32"/>
        </w:rPr>
        <w:t>十二、其他需说明的事项</w:t>
      </w:r>
    </w:p>
    <w:p w14:paraId="278A8A83">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7E5024B5">
      <w:r>
        <w:br w:type="page"/>
      </w:r>
    </w:p>
    <w:p w14:paraId="7ECDFC4A">
      <w:pPr>
        <w:spacing w:line="240" w:lineRule="auto"/>
        <w:jc w:val="center"/>
        <w:outlineLvl w:val="1"/>
      </w:pPr>
      <w:r>
        <w:rPr>
          <w:rFonts w:ascii="黑体" w:hAnsi="黑体" w:eastAsia="黑体"/>
          <w:sz w:val="32"/>
        </w:rPr>
        <w:t>第三部分 专业名词解释</w:t>
      </w:r>
    </w:p>
    <w:p w14:paraId="7D855B4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E83196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767F5EA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3D061FB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0C5133D4">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11074A3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050A00E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33BCC2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BEE0D5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2E457F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2A95D7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7D1E9A30">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053C892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0DC46E9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091F2180">
      <w:r>
        <w:br w:type="page"/>
      </w:r>
    </w:p>
    <w:p w14:paraId="43BE07D1">
      <w:pPr>
        <w:spacing w:line="240" w:lineRule="auto"/>
        <w:jc w:val="center"/>
        <w:outlineLvl w:val="1"/>
      </w:pPr>
      <w:r>
        <w:rPr>
          <w:rFonts w:ascii="黑体" w:hAnsi="黑体" w:eastAsia="黑体"/>
          <w:sz w:val="32"/>
        </w:rPr>
        <w:t>第四部分 部门决算报表（见附表）</w:t>
      </w:r>
    </w:p>
    <w:p w14:paraId="36DAF5A1">
      <w:pPr>
        <w:spacing w:line="240" w:lineRule="auto"/>
        <w:ind w:firstLine="640"/>
        <w:jc w:val="both"/>
      </w:pPr>
      <w:r>
        <w:rPr>
          <w:rFonts w:ascii="仿宋_GB2312" w:hAnsi="仿宋_GB2312" w:eastAsia="仿宋_GB2312"/>
          <w:b w:val="0"/>
          <w:sz w:val="32"/>
        </w:rPr>
        <w:t>一、《收入支出决算总表》</w:t>
      </w:r>
    </w:p>
    <w:p w14:paraId="3CE50328">
      <w:pPr>
        <w:spacing w:line="240" w:lineRule="auto"/>
        <w:ind w:firstLine="640"/>
        <w:jc w:val="both"/>
      </w:pPr>
      <w:r>
        <w:rPr>
          <w:rFonts w:ascii="仿宋_GB2312" w:hAnsi="仿宋_GB2312" w:eastAsia="仿宋_GB2312"/>
          <w:b w:val="0"/>
          <w:sz w:val="32"/>
        </w:rPr>
        <w:t>二、《收入决算表》</w:t>
      </w:r>
    </w:p>
    <w:p w14:paraId="0E0DE8D7">
      <w:pPr>
        <w:spacing w:line="240" w:lineRule="auto"/>
        <w:ind w:firstLine="640"/>
        <w:jc w:val="both"/>
      </w:pPr>
      <w:r>
        <w:rPr>
          <w:rFonts w:ascii="仿宋_GB2312" w:hAnsi="仿宋_GB2312" w:eastAsia="仿宋_GB2312"/>
          <w:b w:val="0"/>
          <w:sz w:val="32"/>
        </w:rPr>
        <w:t>三、《支出决算表》</w:t>
      </w:r>
    </w:p>
    <w:p w14:paraId="36BE5649">
      <w:pPr>
        <w:spacing w:line="240" w:lineRule="auto"/>
        <w:ind w:firstLine="640"/>
        <w:jc w:val="both"/>
      </w:pPr>
      <w:r>
        <w:rPr>
          <w:rFonts w:ascii="仿宋_GB2312" w:hAnsi="仿宋_GB2312" w:eastAsia="仿宋_GB2312"/>
          <w:b w:val="0"/>
          <w:sz w:val="32"/>
        </w:rPr>
        <w:t>四、《财政拨款收入支出决算总表》</w:t>
      </w:r>
    </w:p>
    <w:p w14:paraId="0B934240">
      <w:pPr>
        <w:spacing w:line="240" w:lineRule="auto"/>
        <w:ind w:firstLine="640"/>
        <w:jc w:val="both"/>
      </w:pPr>
      <w:r>
        <w:rPr>
          <w:rFonts w:ascii="仿宋_GB2312" w:hAnsi="仿宋_GB2312" w:eastAsia="仿宋_GB2312"/>
          <w:b w:val="0"/>
          <w:sz w:val="32"/>
        </w:rPr>
        <w:t>五、《一般公共预算财政拨款支出决算表》</w:t>
      </w:r>
    </w:p>
    <w:p w14:paraId="5F0F5AF2">
      <w:pPr>
        <w:spacing w:line="240" w:lineRule="auto"/>
        <w:ind w:firstLine="640"/>
        <w:jc w:val="both"/>
      </w:pPr>
      <w:r>
        <w:rPr>
          <w:rFonts w:ascii="仿宋_GB2312" w:hAnsi="仿宋_GB2312" w:eastAsia="仿宋_GB2312"/>
          <w:b w:val="0"/>
          <w:sz w:val="32"/>
        </w:rPr>
        <w:t>六、《一般公共预算财政拨款基本支出决算表》</w:t>
      </w:r>
    </w:p>
    <w:p w14:paraId="1FC832E4">
      <w:pPr>
        <w:spacing w:line="240" w:lineRule="auto"/>
        <w:ind w:firstLine="640"/>
        <w:jc w:val="both"/>
      </w:pPr>
      <w:r>
        <w:rPr>
          <w:rFonts w:ascii="仿宋_GB2312" w:hAnsi="仿宋_GB2312" w:eastAsia="仿宋_GB2312"/>
          <w:b w:val="0"/>
          <w:sz w:val="32"/>
        </w:rPr>
        <w:t>七、《政府性基金预算财政拨款收入支出决算表》</w:t>
      </w:r>
    </w:p>
    <w:p w14:paraId="4FD07238">
      <w:pPr>
        <w:spacing w:line="240" w:lineRule="auto"/>
        <w:ind w:firstLine="640"/>
        <w:jc w:val="both"/>
      </w:pPr>
      <w:r>
        <w:rPr>
          <w:rFonts w:ascii="仿宋_GB2312" w:hAnsi="仿宋_GB2312" w:eastAsia="仿宋_GB2312"/>
          <w:b w:val="0"/>
          <w:sz w:val="32"/>
        </w:rPr>
        <w:t>八、《国有资本经营预算财政拨款收入支出决算表》</w:t>
      </w:r>
    </w:p>
    <w:p w14:paraId="7AA423A6">
      <w:pPr>
        <w:spacing w:line="240" w:lineRule="auto"/>
        <w:ind w:firstLine="640"/>
        <w:jc w:val="both"/>
      </w:pPr>
      <w:r>
        <w:rPr>
          <w:rFonts w:ascii="仿宋_GB2312" w:hAnsi="仿宋_GB2312" w:eastAsia="仿宋_GB2312"/>
          <w:b w:val="0"/>
          <w:sz w:val="32"/>
        </w:rPr>
        <w:t>九、《财政拨款“三公”经费支出决算表》</w:t>
      </w:r>
    </w:p>
    <w:p w14:paraId="6932EAC5">
      <w:pPr>
        <w:spacing w:line="240" w:lineRule="auto"/>
        <w:ind w:firstLine="640"/>
        <w:jc w:val="both"/>
      </w:pPr>
    </w:p>
    <w:p w14:paraId="5CA7116C">
      <w:pPr>
        <w:spacing w:line="240" w:lineRule="auto"/>
        <w:ind w:firstLine="640"/>
        <w:jc w:val="both"/>
      </w:pPr>
    </w:p>
    <w:p w14:paraId="7922B543">
      <w:pPr>
        <w:spacing w:line="240" w:lineRule="auto"/>
        <w:ind w:firstLine="640"/>
        <w:jc w:val="both"/>
      </w:pPr>
    </w:p>
    <w:p w14:paraId="67CD6C07">
      <w:pPr>
        <w:spacing w:line="240" w:lineRule="auto"/>
        <w:ind w:firstLine="640"/>
        <w:jc w:val="both"/>
      </w:pPr>
    </w:p>
    <w:p w14:paraId="70D8F75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3E287F"/>
    <w:rsid w:val="0C7227A7"/>
    <w:rsid w:val="0DCA6EF7"/>
    <w:rsid w:val="0E4B1576"/>
    <w:rsid w:val="0EA04331"/>
    <w:rsid w:val="0F9811B3"/>
    <w:rsid w:val="11E15093"/>
    <w:rsid w:val="120E0809"/>
    <w:rsid w:val="19071D6C"/>
    <w:rsid w:val="197F3BA4"/>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AB3BD1"/>
    <w:rsid w:val="60DE4D57"/>
    <w:rsid w:val="613409CB"/>
    <w:rsid w:val="61A46A97"/>
    <w:rsid w:val="621B6D59"/>
    <w:rsid w:val="62DD7D21"/>
    <w:rsid w:val="6351705C"/>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8619aad0-eca4-4725-b994-ec3cd341abf8</errorID>
      <errorWord>巩固脱贫攻坚成果</errorWord>
      <group>L1_Other</group>
      <groupName>其他问题</groupName>
      <ability>L2_UserTypo</ability>
      <abilityName>自定义错误</abilityName>
      <candidateList>
        <item>巩固拓展脱贫攻坚成果</item>
      </candidateList>
      <explain>来自自定义错词库。</explain>
      <paraID>1AF86F13</paraID>
      <start>11</start>
      <end>19</end>
      <status>ignored</status>
      <modifiedWord/>
      <trackRevisions>false</trackRevisions>
    </reviewItem>
    <reviewItem>
      <errorID>22227b67-1177-4ed4-9757-5537b000aaba</errorID>
      <errorWord>巩固脱贫攻坚成果</errorWord>
      <group>L1_Other</group>
      <groupName>其他问题</groupName>
      <ability>L2_UserTypo</ability>
      <abilityName>自定义错误</abilityName>
      <candidateList>
        <item>巩固拓展脱贫攻坚成果</item>
      </candidateList>
      <explain>来自自定义错词库。</explain>
      <paraID>1AF86F13</paraID>
      <start>30</start>
      <end>38</end>
      <status>ignored</status>
      <modifiedWord/>
      <trackRevisions>false</trackRevisions>
    </reviewItem>
    <reviewItem>
      <errorID>3d75ed46-ad68-470a-8ef5-f526240c269a</errorID>
      <errorWord>巩固脱贫攻坚成果</errorWord>
      <group>L1_Other</group>
      <groupName>其他问题</groupName>
      <ability>L2_UserTypo</ability>
      <abilityName>自定义错误</abilityName>
      <candidateList>
        <item>巩固拓展脱贫攻坚成果</item>
      </candidateList>
      <explain>来自自定义错词库。</explain>
      <paraID>1AF86F13</paraID>
      <start>146</start>
      <end>154</end>
      <status>ignored</status>
      <modifiedWord/>
      <trackRevisions>false</trackRevisions>
    </reviewItem>
    <reviewItem>
      <errorID>5057670e-7836-4c24-a1aa-1c1f89af9c13</errorID>
      <errorWord>2月31日</errorWord>
      <group>L1_Sensitive</group>
      <groupName>敏感问题</groupName>
      <ability>L2_UserSensitive</ability>
      <abilityName>自定义敏感词</abilityName>
      <candidateList/>
      <explain>来自自定义敏感词库。</explain>
      <paraID> 350C027</paraID>
      <start>8</start>
      <end>13</end>
      <status>ignored</status>
      <modifiedWord/>
      <trackRevisions>false</trackRevisions>
    </reviewItem>
    <reviewItem>
      <errorID>407fadb8-5fcf-4d42-ace7-467ad427a33a</errorID>
      <errorWord>监控</errorWord>
      <group>L1_Sensitive</group>
      <groupName>敏感问题</groupName>
      <ability>L2_UserSensitive</ability>
      <abilityName>自定义敏感词</abilityName>
      <candidateList/>
      <explain>来自自定义敏感词库。</explain>
      <paraID>63085DBE</paraID>
      <start>325</start>
      <end>327</end>
      <status>ignored</status>
      <modifiedWord/>
      <trackRevisions>false</trackRevisions>
    </reviewItem>
    <reviewItem>
      <errorID>141bb875-e186-4692-a866-5637db19cd71</errorID>
      <errorWord>听党话、感党恩、跟党走</errorWord>
      <group>L1_Political</group>
      <groupName>政治性问题</groupName>
      <ability>L2_Unpolitical</ability>
      <abilityName>政治敏感错误</abilityName>
      <candidateList>
        <item>感党恩、听党话、跟党走</item>
      </candidateList>
      <explain/>
      <paraID>33B1BDD1</paraID>
      <start>88</start>
      <end>99</end>
      <status>modified</status>
      <modifiedWord>感党恩、听党话、跟党走</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bd684d-8a2d-468c-9356-13af5a7e1051}">
  <ds:schemaRefs/>
</ds:datastoreItem>
</file>

<file path=docProps/app.xml><?xml version="1.0" encoding="utf-8"?>
<Properties xmlns="http://schemas.openxmlformats.org/officeDocument/2006/extended-properties" xmlns:vt="http://schemas.openxmlformats.org/officeDocument/2006/docPropsVTypes">
  <Template>Normal.dotm</Template>
  <Pages>30</Pages>
  <Words>7751</Words>
  <Characters>8602</Characters>
  <Lines>0</Lines>
  <Paragraphs>0</Paragraphs>
  <TotalTime>1</TotalTime>
  <ScaleCrop>false</ScaleCrop>
  <LinksUpToDate>false</LinksUpToDate>
  <CharactersWithSpaces>8610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