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C8A24"/>
    <w:p w14:paraId="6D4EEB62">
      <w:pPr>
        <w:spacing w:line="540" w:lineRule="exact"/>
        <w:jc w:val="center"/>
        <w:rPr>
          <w:rFonts w:hint="default" w:ascii="Times New Roman" w:hAnsi="Times New Roman" w:eastAsia="华文中宋" w:cs="Times New Roman"/>
          <w:b/>
          <w:kern w:val="0"/>
          <w:sz w:val="52"/>
          <w:szCs w:val="52"/>
        </w:rPr>
      </w:pPr>
    </w:p>
    <w:p w14:paraId="30C34A87">
      <w:pPr>
        <w:spacing w:line="540" w:lineRule="exact"/>
        <w:rPr>
          <w:rFonts w:hint="default" w:ascii="Times New Roman" w:hAnsi="Times New Roman" w:eastAsia="华文中宋" w:cs="Times New Roman"/>
          <w:b/>
          <w:kern w:val="0"/>
          <w:sz w:val="52"/>
          <w:szCs w:val="52"/>
        </w:rPr>
      </w:pPr>
    </w:p>
    <w:p w14:paraId="083F5825">
      <w:pPr>
        <w:spacing w:line="540" w:lineRule="exact"/>
        <w:jc w:val="center"/>
        <w:rPr>
          <w:rFonts w:hint="default" w:ascii="Times New Roman" w:hAnsi="Times New Roman" w:eastAsia="华文中宋" w:cs="Times New Roman"/>
          <w:b/>
          <w:kern w:val="0"/>
          <w:sz w:val="52"/>
          <w:szCs w:val="52"/>
        </w:rPr>
      </w:pPr>
    </w:p>
    <w:p w14:paraId="17CC3EA8">
      <w:pPr>
        <w:spacing w:line="540" w:lineRule="exact"/>
        <w:jc w:val="center"/>
        <w:rPr>
          <w:rFonts w:hint="default" w:ascii="Times New Roman" w:hAnsi="Times New Roman" w:eastAsia="华文中宋" w:cs="Times New Roman"/>
          <w:b/>
          <w:kern w:val="0"/>
          <w:sz w:val="52"/>
          <w:szCs w:val="52"/>
        </w:rPr>
      </w:pPr>
    </w:p>
    <w:p w14:paraId="088DAA48">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lang w:val="en-US" w:eastAsia="zh-CN"/>
        </w:rPr>
        <w:t>2024年单位资金收入（事业收入）</w:t>
      </w:r>
      <w:r>
        <w:rPr>
          <w:rFonts w:hint="eastAsia" w:ascii="方正小标宋简体" w:hAnsi="方正小标宋简体" w:eastAsia="方正小标宋简体" w:cs="方正小标宋简体"/>
          <w:kern w:val="0"/>
          <w:sz w:val="44"/>
          <w:szCs w:val="44"/>
        </w:rPr>
        <w:t>项目支出绩效评价报告</w:t>
      </w:r>
    </w:p>
    <w:p w14:paraId="41F30D7E">
      <w:pPr>
        <w:spacing w:line="540" w:lineRule="exact"/>
        <w:jc w:val="center"/>
        <w:rPr>
          <w:rFonts w:hint="default" w:ascii="Times New Roman" w:hAnsi="Times New Roman" w:eastAsia="华文中宋" w:cs="Times New Roman"/>
          <w:b/>
          <w:kern w:val="0"/>
          <w:sz w:val="52"/>
          <w:szCs w:val="52"/>
        </w:rPr>
      </w:pPr>
    </w:p>
    <w:p w14:paraId="0FB78085">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14:paraId="018A6EA1">
      <w:pPr>
        <w:spacing w:line="540" w:lineRule="exact"/>
        <w:jc w:val="center"/>
        <w:rPr>
          <w:rFonts w:hint="default" w:ascii="Times New Roman" w:hAnsi="Times New Roman" w:eastAsia="仿宋_GB2312" w:cs="Times New Roman"/>
          <w:kern w:val="0"/>
          <w:sz w:val="30"/>
          <w:szCs w:val="30"/>
        </w:rPr>
      </w:pPr>
    </w:p>
    <w:p w14:paraId="0B806545">
      <w:pPr>
        <w:spacing w:line="540" w:lineRule="exact"/>
        <w:jc w:val="center"/>
        <w:rPr>
          <w:rFonts w:hint="default" w:ascii="Times New Roman" w:hAnsi="Times New Roman" w:eastAsia="仿宋_GB2312" w:cs="Times New Roman"/>
          <w:kern w:val="0"/>
          <w:sz w:val="30"/>
          <w:szCs w:val="30"/>
        </w:rPr>
      </w:pPr>
    </w:p>
    <w:p w14:paraId="002AD98B">
      <w:pPr>
        <w:spacing w:line="540" w:lineRule="exact"/>
        <w:jc w:val="center"/>
        <w:rPr>
          <w:rFonts w:hint="default" w:ascii="Times New Roman" w:hAnsi="Times New Roman" w:eastAsia="仿宋_GB2312" w:cs="Times New Roman"/>
          <w:kern w:val="0"/>
          <w:sz w:val="30"/>
          <w:szCs w:val="30"/>
        </w:rPr>
      </w:pPr>
    </w:p>
    <w:p w14:paraId="192AE8AD">
      <w:pPr>
        <w:spacing w:line="540" w:lineRule="exact"/>
        <w:jc w:val="both"/>
        <w:rPr>
          <w:rFonts w:hint="default" w:ascii="Times New Roman" w:hAnsi="Times New Roman" w:eastAsia="仿宋_GB2312" w:cs="Times New Roman"/>
          <w:kern w:val="0"/>
          <w:sz w:val="30"/>
          <w:szCs w:val="30"/>
        </w:rPr>
      </w:pPr>
    </w:p>
    <w:p w14:paraId="4F09640E">
      <w:pPr>
        <w:spacing w:line="540" w:lineRule="exact"/>
        <w:rPr>
          <w:rFonts w:hint="default" w:ascii="Times New Roman" w:hAnsi="Times New Roman" w:eastAsia="仿宋_GB2312" w:cs="Times New Roman"/>
          <w:kern w:val="0"/>
          <w:sz w:val="30"/>
          <w:szCs w:val="30"/>
        </w:rPr>
      </w:pPr>
    </w:p>
    <w:p w14:paraId="5F352C4B">
      <w:pPr>
        <w:spacing w:line="700" w:lineRule="exact"/>
        <w:ind w:firstLine="320" w:firstLineChars="1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项目名称：</w:t>
      </w:r>
      <w:r>
        <w:rPr>
          <w:rFonts w:hint="eastAsia" w:eastAsia="仿宋_GB2312" w:cs="Times New Roman"/>
          <w:kern w:val="0"/>
          <w:sz w:val="32"/>
          <w:szCs w:val="32"/>
          <w:lang w:val="en-US" w:eastAsia="zh-CN"/>
        </w:rPr>
        <w:t>2024年单位资金收入（事业收入）</w:t>
      </w:r>
      <w:r>
        <w:rPr>
          <w:rFonts w:hint="default" w:eastAsia="仿宋_GB2312" w:cs="Times New Roman"/>
          <w:kern w:val="0"/>
          <w:sz w:val="32"/>
          <w:szCs w:val="32"/>
          <w:lang w:val="en-US" w:eastAsia="zh-CN"/>
        </w:rPr>
        <w:t>项目</w:t>
      </w:r>
    </w:p>
    <w:p w14:paraId="71621024">
      <w:pPr>
        <w:spacing w:line="700" w:lineRule="exact"/>
        <w:ind w:firstLine="320" w:firstLineChars="1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特克斯县喀拉托海镇卫生院</w:t>
      </w:r>
    </w:p>
    <w:p w14:paraId="24A69890">
      <w:pPr>
        <w:spacing w:line="700" w:lineRule="exact"/>
        <w:ind w:firstLine="320" w:firstLineChars="1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特克斯县喀拉托海镇卫生院</w:t>
      </w:r>
    </w:p>
    <w:p w14:paraId="58DC0F55">
      <w:pPr>
        <w:spacing w:line="700" w:lineRule="exact"/>
        <w:ind w:firstLine="320" w:firstLineChars="100"/>
        <w:jc w:val="left"/>
        <w:rPr>
          <w:rFonts w:hint="default"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马玉鹏</w:t>
      </w:r>
    </w:p>
    <w:p w14:paraId="6884F389">
      <w:pPr>
        <w:spacing w:line="700" w:lineRule="exact"/>
        <w:ind w:firstLine="320" w:firstLineChars="1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14:paraId="1DB0AFD2">
      <w:pPr>
        <w:spacing w:line="540" w:lineRule="exact"/>
        <w:jc w:val="center"/>
        <w:rPr>
          <w:rFonts w:hint="default" w:ascii="Times New Roman" w:hAnsi="Times New Roman" w:eastAsia="仿宋_GB2312" w:cs="Times New Roman"/>
          <w:kern w:val="0"/>
          <w:sz w:val="30"/>
          <w:szCs w:val="30"/>
        </w:rPr>
      </w:pPr>
    </w:p>
    <w:p w14:paraId="644D6058">
      <w:pPr>
        <w:spacing w:line="540" w:lineRule="exact"/>
        <w:rPr>
          <w:rStyle w:val="16"/>
          <w:rFonts w:hint="default" w:ascii="Times New Roman" w:hAnsi="Times New Roman" w:eastAsia="黑体" w:cs="Times New Roman"/>
          <w:b w:val="0"/>
          <w:spacing w:val="-4"/>
          <w:sz w:val="32"/>
          <w:szCs w:val="32"/>
        </w:rPr>
      </w:pPr>
    </w:p>
    <w:p w14:paraId="3C088676">
      <w:pPr>
        <w:spacing w:line="540" w:lineRule="exact"/>
        <w:ind w:firstLine="640"/>
        <w:rPr>
          <w:rStyle w:val="16"/>
          <w:rFonts w:hint="default" w:ascii="Times New Roman" w:hAnsi="Times New Roman" w:eastAsia="黑体" w:cs="Times New Roman"/>
          <w:b w:val="0"/>
          <w:spacing w:val="-4"/>
          <w:sz w:val="32"/>
          <w:szCs w:val="32"/>
        </w:rPr>
      </w:pPr>
    </w:p>
    <w:p w14:paraId="4397020C">
      <w:pPr>
        <w:pStyle w:val="2"/>
        <w:rPr>
          <w:rStyle w:val="16"/>
          <w:rFonts w:hint="default" w:ascii="Times New Roman" w:hAnsi="Times New Roman" w:eastAsia="黑体" w:cs="Times New Roman"/>
          <w:b w:val="0"/>
          <w:spacing w:val="-4"/>
          <w:sz w:val="32"/>
          <w:szCs w:val="32"/>
        </w:rPr>
      </w:pPr>
    </w:p>
    <w:p w14:paraId="4832A735">
      <w:pPr>
        <w:pStyle w:val="2"/>
        <w:rPr>
          <w:rStyle w:val="16"/>
          <w:rFonts w:hint="default" w:ascii="Times New Roman" w:hAnsi="Times New Roman" w:eastAsia="黑体" w:cs="Times New Roman"/>
          <w:b w:val="0"/>
          <w:spacing w:val="-4"/>
          <w:sz w:val="32"/>
          <w:szCs w:val="32"/>
        </w:rPr>
      </w:pPr>
      <w:bookmarkStart w:id="1" w:name="_GoBack"/>
      <w:bookmarkEnd w:id="1"/>
    </w:p>
    <w:p w14:paraId="0340A008">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718ED3B9">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7E017717">
      <w:pPr>
        <w:spacing w:line="560" w:lineRule="exact"/>
        <w:ind w:firstLine="643" w:firstLineChars="200"/>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14:paraId="236E11A5">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保证基层医疗机构平稳运行和发展，调动基层医疗机构和医务人员的积极性。提升服务能力，促进其可持续发展。提供以预防保健、基本医疗、公共卫生、健康教育、JHSY、全民健康体检、康复等为主要内容的综合性服务。建立了稳定长效的多渠道补偿机制，确保基层医疗卫生机构有足够的资金维持日常运转，提升服务能力，促进其可持续发展。</w:t>
      </w:r>
    </w:p>
    <w:p w14:paraId="6D9AE11D">
      <w:pPr>
        <w:pStyle w:val="11"/>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3657264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14:paraId="1E906BA0">
      <w:pPr>
        <w:spacing w:line="560" w:lineRule="exact"/>
        <w:ind w:firstLine="640" w:firstLineChars="200"/>
        <w:rPr>
          <w:rFonts w:hint="default" w:ascii="Times New Roman" w:hAnsi="Times New Roman" w:cs="Times New Roman"/>
          <w:highlight w:val="none"/>
        </w:rPr>
      </w:pPr>
      <w:r>
        <w:rPr>
          <w:rFonts w:hint="default" w:ascii="Times New Roman" w:hAnsi="Times New Roman" w:eastAsia="仿宋_GB2312" w:cs="Times New Roman"/>
          <w:sz w:val="32"/>
          <w:szCs w:val="32"/>
          <w:highlight w:val="none"/>
          <w:lang w:val="en-US" w:eastAsia="zh-CN"/>
        </w:rPr>
        <w:t>项目实施情况：</w:t>
      </w: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22E599F9">
      <w:pPr>
        <w:spacing w:line="560" w:lineRule="exact"/>
        <w:ind w:firstLine="643" w:firstLineChars="200"/>
        <w:rPr>
          <w:rFonts w:hint="default" w:ascii="Times New Roman" w:hAnsi="Times New Roman" w:eastAsia="仿宋_GB2312" w:cs="Times New Roman"/>
          <w:b/>
          <w:bCs/>
          <w:sz w:val="32"/>
          <w:szCs w:val="32"/>
          <w:highlight w:val="none"/>
        </w:rPr>
      </w:pPr>
      <w:r>
        <w:rPr>
          <w:rFonts w:hint="default" w:ascii="Times New Roman" w:hAnsi="Times New Roman" w:eastAsia="仿宋_GB2312" w:cs="Times New Roman"/>
          <w:b/>
          <w:bCs/>
          <w:sz w:val="32"/>
          <w:szCs w:val="32"/>
          <w:highlight w:val="none"/>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bCs/>
          <w:sz w:val="32"/>
          <w:szCs w:val="32"/>
          <w:highlight w:val="none"/>
        </w:rPr>
        <w:t>资金投入和使用情况</w:t>
      </w:r>
    </w:p>
    <w:p w14:paraId="45789D8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4DBE12D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万元，该项目资金已全部落实到位，资金来源</w:t>
      </w:r>
      <w:r>
        <w:rPr>
          <w:rFonts w:hint="default" w:ascii="Times New Roman" w:hAnsi="Times New Roman" w:eastAsia="仿宋_GB2312" w:cs="Times New Roman"/>
          <w:color w:val="auto"/>
          <w:sz w:val="32"/>
          <w:szCs w:val="32"/>
          <w:highlight w:val="none"/>
          <w:lang w:val="en-US" w:eastAsia="zh-CN"/>
        </w:rPr>
        <w:t>为</w:t>
      </w:r>
      <w:r>
        <w:rPr>
          <w:rFonts w:hint="eastAsia" w:eastAsia="仿宋_GB2312" w:cs="Times New Roman"/>
          <w:color w:val="auto"/>
          <w:sz w:val="32"/>
          <w:szCs w:val="32"/>
          <w:highlight w:val="none"/>
          <w:lang w:val="en-US" w:eastAsia="zh-CN"/>
        </w:rPr>
        <w:t>其他资金收入</w:t>
      </w:r>
      <w:r>
        <w:rPr>
          <w:rFonts w:hint="default" w:ascii="Times New Roman" w:hAnsi="Times New Roman" w:eastAsia="仿宋_GB2312" w:cs="Times New Roman"/>
          <w:sz w:val="32"/>
          <w:szCs w:val="32"/>
          <w:highlight w:val="none"/>
          <w:lang w:val="en-US" w:eastAsia="zh-CN"/>
        </w:rPr>
        <w:t>。</w:t>
      </w:r>
    </w:p>
    <w:p w14:paraId="07832AC2">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60B6BAF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万元，全年预算数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用于开展医疗服务及其他活动中发生的编外人员人员工资、社会保障费、卫生材料费、维修维护费、办公费、水电暖、交通费等费用。</w:t>
      </w:r>
    </w:p>
    <w:p w14:paraId="46E369A5">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18B2341A">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6189FB7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14:paraId="5F5D7999">
      <w:pPr>
        <w:numPr>
          <w:ilvl w:val="0"/>
          <w:numId w:val="0"/>
        </w:numPr>
        <w:spacing w:line="560" w:lineRule="exact"/>
        <w:ind w:firstLine="640" w:firstLineChars="200"/>
        <w:rPr>
          <w:rFonts w:hint="default" w:ascii="Times New Roman" w:hAnsi="Times New Roman" w:eastAsia="仿宋_GB2312" w:cs="Times New Roman"/>
          <w:sz w:val="32"/>
          <w:szCs w:val="32"/>
          <w:highlight w:val="none"/>
        </w:rPr>
      </w:pPr>
      <w:r>
        <w:rPr>
          <w:rFonts w:hint="eastAsia" w:eastAsia="仿宋_GB2312" w:cs="Times New Roman"/>
          <w:sz w:val="32"/>
          <w:szCs w:val="32"/>
          <w:highlight w:val="none"/>
          <w:lang w:val="en-US" w:eastAsia="zh-CN"/>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highlight w:val="none"/>
        </w:rPr>
        <w:t>阶段性目标</w:t>
      </w:r>
    </w:p>
    <w:p w14:paraId="0EBDB0A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14:paraId="21B0DC7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指标完成值41.67万元/年,完成率41.67%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61E701A1">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指标完成值41.67万元/年,完成率41.67%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29AA096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14:paraId="16866BE5">
      <w:pPr>
        <w:shd w:val="clear" w:color="auto" w:fill="auto"/>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14:paraId="11D2159D">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指标完成值68.19万元/年,完成率68.19%</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7031730A">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指标完成值70万元/年,完成率70%</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14:paraId="671FCCF2">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14:paraId="2D957F87">
      <w:pPr>
        <w:pStyle w:val="9"/>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40" w:firstLineChars="200"/>
        <w:textAlignment w:val="auto"/>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02991350">
      <w:pPr>
        <w:shd w:val="clear" w:color="auto" w:fill="auto"/>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4AA91029">
      <w:pPr>
        <w:pStyle w:val="11"/>
        <w:widowControl w:val="0"/>
        <w:shd w:val="clear" w:color="auto" w:fill="auto"/>
        <w:spacing w:before="0" w:after="0" w:line="560" w:lineRule="exact"/>
        <w:ind w:firstLine="640" w:firstLineChars="200"/>
        <w:jc w:val="both"/>
        <w:outlineLvl w:val="9"/>
        <w:rPr>
          <w:rFonts w:hint="default" w:ascii="Times New Roman" w:hAnsi="Times New Roman" w:eastAsia="仿宋_GB2312" w:cs="Times New Roman"/>
          <w:b w:val="0"/>
          <w:bCs w:val="0"/>
          <w:highlight w:val="none"/>
          <w:lang w:val="en-US" w:eastAsia="zh-CN"/>
        </w:rPr>
      </w:pPr>
      <w:r>
        <w:rPr>
          <w:rFonts w:hint="default" w:ascii="Times New Roman" w:hAnsi="Times New Roman" w:eastAsia="仿宋_GB2312" w:cs="Times New Roman"/>
          <w:b w:val="0"/>
          <w:bCs w:val="0"/>
          <w:highlight w:val="none"/>
          <w:lang w:val="en-US" w:eastAsia="zh-CN"/>
        </w:rPr>
        <w:t>1.绩效评价完整性</w:t>
      </w:r>
    </w:p>
    <w:p w14:paraId="02CE8B54">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602EBB4D">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14:paraId="1C19871A">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0FB1D9A0">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8BC8603">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06E908DE">
      <w:pPr>
        <w:spacing w:line="560" w:lineRule="exact"/>
        <w:ind w:firstLine="640" w:firstLineChars="20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绩效评价的目的</w:t>
      </w:r>
    </w:p>
    <w:p w14:paraId="5F0318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（1）评估项目实施效果</w:t>
      </w:r>
    </w:p>
    <w:p w14:paraId="1EF401C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14:paraId="7C9EDE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（2）提升资源利用效率</w:t>
      </w:r>
    </w:p>
    <w:p w14:paraId="624E056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345994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（3）强化项目管理责任</w:t>
      </w:r>
    </w:p>
    <w:p w14:paraId="650793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01C261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（4）为决策提供支持</w:t>
      </w:r>
    </w:p>
    <w:p w14:paraId="421ADB7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4E29D5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（5）促进项目持续改进</w:t>
      </w:r>
    </w:p>
    <w:p w14:paraId="188AEF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3893F4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none"/>
        </w:rPr>
      </w:pPr>
      <w:r>
        <w:rPr>
          <w:rFonts w:hint="default" w:ascii="Times New Roman" w:hAnsi="Times New Roman" w:eastAsia="仿宋_GB2312" w:cs="Times New Roman"/>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社会效益。</w:t>
      </w:r>
    </w:p>
    <w:p w14:paraId="6D36E2D1">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3</w:t>
      </w:r>
      <w:r>
        <w:rPr>
          <w:rFonts w:hint="default" w:ascii="Times New Roman" w:hAnsi="Times New Roman" w:eastAsia="仿宋_GB2312" w:cs="Times New Roman"/>
          <w:b/>
          <w:bCs/>
          <w:sz w:val="32"/>
          <w:szCs w:val="32"/>
          <w:highlight w:val="none"/>
          <w:lang w:val="en-US" w:eastAsia="zh-CN"/>
        </w:rPr>
        <w:t>.</w:t>
      </w:r>
      <w:r>
        <w:rPr>
          <w:rFonts w:hint="default" w:ascii="Times New Roman" w:hAnsi="Times New Roman" w:eastAsia="仿宋_GB2312" w:cs="Times New Roman"/>
          <w:b w:val="0"/>
          <w:bCs w:val="0"/>
          <w:highlight w:val="none"/>
        </w:rPr>
        <w:t>绩效评价的对象</w:t>
      </w:r>
    </w:p>
    <w:p w14:paraId="180B36C6">
      <w:pPr>
        <w:spacing w:line="540" w:lineRule="exact"/>
        <w:jc w:val="left"/>
        <w:rPr>
          <w:rFonts w:hint="default" w:ascii="Times New Roman" w:hAnsi="Times New Roman" w:eastAsia="仿宋_GB2312" w:cs="Times New Roman"/>
          <w:b w:val="0"/>
          <w:bCs w:val="0"/>
          <w:highlight w:val="none"/>
          <w:lang w:val="en-US"/>
        </w:rPr>
      </w:pPr>
      <w:r>
        <w:rPr>
          <w:rFonts w:hint="eastAsia" w:eastAsia="仿宋_GB2312" w:cs="Times New Roman"/>
          <w:b w:val="0"/>
          <w:bCs w:val="0"/>
          <w:kern w:val="28"/>
          <w:sz w:val="32"/>
          <w:szCs w:val="32"/>
          <w:highlight w:val="none"/>
          <w:lang w:val="en-US" w:eastAsia="zh-CN" w:bidi="ar-SA"/>
        </w:rPr>
        <w:t xml:space="preserve">   </w:t>
      </w:r>
      <w:r>
        <w:rPr>
          <w:rFonts w:hint="default" w:ascii="Times New Roman" w:hAnsi="Times New Roman" w:eastAsia="仿宋_GB2312" w:cs="Times New Roman"/>
          <w:b w:val="0"/>
          <w:bCs w:val="0"/>
          <w:kern w:val="28"/>
          <w:sz w:val="32"/>
          <w:szCs w:val="32"/>
          <w:highlight w:val="none"/>
          <w:lang w:val="en-US" w:eastAsia="zh-CN" w:bidi="ar-SA"/>
        </w:rPr>
        <w:t>本项目预算绩效评价报告的评价对象是</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b w:val="0"/>
          <w:bCs w:val="0"/>
          <w:kern w:val="28"/>
          <w:sz w:val="32"/>
          <w:szCs w:val="32"/>
          <w:highlight w:val="none"/>
          <w:lang w:val="en-US" w:eastAsia="zh-CN" w:bidi="ar-SA"/>
        </w:rPr>
        <w:t>项目及其预算执行情况。该项目由</w:t>
      </w:r>
      <w:r>
        <w:rPr>
          <w:rFonts w:hint="eastAsia" w:ascii="Times New Roman" w:hAnsi="Times New Roman" w:eastAsia="仿宋_GB2312" w:cs="Times New Roman"/>
          <w:b w:val="0"/>
          <w:bCs w:val="0"/>
          <w:kern w:val="28"/>
          <w:sz w:val="32"/>
          <w:szCs w:val="32"/>
          <w:highlight w:val="none"/>
          <w:lang w:val="en-US" w:eastAsia="zh-CN" w:bidi="ar-SA"/>
        </w:rPr>
        <w:t>特克斯县阔克苏乡卫生院</w:t>
      </w:r>
      <w:r>
        <w:rPr>
          <w:rFonts w:hint="default" w:ascii="Times New Roman" w:hAnsi="Times New Roman" w:eastAsia="仿宋_GB2312" w:cs="Times New Roman"/>
          <w:b w:val="0"/>
          <w:bCs w:val="0"/>
          <w:kern w:val="28"/>
          <w:sz w:val="32"/>
          <w:szCs w:val="32"/>
          <w:highlight w:val="none"/>
          <w:lang w:val="en-US" w:eastAsia="zh-CN" w:bidi="ar-SA"/>
        </w:rPr>
        <w:t>负责实施，</w:t>
      </w:r>
      <w:r>
        <w:rPr>
          <w:rFonts w:hint="eastAsia" w:eastAsia="仿宋_GB2312" w:cs="Times New Roman"/>
          <w:b w:val="0"/>
          <w:bCs w:val="0"/>
          <w:kern w:val="28"/>
          <w:sz w:val="32"/>
          <w:szCs w:val="32"/>
          <w:highlight w:val="none"/>
          <w:lang w:val="en-US" w:eastAsia="zh-CN" w:bidi="ar-SA"/>
        </w:rPr>
        <w:t>在旨</w:t>
      </w:r>
      <w:r>
        <w:rPr>
          <w:rFonts w:hint="eastAsia" w:ascii="Times New Roman" w:hAnsi="Times New Roman" w:eastAsia="仿宋_GB2312" w:cs="Times New Roman"/>
          <w:b w:val="0"/>
          <w:bCs w:val="0"/>
          <w:kern w:val="28"/>
          <w:sz w:val="32"/>
          <w:szCs w:val="32"/>
          <w:highlight w:val="none"/>
          <w:lang w:val="en-US" w:eastAsia="zh-CN" w:bidi="ar-SA"/>
        </w:rPr>
        <w:t>提高编外人员工作积极性：有效提高；提高职工日常工作效率和质量：</w:t>
      </w:r>
      <w:r>
        <w:rPr>
          <w:rFonts w:hint="eastAsia" w:eastAsia="仿宋_GB2312" w:cs="Times New Roman"/>
          <w:b w:val="0"/>
          <w:bCs w:val="0"/>
          <w:kern w:val="28"/>
          <w:sz w:val="32"/>
          <w:szCs w:val="32"/>
          <w:highlight w:val="none"/>
          <w:lang w:val="en-US" w:eastAsia="zh-CN" w:bidi="ar-SA"/>
        </w:rPr>
        <w:t>项目预算涵盖从起始日期2024年1月1日至2024年12月31日胡全部资金投入与支出，涉及资金总额为200万元。</w:t>
      </w:r>
    </w:p>
    <w:p w14:paraId="3C1C60E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lang w:val="en-US" w:eastAsia="zh-CN"/>
        </w:rPr>
        <w:t>4.</w:t>
      </w:r>
      <w:r>
        <w:rPr>
          <w:rFonts w:hint="default" w:ascii="Times New Roman" w:hAnsi="Times New Roman" w:eastAsia="仿宋_GB2312" w:cs="Times New Roman"/>
          <w:b w:val="0"/>
          <w:bCs w:val="0"/>
          <w:highlight w:val="none"/>
        </w:rPr>
        <w:t>绩效评价的范围</w:t>
      </w:r>
    </w:p>
    <w:p w14:paraId="6616DA2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本项目预算绩效评价报告的评价范围广泛而全面，涵盖了从项目立项至评价时点期间的所有关键预算活动和财务流程。具体而言，评价范围包括但不限于以下几个方面：</w:t>
      </w:r>
    </w:p>
    <w:p w14:paraId="0802485E">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rPr>
      </w:pPr>
      <w:r>
        <w:rPr>
          <w:rFonts w:hint="default" w:ascii="Times New Roman" w:hAnsi="Times New Roman" w:eastAsia="仿宋_GB2312" w:cs="Times New Roman"/>
          <w:b w:val="0"/>
          <w:bCs w:val="0"/>
          <w:highlight w:val="none"/>
        </w:rPr>
        <w:t>项目预算编制与执行：全面审视项目预算的编制依据、合理性、科学性以及实际执行情况，包括预算调整的原因和效果。</w:t>
      </w:r>
    </w:p>
    <w:p w14:paraId="1C2DECA3">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资金管理：深入分析项目资金的分配、使用和监管情况，确保资金使用的合规性、高效性和透明度。</w:t>
      </w:r>
    </w:p>
    <w:p w14:paraId="62A976DD">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项目实施进度与产出：评估项目是否按照既定计划顺利推进，各项任务是否按时完成，以及项目产出的数量、质量和时效性是否符合预期。</w:t>
      </w:r>
    </w:p>
    <w:p w14:paraId="41E4528B">
      <w:pPr>
        <w:pStyle w:val="11"/>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highlight w:val="none"/>
          <w:lang w:eastAsia="zh-CN"/>
        </w:rPr>
      </w:pPr>
      <w:r>
        <w:rPr>
          <w:rFonts w:hint="default" w:ascii="Times New Roman" w:hAnsi="Times New Roman" w:eastAsia="仿宋_GB2312" w:cs="Times New Roman"/>
          <w:b w:val="0"/>
          <w:bCs w:val="0"/>
          <w:highlight w:val="none"/>
        </w:rPr>
        <w:t>社会影响：</w:t>
      </w:r>
      <w:r>
        <w:rPr>
          <w:rFonts w:hint="eastAsia" w:ascii="Times New Roman" w:hAnsi="Times New Roman" w:eastAsia="仿宋_GB2312" w:cs="Times New Roman"/>
          <w:b w:val="0"/>
          <w:bCs w:val="0"/>
          <w:highlight w:val="none"/>
          <w:lang w:eastAsia="zh-CN"/>
        </w:rPr>
        <w:t>基本公卫资金项目对社会有着深远的积极影响，是保障居民健康，促进社会和谐发展的重要举措，推动健康观念转变，增强社会稳定</w:t>
      </w:r>
      <w:r>
        <w:rPr>
          <w:rFonts w:hint="default" w:ascii="Times New Roman" w:hAnsi="Times New Roman" w:eastAsia="仿宋_GB2312" w:cs="Times New Roman"/>
          <w:b w:val="0"/>
          <w:bCs w:val="0"/>
          <w:highlight w:val="none"/>
        </w:rPr>
        <w:t>。</w:t>
      </w:r>
    </w:p>
    <w:p w14:paraId="19142A57">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7660911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541F3DF2">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C75316F">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5EA4962F">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07792B53">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2CAA67F5">
      <w:pPr>
        <w:pStyle w:val="11"/>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121FD18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6F3C94ED">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703FE035">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6A1463B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0B253D4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3F8EBDB5">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4D134DB7">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D131C3D">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363AFF0D">
      <w:pPr>
        <w:pStyle w:val="11"/>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417BE2C7">
      <w:pPr>
        <w:pStyle w:val="11"/>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1B4FF56A">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09969D3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1F6CDC43">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14:paraId="3C0AC9A7">
      <w:pPr>
        <w:spacing w:line="560" w:lineRule="exact"/>
        <w:ind w:firstLine="708" w:firstLineChars="200"/>
        <w:rPr>
          <w:rFonts w:hint="default" w:ascii="Times New Roman" w:hAnsi="Times New Roman" w:eastAsia="仿宋_GB2312" w:cs="Times New Roman"/>
          <w:color w:val="000000"/>
          <w:spacing w:val="17"/>
          <w:sz w:val="32"/>
          <w:szCs w:val="32"/>
          <w:highlight w:val="none"/>
          <w:lang w:val="en-US" w:eastAsia="zh-CN"/>
        </w:rPr>
      </w:pPr>
      <w:r>
        <w:rPr>
          <w:rFonts w:hint="default" w:ascii="Times New Roman" w:hAnsi="Times New Roman" w:eastAsia="仿宋_GB2312" w:cs="Times New Roman"/>
          <w:color w:val="000000"/>
          <w:spacing w:val="17"/>
          <w:sz w:val="32"/>
          <w:szCs w:val="32"/>
          <w:highlight w:val="none"/>
        </w:rPr>
        <w:t>（</w:t>
      </w:r>
      <w:r>
        <w:rPr>
          <w:rFonts w:hint="eastAsia" w:eastAsia="仿宋_GB2312" w:cs="Times New Roman"/>
          <w:color w:val="000000"/>
          <w:spacing w:val="17"/>
          <w:sz w:val="32"/>
          <w:szCs w:val="32"/>
          <w:highlight w:val="none"/>
          <w:lang w:val="en-US" w:eastAsia="zh-CN"/>
        </w:rPr>
        <w:t>一</w:t>
      </w:r>
      <w:r>
        <w:rPr>
          <w:rFonts w:hint="default" w:ascii="Times New Roman" w:hAnsi="Times New Roman" w:eastAsia="仿宋_GB2312" w:cs="Times New Roman"/>
          <w:color w:val="000000"/>
          <w:spacing w:val="17"/>
          <w:sz w:val="32"/>
          <w:szCs w:val="32"/>
          <w:highlight w:val="none"/>
        </w:rPr>
        <w:t>）因素分析法。是指综合分析影响绩效目标实现、实施效果的内外部因素的方法。</w:t>
      </w:r>
      <w:r>
        <w:rPr>
          <w:rFonts w:hint="eastAsia" w:eastAsia="仿宋_GB2312" w:cs="Times New Roman"/>
          <w:color w:val="000000"/>
          <w:spacing w:val="17"/>
          <w:sz w:val="32"/>
          <w:szCs w:val="32"/>
          <w:highlight w:val="none"/>
          <w:lang w:val="en-US" w:eastAsia="zh-CN"/>
        </w:rPr>
        <w:t>选择因素分析法因其全面性、灵活性以及能够提供定量依据的特点。</w:t>
      </w:r>
    </w:p>
    <w:p w14:paraId="6E7EB95D">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2ACF1B96">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2E2B17E7">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14:paraId="02ECF236">
      <w:pPr>
        <w:pStyle w:val="11"/>
        <w:numPr>
          <w:ilvl w:val="0"/>
          <w:numId w:val="2"/>
        </w:numPr>
        <w:spacing w:before="0" w:after="0" w:line="560" w:lineRule="exact"/>
        <w:ind w:left="759" w:leftChars="0" w:firstLine="711" w:firstLineChars="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7BB11F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前期准备与规划</w:t>
      </w:r>
    </w:p>
    <w:p w14:paraId="3A131D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14:paraId="42491CA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lang w:eastAsia="zh-CN"/>
        </w:rPr>
        <w:t>）指标体系构建</w:t>
      </w:r>
    </w:p>
    <w:p w14:paraId="3E31D09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000000"/>
          <w:spacing w:val="17"/>
          <w:sz w:val="32"/>
          <w:szCs w:val="32"/>
          <w:highlight w:val="none"/>
        </w:rPr>
        <w:t>项目决策、项目过程、项目产出、项目效益四个维度</w:t>
      </w:r>
      <w:r>
        <w:rPr>
          <w:rFonts w:hint="default" w:ascii="Times New Roman" w:hAnsi="Times New Roman" w:eastAsia="仿宋_GB2312" w:cs="Times New Roman"/>
          <w:sz w:val="32"/>
          <w:szCs w:val="32"/>
          <w:highlight w:val="none"/>
          <w:lang w:eastAsia="zh-CN"/>
        </w:rPr>
        <w:t>，选取了具有代表性和可衡量性的关键指标，并为每个指标设定了明确的评价标准与权重，确保评价结果能够全面、准确地反映项目的绩效状况。</w:t>
      </w:r>
    </w:p>
    <w:p w14:paraId="333366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lang w:eastAsia="zh-CN"/>
        </w:rPr>
        <w:t>）数据收集与整理</w:t>
      </w:r>
    </w:p>
    <w:p w14:paraId="56D506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5953CD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4</w:t>
      </w:r>
      <w:r>
        <w:rPr>
          <w:rFonts w:hint="default" w:ascii="Times New Roman" w:hAnsi="Times New Roman" w:eastAsia="仿宋_GB2312" w:cs="Times New Roman"/>
          <w:sz w:val="32"/>
          <w:szCs w:val="32"/>
          <w:highlight w:val="none"/>
          <w:lang w:eastAsia="zh-CN"/>
        </w:rPr>
        <w:t>）数据分析与评估</w:t>
      </w:r>
    </w:p>
    <w:p w14:paraId="7744B22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6BAF5EA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eastAsia="zh-CN"/>
        </w:rPr>
        <w:t>）报告撰写与反馈</w:t>
      </w:r>
    </w:p>
    <w:p w14:paraId="1FF036C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65D3F3A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6</w:t>
      </w:r>
      <w:r>
        <w:rPr>
          <w:rFonts w:hint="default" w:ascii="Times New Roman" w:hAnsi="Times New Roman" w:eastAsia="仿宋_GB2312" w:cs="Times New Roman"/>
          <w:sz w:val="32"/>
          <w:szCs w:val="32"/>
          <w:highlight w:val="none"/>
          <w:lang w:eastAsia="zh-CN"/>
        </w:rPr>
        <w:t>）后续跟踪与改进</w:t>
      </w:r>
    </w:p>
    <w:p w14:paraId="0C887F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7134AD84">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4FBBCACE">
      <w:pPr>
        <w:pStyle w:val="11"/>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22B0E60">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eastAsia" w:ascii="Times New Roman" w:hAnsi="Times New Roman" w:eastAsia="仿宋_GB2312" w:cs="Times New Roman"/>
          <w:b w:val="0"/>
          <w:bCs w:val="0"/>
          <w:kern w:val="28"/>
          <w:sz w:val="32"/>
          <w:szCs w:val="32"/>
          <w:highlight w:val="none"/>
          <w:lang w:val="en-US" w:eastAsia="zh-CN" w:bidi="ar-SA"/>
        </w:rPr>
        <w:t>2024年单位资金收入（事业收入）</w:t>
      </w:r>
      <w:r>
        <w:rPr>
          <w:rFonts w:hint="default" w:ascii="Times New Roman" w:hAnsi="Times New Roman" w:eastAsia="仿宋_GB2312" w:cs="Times New Roman"/>
          <w:sz w:val="32"/>
          <w:szCs w:val="32"/>
          <w:highlight w:val="none"/>
          <w:lang w:val="en-US" w:eastAsia="zh-CN"/>
        </w:rPr>
        <w:t>项目</w:t>
      </w:r>
      <w:r>
        <w:rPr>
          <w:rFonts w:hint="eastAsia" w:ascii="Times New Roman" w:hAnsi="Times New Roman" w:eastAsia="仿宋_GB2312" w:cs="Times New Roman"/>
          <w:sz w:val="32"/>
          <w:szCs w:val="32"/>
          <w:highlight w:val="none"/>
          <w:lang w:val="en-US" w:eastAsia="zh-CN"/>
        </w:rPr>
        <w:t>对</w:t>
      </w:r>
      <w:r>
        <w:rPr>
          <w:rFonts w:hint="eastAsia" w:ascii="Times New Roman" w:hAnsi="Times New Roman" w:eastAsia="仿宋_GB2312" w:cs="Times New Roman"/>
          <w:sz w:val="32"/>
          <w:szCs w:val="32"/>
          <w:highlight w:val="none"/>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ascii="Times New Roman" w:hAnsi="Times New Roman" w:eastAsia="仿宋_GB2312" w:cs="Times New Roman"/>
          <w:sz w:val="32"/>
          <w:szCs w:val="32"/>
          <w:highlight w:val="none"/>
          <w:lang w:val="en-US" w:eastAsia="zh-CN"/>
        </w:rPr>
        <w:t>同时，项目也在</w:t>
      </w:r>
      <w:r>
        <w:rPr>
          <w:rFonts w:hint="eastAsia" w:ascii="Times New Roman" w:hAnsi="Times New Roman" w:eastAsia="仿宋_GB2312" w:cs="Times New Roman"/>
          <w:sz w:val="32"/>
          <w:szCs w:val="32"/>
          <w:highlight w:val="none"/>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Times New Roman" w:hAnsi="Times New Roman" w:eastAsia="仿宋_GB2312" w:cs="Times New Roman"/>
          <w:sz w:val="32"/>
          <w:szCs w:val="32"/>
          <w:highlight w:val="none"/>
        </w:rPr>
        <w:t>单位职工满意度：</w:t>
      </w:r>
      <w:r>
        <w:rPr>
          <w:rFonts w:hint="eastAsia" w:ascii="Times New Roman" w:hAnsi="Times New Roman" w:eastAsia="仿宋_GB2312" w:cs="Times New Roman"/>
          <w:sz w:val="32"/>
          <w:szCs w:val="32"/>
          <w:highlight w:val="none"/>
          <w:lang w:eastAsia="zh-CN"/>
        </w:rPr>
        <w:t>满意度达到</w:t>
      </w:r>
      <w:r>
        <w:rPr>
          <w:rFonts w:hint="eastAsia" w:ascii="Times New Roman" w:hAnsi="Times New Roman" w:eastAsia="仿宋_GB2312" w:cs="Times New Roman"/>
          <w:sz w:val="32"/>
          <w:szCs w:val="32"/>
          <w:highlight w:val="none"/>
          <w:lang w:val="en-US" w:eastAsia="zh-CN"/>
        </w:rPr>
        <w:t>9</w:t>
      </w:r>
      <w:r>
        <w:rPr>
          <w:rFonts w:hint="eastAsia" w:eastAsia="仿宋_GB2312" w:cs="Times New Roman"/>
          <w:sz w:val="32"/>
          <w:szCs w:val="32"/>
          <w:highlight w:val="none"/>
          <w:lang w:val="en-US" w:eastAsia="zh-CN"/>
        </w:rPr>
        <w:t>0</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w:t>
      </w:r>
    </w:p>
    <w:p w14:paraId="64D49143">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320" w:firstLineChars="1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在项目管理方面，</w:t>
      </w:r>
      <w:r>
        <w:rPr>
          <w:rFonts w:hint="eastAsia" w:ascii="Times New Roman" w:hAnsi="Times New Roman" w:eastAsia="仿宋_GB2312" w:cs="Times New Roman"/>
          <w:sz w:val="32"/>
          <w:szCs w:val="32"/>
          <w:highlight w:val="none"/>
          <w:lang w:val="en-US" w:eastAsia="zh-CN"/>
        </w:rPr>
        <w:t>特克斯县</w:t>
      </w:r>
      <w:r>
        <w:rPr>
          <w:rFonts w:hint="eastAsia" w:eastAsia="仿宋_GB2312" w:cs="Times New Roman"/>
          <w:sz w:val="32"/>
          <w:szCs w:val="32"/>
          <w:highlight w:val="none"/>
          <w:lang w:val="en-US" w:eastAsia="zh-CN"/>
        </w:rPr>
        <w:t>喀拉托海镇卫生院卫生院</w:t>
      </w:r>
      <w:r>
        <w:rPr>
          <w:rFonts w:hint="default" w:ascii="Times New Roman" w:hAnsi="Times New Roman" w:eastAsia="仿宋_GB2312" w:cs="Times New Roman"/>
          <w:sz w:val="32"/>
          <w:szCs w:val="32"/>
          <w:highlight w:val="none"/>
        </w:rPr>
        <w:t>通过有效的规划、组织与协调，项目得以顺利实施，并在预算与时间上保持了良好的控制。</w:t>
      </w:r>
    </w:p>
    <w:p w14:paraId="3D061E38">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从项目效益的角度来看，本项目不仅实现了预期的社会效益、</w:t>
      </w:r>
      <w:r>
        <w:rPr>
          <w:rFonts w:hint="eastAsia" w:eastAsia="仿宋_GB2312" w:cs="Times New Roman"/>
          <w:sz w:val="32"/>
          <w:szCs w:val="32"/>
          <w:highlight w:val="none"/>
          <w:lang w:val="en-US" w:eastAsia="zh-CN"/>
        </w:rPr>
        <w:t>生态</w:t>
      </w:r>
      <w:r>
        <w:rPr>
          <w:rFonts w:hint="default" w:ascii="Times New Roman" w:hAnsi="Times New Roman" w:eastAsia="仿宋_GB2312" w:cs="Times New Roman"/>
          <w:sz w:val="32"/>
          <w:szCs w:val="32"/>
          <w:highlight w:val="none"/>
        </w:rPr>
        <w:t>效益等方面产生了积极的影响。具体而言，提高编外人员工作积极性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14:paraId="0971F3A8">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t>综上所述，</w:t>
      </w:r>
      <w:r>
        <w:rPr>
          <w:rFonts w:hint="eastAsia" w:ascii="Times New Roman" w:hAnsi="Times New Roman" w:eastAsia="仿宋_GB2312" w:cs="Times New Roman"/>
          <w:sz w:val="32"/>
          <w:szCs w:val="32"/>
          <w:highlight w:val="none"/>
        </w:rPr>
        <w:t>2024年单位资金收入（事业收入）</w:t>
      </w:r>
      <w:r>
        <w:rPr>
          <w:rFonts w:hint="default" w:ascii="Times New Roman" w:hAnsi="Times New Roman" w:eastAsia="仿宋_GB2312" w:cs="Times New Roman"/>
          <w:sz w:val="32"/>
          <w:szCs w:val="32"/>
          <w:highlight w:val="none"/>
        </w:rPr>
        <w:t>在绩效评价中表现出色，达到了项目的预期目标，并在多个方面取得了显著的成效。</w:t>
      </w:r>
    </w:p>
    <w:p w14:paraId="60088ABF">
      <w:pPr>
        <w:pStyle w:val="10"/>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二</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lang w:val="en-US" w:eastAsia="zh-CN"/>
        </w:rPr>
        <w:t>评价结论</w:t>
      </w:r>
    </w:p>
    <w:p w14:paraId="6289C510">
      <w:pPr>
        <w:pStyle w:val="11"/>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highlight w:val="none"/>
        </w:rPr>
        <w:t>总得分为</w:t>
      </w:r>
      <w:r>
        <w:rPr>
          <w:rFonts w:hint="eastAsia" w:ascii="Times New Roman" w:hAnsi="Times New Roman" w:eastAsia="仿宋_GB2312" w:cs="Times New Roman"/>
          <w:b w:val="0"/>
          <w:bCs w:val="0"/>
          <w:highlight w:val="none"/>
          <w:lang w:val="en-US" w:eastAsia="zh-CN"/>
        </w:rPr>
        <w:t>98.24</w:t>
      </w:r>
      <w:r>
        <w:rPr>
          <w:rFonts w:hint="default" w:ascii="Times New Roman" w:hAnsi="Times New Roman" w:eastAsia="仿宋_GB2312" w:cs="Times New Roman"/>
          <w:b w:val="0"/>
          <w:bCs w:val="0"/>
          <w:highlight w:val="none"/>
        </w:rPr>
        <w:t xml:space="preserve">分，属于“优”。其中，项目决策类指标权重为20分，得分为 </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 xml:space="preserve">分，得分率为 </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%。项目过程类指标权重为20分，得分为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%。项目产出类指标权重为40分，得分为</w:t>
      </w:r>
      <w:r>
        <w:rPr>
          <w:rFonts w:hint="eastAsia" w:ascii="Times New Roman" w:hAnsi="Times New Roman" w:eastAsia="仿宋_GB2312" w:cs="Times New Roman"/>
          <w:b w:val="0"/>
          <w:bCs w:val="0"/>
          <w:highlight w:val="none"/>
          <w:lang w:val="en-US" w:eastAsia="zh-CN"/>
        </w:rPr>
        <w:t>38.24</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96</w:t>
      </w:r>
      <w:r>
        <w:rPr>
          <w:rFonts w:hint="default" w:ascii="Times New Roman" w:hAnsi="Times New Roman" w:eastAsia="仿宋_GB2312" w:cs="Times New Roman"/>
          <w:b w:val="0"/>
          <w:bCs w:val="0"/>
          <w:highlight w:val="none"/>
        </w:rPr>
        <w:t>%。项目效益类指标权重为20分，得分为</w:t>
      </w:r>
      <w:r>
        <w:rPr>
          <w:rFonts w:hint="eastAsia" w:ascii="Times New Roman" w:hAnsi="Times New Roman" w:eastAsia="仿宋_GB2312" w:cs="Times New Roman"/>
          <w:b w:val="0"/>
          <w:bCs w:val="0"/>
          <w:highlight w:val="none"/>
          <w:lang w:val="en-US" w:eastAsia="zh-CN"/>
        </w:rPr>
        <w:t>20</w:t>
      </w:r>
      <w:r>
        <w:rPr>
          <w:rFonts w:hint="default" w:ascii="Times New Roman" w:hAnsi="Times New Roman" w:eastAsia="仿宋_GB2312" w:cs="Times New Roman"/>
          <w:b w:val="0"/>
          <w:bCs w:val="0"/>
          <w:highlight w:val="none"/>
        </w:rPr>
        <w:t>分，得分率为</w:t>
      </w:r>
      <w:r>
        <w:rPr>
          <w:rFonts w:hint="eastAsia" w:ascii="Times New Roman" w:hAnsi="Times New Roman" w:eastAsia="仿宋_GB2312" w:cs="Times New Roman"/>
          <w:b w:val="0"/>
          <w:bCs w:val="0"/>
          <w:highlight w:val="none"/>
          <w:lang w:val="en-US" w:eastAsia="zh-CN"/>
        </w:rPr>
        <w:t>100</w:t>
      </w:r>
      <w:r>
        <w:rPr>
          <w:rFonts w:hint="default" w:ascii="Times New Roman" w:hAnsi="Times New Roman" w:eastAsia="仿宋_GB2312" w:cs="Times New Roman"/>
          <w:b w:val="0"/>
          <w:bCs w:val="0"/>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719383F2">
      <w:pPr>
        <w:pStyle w:val="11"/>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3"/>
        <w:tblW w:w="7583" w:type="dxa"/>
        <w:jc w:val="center"/>
        <w:tblLayout w:type="fixed"/>
        <w:tblCellMar>
          <w:top w:w="0" w:type="dxa"/>
          <w:left w:w="108" w:type="dxa"/>
          <w:bottom w:w="0" w:type="dxa"/>
          <w:right w:w="108" w:type="dxa"/>
        </w:tblCellMar>
      </w:tblPr>
      <w:tblGrid>
        <w:gridCol w:w="3137"/>
        <w:gridCol w:w="2168"/>
        <w:gridCol w:w="2278"/>
      </w:tblGrid>
      <w:tr w14:paraId="05E9D80C">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F3E960D">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464CF49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19FDDF05">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7E55A51B">
        <w:tblPrEx>
          <w:tblCellMar>
            <w:top w:w="0" w:type="dxa"/>
            <w:left w:w="108" w:type="dxa"/>
            <w:bottom w:w="0" w:type="dxa"/>
            <w:right w:w="108" w:type="dxa"/>
          </w:tblCellMar>
        </w:tblPrEx>
        <w:trPr>
          <w:trHeight w:val="325"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6E558C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4E0B5C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095282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29330C8">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0D80CD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09A94C24">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0FCB9FC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1967B150">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FAEFADA">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014F114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2B4F260D">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38.24</w:t>
            </w:r>
          </w:p>
        </w:tc>
      </w:tr>
      <w:tr w14:paraId="3C0EDA6C">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233A6C54">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4E0BCE5E">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3701D4E6">
            <w:pPr>
              <w:ind w:firstLine="840" w:firstLineChars="400"/>
              <w:jc w:val="both"/>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A384ECF">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0FC3FB71">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7FB02717">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0E036A48">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98.24</w:t>
            </w:r>
          </w:p>
        </w:tc>
      </w:tr>
    </w:tbl>
    <w:p w14:paraId="4B44B13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5DB7A19">
      <w:pPr>
        <w:pStyle w:val="11"/>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49AE159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71106D9D">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608DFD6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2E960EC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6F61817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43EBB4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6D063848">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1F9D868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6AAD2EE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51850E6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5D3C749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15951783">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2B89079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14:paraId="2F7B13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78E50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在预算编制过程中，</w:t>
      </w:r>
      <w:r>
        <w:rPr>
          <w:rFonts w:hint="default" w:ascii="Times New Roman" w:hAnsi="Times New Roman" w:eastAsia="仿宋_GB2312" w:cs="Times New Roman"/>
          <w:sz w:val="32"/>
          <w:szCs w:val="32"/>
          <w:highlight w:val="none"/>
          <w:lang w:val="en-US" w:eastAsia="zh-CN"/>
        </w:rPr>
        <w:t>还</w:t>
      </w:r>
      <w:r>
        <w:rPr>
          <w:rFonts w:hint="default" w:ascii="Times New Roman" w:hAnsi="Times New Roman" w:eastAsia="仿宋_GB2312" w:cs="Times New Roman"/>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14:paraId="7984D205">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14:paraId="0ECF02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56D4522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073B42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369B836F">
      <w:pPr>
        <w:pStyle w:val="11"/>
        <w:numPr>
          <w:ilvl w:val="0"/>
          <w:numId w:val="4"/>
        </w:numPr>
        <w:spacing w:before="0" w:after="0" w:line="560" w:lineRule="exact"/>
        <w:ind w:left="-13" w:leftChars="0" w:firstLine="643" w:firstLineChars="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1391C7E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14:paraId="596642F5">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1.资金管理</w:t>
      </w:r>
    </w:p>
    <w:p w14:paraId="15DCCEB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7D1C1F94">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w:t>
      </w:r>
      <w:r>
        <w:rPr>
          <w:rFonts w:hint="default" w:ascii="Times New Roman" w:hAnsi="Times New Roman" w:eastAsia="仿宋_GB2312" w:cs="Times New Roman"/>
          <w:sz w:val="32"/>
          <w:szCs w:val="32"/>
          <w:highlight w:val="none"/>
          <w:lang w:val="en-US" w:eastAsia="zh-CN"/>
        </w:rPr>
        <w:t>总投资</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其他</w:t>
      </w:r>
      <w:r>
        <w:rPr>
          <w:rFonts w:hint="default" w:ascii="Times New Roman" w:hAnsi="Times New Roman" w:eastAsia="仿宋_GB2312" w:cs="Times New Roman"/>
          <w:sz w:val="32"/>
          <w:szCs w:val="32"/>
          <w:highlight w:val="none"/>
          <w:lang w:val="en-US" w:eastAsia="zh-CN"/>
        </w:rPr>
        <w:t>资金及时</w:t>
      </w:r>
      <w:r>
        <w:rPr>
          <w:rFonts w:hint="eastAsia" w:eastAsia="仿宋_GB2312" w:cs="Times New Roman"/>
          <w:sz w:val="32"/>
          <w:szCs w:val="32"/>
          <w:highlight w:val="none"/>
          <w:lang w:val="en-US" w:eastAsia="zh-CN"/>
        </w:rPr>
        <w:t>拨付</w:t>
      </w:r>
      <w:r>
        <w:rPr>
          <w:rFonts w:hint="default" w:ascii="Times New Roman" w:hAnsi="Times New Roman" w:eastAsia="仿宋_GB2312" w:cs="Times New Roman"/>
          <w:sz w:val="32"/>
          <w:szCs w:val="32"/>
          <w:highlight w:val="none"/>
          <w:lang w:val="en-US" w:eastAsia="zh-CN"/>
        </w:rPr>
        <w:t>到位，到位率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%，预算资金按计划进度执行</w:t>
      </w:r>
      <w:r>
        <w:rPr>
          <w:rFonts w:hint="default" w:ascii="Times New Roman" w:hAnsi="Times New Roman" w:eastAsia="仿宋_GB2312" w:cs="Times New Roman"/>
          <w:sz w:val="32"/>
          <w:szCs w:val="32"/>
          <w:lang w:val="en-US" w:eastAsia="zh-CN"/>
        </w:rPr>
        <w:t>。</w:t>
      </w:r>
    </w:p>
    <w:p w14:paraId="2DFC1C5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3C41044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sz w:val="32"/>
          <w:szCs w:val="32"/>
          <w:highlight w:val="none"/>
          <w:lang w:val="en-US" w:eastAsia="zh-CN"/>
        </w:rPr>
        <w:t>预算资金支出</w:t>
      </w:r>
      <w:r>
        <w:rPr>
          <w:rFonts w:hint="eastAsia" w:eastAsia="仿宋_GB2312" w:cs="Times New Roman"/>
          <w:sz w:val="32"/>
          <w:szCs w:val="32"/>
          <w:highlight w:val="none"/>
          <w:lang w:val="en-US" w:eastAsia="zh-CN"/>
        </w:rPr>
        <w:t>200</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w:t>
      </w:r>
    </w:p>
    <w:p w14:paraId="6AD54EC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5CFCB5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14:paraId="41BAD17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4C5D17B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388BE782">
      <w:pPr>
        <w:pStyle w:val="21"/>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highlight w:val="none"/>
          <w:lang w:val="en-US" w:eastAsia="zh-CN"/>
        </w:rPr>
      </w:pPr>
      <w:r>
        <w:rPr>
          <w:rFonts w:hint="default" w:ascii="Times New Roman" w:hAnsi="Times New Roman" w:eastAsia="仿宋_GB2312" w:cs="Times New Roman"/>
          <w:b/>
          <w:bCs/>
          <w:sz w:val="32"/>
          <w:szCs w:val="32"/>
          <w:highlight w:val="none"/>
          <w:lang w:val="en-US" w:eastAsia="zh-CN"/>
        </w:rPr>
        <w:t>2.组织实施</w:t>
      </w:r>
    </w:p>
    <w:p w14:paraId="4480B77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（1）管理制度健全性</w:t>
      </w:r>
    </w:p>
    <w:p w14:paraId="087AAF3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11388A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在制度设计上，我们注重了制度的科学性与可操作性，确保制度能够切实指导项目的执行与管理。</w:t>
      </w:r>
    </w:p>
    <w:p w14:paraId="3BB0DDC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75E4F8F7">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CF29D4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8751E5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6C8D395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5F94C7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6C28C795">
      <w:pPr>
        <w:pStyle w:val="12"/>
        <w:numPr>
          <w:ilvl w:val="0"/>
          <w:numId w:val="4"/>
        </w:numPr>
        <w:spacing w:line="560" w:lineRule="exact"/>
        <w:ind w:left="-13" w:leftChars="0" w:firstLine="643" w:firstLineChars="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7CBAF37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highlight w:val="none"/>
          <w:lang w:val="en-US" w:eastAsia="zh-CN"/>
        </w:rPr>
        <w:t>5</w:t>
      </w:r>
      <w:r>
        <w:rPr>
          <w:rFonts w:hint="default" w:ascii="Times New Roman" w:hAnsi="Times New Roman" w:eastAsia="仿宋_GB2312" w:cs="Times New Roman"/>
          <w:sz w:val="32"/>
          <w:szCs w:val="32"/>
          <w:highlight w:val="none"/>
          <w:lang w:val="en-US" w:eastAsia="zh-CN"/>
        </w:rPr>
        <w:t>个三级指标构成，权重分为40分，实际得分</w:t>
      </w:r>
      <w:r>
        <w:rPr>
          <w:rFonts w:hint="eastAsia" w:eastAsia="仿宋_GB2312" w:cs="Times New Roman"/>
          <w:sz w:val="32"/>
          <w:szCs w:val="32"/>
          <w:highlight w:val="none"/>
          <w:lang w:val="en-US" w:eastAsia="zh-CN"/>
        </w:rPr>
        <w:t>38.24</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lang w:val="en-US" w:eastAsia="zh-CN"/>
        </w:rPr>
        <w:t>%。具体产出指标完成情况如下：</w:t>
      </w:r>
    </w:p>
    <w:p w14:paraId="36AD700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717B0199">
      <w:pPr>
        <w:shd w:val="clear" w:color="auto" w:fill="auto"/>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34</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30</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96</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偏差原因：临聘人员流动性大，其中4人辞职</w:t>
      </w:r>
      <w:r>
        <w:rPr>
          <w:rFonts w:hint="eastAsia" w:eastAsia="仿宋_GB2312" w:cs="Times New Roman"/>
          <w:sz w:val="32"/>
          <w:szCs w:val="32"/>
          <w:highlight w:val="none"/>
          <w:lang w:eastAsia="zh-CN"/>
        </w:rPr>
        <w:t>。</w:t>
      </w:r>
    </w:p>
    <w:p w14:paraId="57408A46">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73ED4BE1">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14:paraId="2960CF7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4F02CBB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14:paraId="7D549B5C">
      <w:pPr>
        <w:pStyle w:val="12"/>
        <w:numPr>
          <w:ilvl w:val="0"/>
          <w:numId w:val="4"/>
        </w:numPr>
        <w:spacing w:line="560" w:lineRule="exact"/>
        <w:ind w:left="-13" w:leftChars="0" w:firstLine="643" w:firstLineChars="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E05806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highlight w:val="none"/>
          <w:lang w:val="en-US" w:eastAsia="zh-CN"/>
        </w:rPr>
        <w:t>个三级指标构成，权重分为20分，实际得分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%。具体效益指标及满意度指标完成情况如下：</w:t>
      </w:r>
    </w:p>
    <w:p w14:paraId="4FC54E62">
      <w:pPr>
        <w:numPr>
          <w:ilvl w:val="0"/>
          <w:numId w:val="5"/>
        </w:num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14:paraId="66296426">
      <w:pPr>
        <w:shd w:val="clear" w:color="auto" w:fill="auto"/>
        <w:spacing w:line="600" w:lineRule="exact"/>
        <w:ind w:firstLine="640" w:firstLineChars="200"/>
        <w:outlineLvl w:val="0"/>
        <w:rPr>
          <w:rFonts w:hint="eastAsia"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42EA6E4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14:paraId="20C01118">
      <w:pPr>
        <w:numPr>
          <w:ilvl w:val="0"/>
          <w:numId w:val="5"/>
        </w:numPr>
        <w:shd w:val="clear" w:color="auto" w:fill="auto"/>
        <w:spacing w:line="600" w:lineRule="exact"/>
        <w:ind w:left="0" w:leftChars="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满意度指标</w:t>
      </w:r>
    </w:p>
    <w:p w14:paraId="147B6ECB">
      <w:pPr>
        <w:numPr>
          <w:ilvl w:val="0"/>
          <w:numId w:val="0"/>
        </w:numPr>
        <w:shd w:val="clear" w:color="auto" w:fill="auto"/>
        <w:spacing w:line="600" w:lineRule="exact"/>
        <w:ind w:left="420"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%，实际完成值：9</w:t>
      </w:r>
      <w:r>
        <w:rPr>
          <w:rFonts w:hint="eastAsia" w:eastAsia="仿宋_GB2312" w:cs="Times New Roman"/>
          <w:sz w:val="32"/>
          <w:szCs w:val="32"/>
          <w:lang w:val="en-US" w:eastAsia="zh-CN"/>
        </w:rPr>
        <w:t>0</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p>
    <w:p w14:paraId="6196D0E7">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332AA697">
      <w:pPr>
        <w:shd w:val="clear" w:color="auto" w:fill="auto"/>
        <w:spacing w:line="600" w:lineRule="exact"/>
        <w:ind w:firstLine="640" w:firstLineChars="200"/>
        <w:outlineLvl w:val="0"/>
        <w:rPr>
          <w:rFonts w:hint="eastAsia" w:eastAsia="黑体" w:cs="Times New Roman"/>
          <w:sz w:val="32"/>
          <w:szCs w:val="32"/>
          <w:lang w:val="en-US" w:eastAsia="zh-CN"/>
        </w:rPr>
      </w:pPr>
      <w:r>
        <w:rPr>
          <w:rFonts w:hint="eastAsia" w:ascii="Times New Roman" w:hAnsi="Times New Roman" w:eastAsia="仿宋_GB2312" w:cs="Times New Roman"/>
          <w:sz w:val="32"/>
          <w:szCs w:val="32"/>
          <w:lang w:val="en-US" w:eastAsia="zh-CN"/>
        </w:rPr>
        <w:t>2024年单位自有资金收入</w:t>
      </w:r>
      <w:r>
        <w:rPr>
          <w:rFonts w:hint="default" w:ascii="Times New Roman" w:hAnsi="Times New Roman" w:eastAsia="仿宋_GB2312" w:cs="Times New Roman"/>
          <w:sz w:val="32"/>
          <w:szCs w:val="32"/>
          <w:lang w:val="en-US" w:eastAsia="zh-CN"/>
        </w:rPr>
        <w:t>项目年初预算</w:t>
      </w:r>
      <w:r>
        <w:rPr>
          <w:rFonts w:hint="eastAsia" w:eastAsia="仿宋_GB2312" w:cs="Times New Roman"/>
          <w:sz w:val="32"/>
          <w:szCs w:val="32"/>
          <w:lang w:val="en-US" w:eastAsia="zh-CN"/>
        </w:rPr>
        <w:t>200</w:t>
      </w:r>
      <w:r>
        <w:rPr>
          <w:rFonts w:hint="default" w:ascii="Times New Roman" w:hAnsi="Times New Roman" w:eastAsia="仿宋_GB2312" w:cs="Times New Roman"/>
          <w:sz w:val="32"/>
          <w:szCs w:val="32"/>
          <w:lang w:val="en-US" w:eastAsia="zh-CN"/>
        </w:rPr>
        <w:t>万元，全年预算</w:t>
      </w:r>
      <w:r>
        <w:rPr>
          <w:rFonts w:hint="eastAsia" w:eastAsia="仿宋_GB2312" w:cs="Times New Roman"/>
          <w:sz w:val="32"/>
          <w:szCs w:val="32"/>
          <w:lang w:val="en-US" w:eastAsia="zh-CN"/>
        </w:rPr>
        <w:t>200</w:t>
      </w:r>
      <w:r>
        <w:rPr>
          <w:rFonts w:hint="default" w:ascii="Times New Roman" w:hAnsi="Times New Roman" w:eastAsia="仿宋_GB2312" w:cs="Times New Roman"/>
          <w:sz w:val="32"/>
          <w:szCs w:val="32"/>
          <w:lang w:val="en-US" w:eastAsia="zh-CN"/>
        </w:rPr>
        <w:t>万元，实际支出</w:t>
      </w:r>
      <w:r>
        <w:rPr>
          <w:rFonts w:hint="eastAsia" w:eastAsia="仿宋_GB2312" w:cs="Times New Roman"/>
          <w:sz w:val="32"/>
          <w:szCs w:val="32"/>
          <w:lang w:val="en-US" w:eastAsia="zh-CN"/>
        </w:rPr>
        <w:t>200</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%，项目绩效指标总体完成率为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r>
        <w:rPr>
          <w:rFonts w:hint="eastAsia" w:ascii="Times New Roman" w:hAnsi="Times New Roman" w:eastAsia="仿宋_GB2312" w:cs="Times New Roman"/>
          <w:sz w:val="32"/>
          <w:szCs w:val="32"/>
          <w:lang w:val="en-US" w:eastAsia="zh-CN"/>
        </w:rPr>
        <w:t>，无偏差。</w:t>
      </w:r>
    </w:p>
    <w:p w14:paraId="4C024BBE">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1E1F261E">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57804033">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14:paraId="4A3F1F97">
      <w:pPr>
        <w:pStyle w:val="11"/>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291F1D6C">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14:paraId="5034EDF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14:paraId="2A56C6C0">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14:paraId="7E190546">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10FAF4D">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7DFF3784">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741DB6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2FA55C2B">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61651169">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49F38FEB">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14:paraId="29238460">
      <w:pPr>
        <w:rPr>
          <w:rFonts w:hint="default" w:ascii="Times New Roman" w:hAnsi="Times New Roman" w:cs="Times New Roman"/>
        </w:rPr>
      </w:pPr>
      <w:r>
        <w:rPr>
          <w:rFonts w:hint="default" w:ascii="Times New Roman" w:hAnsi="Times New Roman" w:eastAsia="仿宋_GB2312" w:cs="Times New Roman"/>
          <w:sz w:val="32"/>
          <w:szCs w:val="32"/>
        </w:rPr>
        <w:t>本项目无其他需说明的问题。</w:t>
      </w:r>
    </w:p>
    <w:sectPr>
      <w:footerReference r:id="rId3" w:type="default"/>
      <w:pgSz w:w="11906" w:h="16838"/>
      <w:pgMar w:top="1531" w:right="1984" w:bottom="1531" w:left="209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CDE2C79-FF60-43B7-8AC1-C210B975518F}"/>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89251660-4CF7-4DD6-865F-8FAD6023C0EC}"/>
  </w:font>
  <w:font w:name="华文中宋">
    <w:panose1 w:val="02010600040101010101"/>
    <w:charset w:val="86"/>
    <w:family w:val="auto"/>
    <w:pitch w:val="default"/>
    <w:sig w:usb0="00000287" w:usb1="080F0000" w:usb2="00000000" w:usb3="00000000" w:csb0="0004009F" w:csb1="DFD70000"/>
    <w:embedRegular r:id="rId3" w:fontKey="{894E4FAA-1AC4-4FC9-BD6C-50A5D8FA8E48}"/>
  </w:font>
  <w:font w:name="方正小标宋_GBK">
    <w:altName w:val="微软雅黑"/>
    <w:panose1 w:val="03000509000000000000"/>
    <w:charset w:val="86"/>
    <w:family w:val="script"/>
    <w:pitch w:val="default"/>
    <w:sig w:usb0="00000000" w:usb1="00000000" w:usb2="00000000" w:usb3="00000000" w:csb0="00040000" w:csb1="00000000"/>
    <w:embedRegular r:id="rId4" w:fontKey="{E3D5F815-3C6C-4757-AACC-86A0AA80088A}"/>
  </w:font>
  <w:font w:name="微软雅黑">
    <w:panose1 w:val="020B0503020204020204"/>
    <w:charset w:val="86"/>
    <w:family w:val="auto"/>
    <w:pitch w:val="default"/>
    <w:sig w:usb0="80000287" w:usb1="2ACF3C50" w:usb2="00000016" w:usb3="00000000" w:csb0="0004001F" w:csb1="00000000"/>
  </w:font>
  <w:font w:name="方正小标宋简体">
    <w:panose1 w:val="02000000000000000000"/>
    <w:charset w:val="86"/>
    <w:family w:val="auto"/>
    <w:pitch w:val="default"/>
    <w:sig w:usb0="00000001" w:usb1="08000000" w:usb2="00000000" w:usb3="00000000" w:csb0="00040000" w:csb1="00000000"/>
    <w:embedRegular r:id="rId5" w:fontKey="{5BB7BDB5-B351-4A28-9B1B-4C36AE41853B}"/>
  </w:font>
  <w:font w:name="楷体_GB2312">
    <w:altName w:val="楷体"/>
    <w:panose1 w:val="02010609030101010101"/>
    <w:charset w:val="86"/>
    <w:family w:val="auto"/>
    <w:pitch w:val="default"/>
    <w:sig w:usb0="00000000" w:usb1="00000000" w:usb2="00000000" w:usb3="00000000" w:csb0="00040000" w:csb1="00000000"/>
    <w:embedRegular r:id="rId6" w:fontKey="{7B55C754-28B4-4C1F-9B71-57E8939F92E5}"/>
  </w:font>
  <w:font w:name="方正仿宋_GBK">
    <w:altName w:val="微软雅黑"/>
    <w:panose1 w:val="03000509000000000000"/>
    <w:charset w:val="86"/>
    <w:family w:val="auto"/>
    <w:pitch w:val="default"/>
    <w:sig w:usb0="00000000" w:usb1="00000000" w:usb2="00000000" w:usb3="00000000" w:csb0="00040000" w:csb1="00000000"/>
    <w:embedRegular r:id="rId7" w:fontKey="{6EEB1377-CE87-4BDB-82AF-0C5C558DC3A5}"/>
  </w:font>
  <w:font w:name="楷体">
    <w:panose1 w:val="02010609060101010101"/>
    <w:charset w:val="86"/>
    <w:family w:val="modern"/>
    <w:pitch w:val="default"/>
    <w:sig w:usb0="800002BF" w:usb1="38CF7CFA" w:usb2="00000016" w:usb3="00000000" w:csb0="00040001" w:csb1="00000000"/>
    <w:embedRegular r:id="rId8" w:fontKey="{8D645373-D559-4AE5-B5DE-783C8AD2F2A7}"/>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6A003AE7">
        <w:pPr>
          <w:pStyle w:val="7"/>
          <w:jc w:val="center"/>
        </w:pPr>
        <w:r>
          <w:fldChar w:fldCharType="begin"/>
        </w:r>
        <w:r>
          <w:instrText xml:space="preserve">PAGE   \* MERGEFORMAT</w:instrText>
        </w:r>
        <w:r>
          <w:fldChar w:fldCharType="separate"/>
        </w:r>
        <w:r>
          <w:rPr>
            <w:lang w:val="zh-CN"/>
          </w:rPr>
          <w:t>13</w:t>
        </w:r>
        <w:r>
          <w:fldChar w:fldCharType="end"/>
        </w:r>
      </w:p>
    </w:sdtContent>
  </w:sdt>
  <w:p w14:paraId="48A59C8F">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pPr>
        <w:ind w:left="-13"/>
      </w:pPr>
      <w:rPr>
        <w:rFonts w:hint="eastAsia"/>
      </w:rPr>
    </w:lvl>
  </w:abstractNum>
  <w:abstractNum w:abstractNumId="2">
    <w:nsid w:val="CF092B84"/>
    <w:multiLevelType w:val="singleLevel"/>
    <w:tmpl w:val="CF092B84"/>
    <w:lvl w:ilvl="0" w:tentative="0">
      <w:start w:val="3"/>
      <w:numFmt w:val="chineseCounting"/>
      <w:suff w:val="nothing"/>
      <w:lvlText w:val="（%1）"/>
      <w:lvlJc w:val="left"/>
      <w:pPr>
        <w:ind w:left="759"/>
      </w:pPr>
      <w:rPr>
        <w:rFonts w:hint="eastAsia"/>
      </w:rPr>
    </w:lvl>
  </w:abstractNum>
  <w:abstractNum w:abstractNumId="3">
    <w:nsid w:val="0053208E"/>
    <w:multiLevelType w:val="singleLevel"/>
    <w:tmpl w:val="0053208E"/>
    <w:lvl w:ilvl="0" w:tentative="0">
      <w:start w:val="1"/>
      <w:numFmt w:val="decimal"/>
      <w:suff w:val="nothing"/>
      <w:lvlText w:val="（%1）"/>
      <w:lvlJc w:val="left"/>
    </w:lvl>
  </w:abstractNum>
  <w:abstractNum w:abstractNumId="4">
    <w:nsid w:val="03D62ECE"/>
    <w:multiLevelType w:val="singleLevel"/>
    <w:tmpl w:val="03D62ECE"/>
    <w:lvl w:ilvl="0" w:tentative="0">
      <w:start w:val="2"/>
      <w:numFmt w:val="chineseCounting"/>
      <w:suff w:val="nothing"/>
      <w:lvlText w:val="（%1）"/>
      <w:lvlJc w:val="left"/>
      <w:rPr>
        <w:rFonts w:hint="eastAsia"/>
      </w:rPr>
    </w:lvl>
  </w:abstractNum>
  <w:abstractNum w:abstractNumId="5">
    <w:nsid w:val="59ADCABA"/>
    <w:multiLevelType w:val="singleLevel"/>
    <w:tmpl w:val="59ADCABA"/>
    <w:lvl w:ilvl="0" w:tentative="0">
      <w:start w:val="3"/>
      <w:numFmt w:val="chineseCounting"/>
      <w:suff w:val="nothing"/>
      <w:lvlText w:val="%1、"/>
      <w:lvlJc w:val="left"/>
      <w:rPr>
        <w:rFonts w:hint="eastAsia"/>
      </w:rPr>
    </w:lvl>
  </w:abstractNum>
  <w:num w:numId="1">
    <w:abstractNumId w:val="3"/>
  </w:num>
  <w:num w:numId="2">
    <w:abstractNumId w:val="2"/>
  </w:num>
  <w:num w:numId="3">
    <w:abstractNumId w:val="5"/>
  </w:num>
  <w:num w:numId="4">
    <w:abstractNumId w:val="1"/>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kNDEzYjE1YTQ1ZGZhYmU4NjhhZjA4ZWM1YmExMTAifQ=="/>
  </w:docVars>
  <w:rsids>
    <w:rsidRoot w:val="00000000"/>
    <w:rsid w:val="09112EB6"/>
    <w:rsid w:val="30CD4EBB"/>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Body Text"/>
    <w:basedOn w:val="1"/>
    <w:qFormat/>
    <w:uiPriority w:val="0"/>
    <w:pPr>
      <w:spacing w:after="120"/>
    </w:pPr>
  </w:style>
  <w:style w:type="paragraph" w:styleId="6">
    <w:name w:val="Balloon Text"/>
    <w:basedOn w:val="1"/>
    <w:link w:val="22"/>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9">
    <w:name w:val="HTML Preformatted"/>
    <w:basedOn w:val="1"/>
    <w:qFormat/>
    <w:uiPriority w:val="0"/>
    <w:pPr>
      <w:jc w:val="left"/>
    </w:pPr>
    <w:rPr>
      <w:rFonts w:ascii="宋体" w:hAnsi="宋体" w:cs="宋体"/>
      <w:kern w:val="0"/>
      <w:sz w:val="24"/>
      <w:szCs w:val="24"/>
    </w:rPr>
  </w:style>
  <w:style w:type="paragraph" w:styleId="10">
    <w:name w:val="Normal (Web)"/>
    <w:basedOn w:val="1"/>
    <w:qFormat/>
    <w:uiPriority w:val="0"/>
    <w:pPr>
      <w:spacing w:before="0" w:beforeAutospacing="1" w:after="0" w:afterAutospacing="1"/>
      <w:ind w:left="0" w:right="0"/>
      <w:jc w:val="left"/>
    </w:pPr>
    <w:rPr>
      <w:kern w:val="0"/>
      <w:sz w:val="24"/>
      <w:lang w:val="en-US" w:eastAsia="zh-CN"/>
    </w:rPr>
  </w:style>
  <w:style w:type="paragraph" w:styleId="11">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2">
    <w:name w:val="Body Text First Indent"/>
    <w:basedOn w:val="5"/>
    <w:qFormat/>
    <w:uiPriority w:val="0"/>
    <w:pPr>
      <w:spacing w:after="0"/>
      <w:ind w:firstLine="200" w:firstLineChars="200"/>
    </w:pPr>
  </w:style>
  <w:style w:type="table" w:styleId="14">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6">
    <w:name w:val="Strong"/>
    <w:basedOn w:val="15"/>
    <w:qFormat/>
    <w:uiPriority w:val="0"/>
    <w:rPr>
      <w:b/>
      <w:bCs/>
    </w:rPr>
  </w:style>
  <w:style w:type="paragraph" w:customStyle="1" w:styleId="17">
    <w:name w:val="Comment Text"/>
    <w:basedOn w:val="1"/>
    <w:link w:val="24"/>
    <w:qFormat/>
    <w:uiPriority w:val="0"/>
    <w:pPr>
      <w:jc w:val="left"/>
    </w:pPr>
  </w:style>
  <w:style w:type="paragraph" w:customStyle="1" w:styleId="18">
    <w:name w:val="Comment Subject"/>
    <w:basedOn w:val="17"/>
    <w:next w:val="17"/>
    <w:link w:val="25"/>
    <w:qFormat/>
    <w:uiPriority w:val="0"/>
    <w:rPr>
      <w:b/>
      <w:bCs/>
    </w:rPr>
  </w:style>
  <w:style w:type="character" w:customStyle="1" w:styleId="19">
    <w:name w:val="Comment Reference"/>
    <w:basedOn w:val="15"/>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5"/>
    <w:link w:val="6"/>
    <w:qFormat/>
    <w:uiPriority w:val="0"/>
    <w:rPr>
      <w:rFonts w:ascii="Times New Roman" w:hAnsi="Times New Roman" w:eastAsia="宋体" w:cs="Times New Roman"/>
      <w:kern w:val="2"/>
      <w:sz w:val="18"/>
      <w:szCs w:val="18"/>
    </w:rPr>
  </w:style>
  <w:style w:type="character" w:customStyle="1" w:styleId="23">
    <w:name w:val="页眉 字符"/>
    <w:basedOn w:val="15"/>
    <w:link w:val="8"/>
    <w:qFormat/>
    <w:uiPriority w:val="0"/>
    <w:rPr>
      <w:rFonts w:ascii="Times New Roman" w:hAnsi="Times New Roman" w:eastAsia="宋体" w:cs="Times New Roman"/>
      <w:kern w:val="2"/>
      <w:sz w:val="18"/>
      <w:szCs w:val="18"/>
    </w:rPr>
  </w:style>
  <w:style w:type="character" w:customStyle="1" w:styleId="24">
    <w:name w:val="批注文字 字符"/>
    <w:basedOn w:val="15"/>
    <w:link w:val="17"/>
    <w:qFormat/>
    <w:uiPriority w:val="0"/>
    <w:rPr>
      <w:rFonts w:ascii="Times New Roman" w:hAnsi="Times New Roman" w:eastAsia="宋体" w:cs="Times New Roman"/>
      <w:kern w:val="2"/>
      <w:sz w:val="21"/>
      <w:szCs w:val="24"/>
    </w:rPr>
  </w:style>
  <w:style w:type="character" w:customStyle="1" w:styleId="25">
    <w:name w:val="批注主题 字符"/>
    <w:basedOn w:val="24"/>
    <w:link w:val="18"/>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79CD3A59230345CDA03BC8348C59D5A8</vt:lpwstr>
  </property>
  <property fmtid="{D5CDD505-2E9C-101B-9397-08002B2CF9AE}" pid="4" name="KSOTemplateDocerSaveRecord">
    <vt:lpwstr>eyJoZGlkIjoiOGY4ZjllZTc5NjFlZmUyNTcxNjBmMzdkOGZkNDIyZDciLCJ1c2VySWQiOiIxMTQzMDA1NzQ2In0=</vt:lpwstr>
  </property>
</Properties>
</file>

<file path=customXml/itemProps1.xml><?xml version="1.0" encoding="utf-8"?>
<ds:datastoreItem xmlns:ds="http://schemas.openxmlformats.org/officeDocument/2006/customXml" ds:itemID="{bb1be452-165f-4414-87d4-175d81232edd}">
  <ds:schemaRefs/>
</ds:datastoreItem>
</file>

<file path=docProps/app.xml><?xml version="1.0" encoding="utf-8"?>
<Properties xmlns="http://schemas.openxmlformats.org/officeDocument/2006/extended-properties" xmlns:vt="http://schemas.openxmlformats.org/officeDocument/2006/docPropsVTypes">
  <Template>Normal</Template>
  <Pages>23</Pages>
  <Words>12659</Words>
  <Characters>13101</Characters>
  <Lines>58</Lines>
  <Paragraphs>16</Paragraphs>
  <TotalTime>3</TotalTime>
  <ScaleCrop>false</ScaleCrop>
  <LinksUpToDate>false</LinksUpToDate>
  <CharactersWithSpaces>13133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忆</cp:lastModifiedBy>
  <dcterms:modified xsi:type="dcterms:W3CDTF">2025-11-13T05:26:17Z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79CD3A59230345CDA03BC8348C59D5A8</vt:lpwstr>
  </property>
  <property fmtid="{D5CDD505-2E9C-101B-9397-08002B2CF9AE}" pid="4" name="KSOTemplateDocerSaveRecord">
    <vt:lpwstr>eyJoZGlkIjoiZWE5M2E4OTRkNmEwYTUyNjM2Mzg3NThiMTA5NmIzZWUiLCJ1c2VySWQiOiI0OTMxMTE3MjUifQ==</vt:lpwstr>
  </property>
</Properties>
</file>