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特克斯县商务和工业信息化局2024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92E32AA">
      <w:r>
        <w:br w:type="page"/>
      </w:r>
    </w:p>
    <w:p w14:paraId="5466E638">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896BFD5">
      <w:pPr>
        <w:spacing w:line="640" w:lineRule="exact"/>
        <w:ind w:firstLine="640"/>
        <w:jc w:val="both"/>
        <w:outlineLvl w:val="2"/>
      </w:pPr>
      <w:r>
        <w:rPr>
          <w:rFonts w:ascii="黑体" w:hAnsi="黑体" w:eastAsia="黑体"/>
          <w:sz w:val="32"/>
        </w:rPr>
        <w:t>一、主要职能</w:t>
      </w:r>
    </w:p>
    <w:p w14:paraId="110098F5">
      <w:pPr>
        <w:spacing w:line="580" w:lineRule="exact"/>
        <w:ind w:firstLine="640"/>
        <w:jc w:val="both"/>
      </w:pPr>
      <w:r>
        <w:rPr>
          <w:rFonts w:ascii="仿宋_GB2312" w:hAnsi="仿宋_GB2312" w:eastAsia="仿宋_GB2312"/>
          <w:sz w:val="32"/>
        </w:rPr>
        <w:t>（一）贯彻执行上级有关商务流通、工业信息化、招商引资方面的</w:t>
      </w:r>
      <w:r>
        <w:rPr>
          <w:rFonts w:hint="eastAsia" w:ascii="仿宋_GB2312" w:hAnsi="仿宋_GB2312" w:eastAsia="仿宋_GB2312"/>
          <w:sz w:val="32"/>
          <w:lang w:eastAsia="zh-CN"/>
        </w:rPr>
        <w:t>法律法规</w:t>
      </w:r>
      <w:r>
        <w:rPr>
          <w:rFonts w:ascii="仿宋_GB2312" w:hAnsi="仿宋_GB2312" w:eastAsia="仿宋_GB2312"/>
          <w:sz w:val="32"/>
        </w:rPr>
        <w:t>和方针政策；制定实施符合特克斯县实际的商务流通、工业信息化、招商引资计划。</w:t>
      </w:r>
    </w:p>
    <w:p w14:paraId="40A51018">
      <w:pPr>
        <w:spacing w:line="580" w:lineRule="exact"/>
        <w:ind w:firstLine="640"/>
        <w:jc w:val="both"/>
      </w:pPr>
      <w:r>
        <w:rPr>
          <w:rFonts w:ascii="仿宋_GB2312" w:hAnsi="仿宋_GB2312" w:eastAsia="仿宋_GB2312"/>
          <w:sz w:val="32"/>
        </w:rPr>
        <w:t>（二）监测分析特克斯县工业经济运行态势；统计并发布相关信息，进行预测预警和信息指导；协调解决工业经济运行中的重大问题并提出政策建议；负责协调生产要素供应保障等重大问题；协调落实寄递行业安全管理相关政策法规措施；负责产业安全有关工作。</w:t>
      </w:r>
    </w:p>
    <w:p w14:paraId="2E45CE24">
      <w:pPr>
        <w:spacing w:line="580" w:lineRule="exact"/>
        <w:ind w:firstLine="640"/>
        <w:jc w:val="both"/>
      </w:pPr>
      <w:r>
        <w:rPr>
          <w:rFonts w:ascii="仿宋_GB2312" w:hAnsi="仿宋_GB2312" w:eastAsia="仿宋_GB2312"/>
          <w:sz w:val="32"/>
        </w:rPr>
        <w:t>（三）贯彻上级行业专项规划、行业法规、技术规范和标准；负责盐业行业管理；负责企业园区建设管理工作；负责冶金、有色金属、黄金、稀土、轻工、纺织、机电、建材等行业管理。</w:t>
      </w:r>
    </w:p>
    <w:p w14:paraId="48B75A1E">
      <w:pPr>
        <w:spacing w:line="580" w:lineRule="exact"/>
        <w:ind w:firstLine="640"/>
        <w:jc w:val="both"/>
      </w:pPr>
      <w:r>
        <w:rPr>
          <w:rFonts w:ascii="仿宋_GB2312" w:hAnsi="仿宋_GB2312" w:eastAsia="仿宋_GB2312"/>
          <w:sz w:val="32"/>
        </w:rPr>
        <w:t>（四）负责组织、协调招商引资活动；完善招商引资服务体系；负责招商引资信息的收集、分析、发布等工作；负责招商引资统计工作；组织和服务企业参加各类会展。</w:t>
      </w:r>
    </w:p>
    <w:p w14:paraId="397BACD1">
      <w:pPr>
        <w:spacing w:line="580" w:lineRule="exact"/>
        <w:ind w:firstLine="640"/>
        <w:jc w:val="both"/>
      </w:pPr>
      <w:r>
        <w:rPr>
          <w:rFonts w:ascii="仿宋_GB2312" w:hAnsi="仿宋_GB2312" w:eastAsia="仿宋_GB2312"/>
          <w:sz w:val="32"/>
        </w:rPr>
        <w:t>（五）贯彻上级有关工业和信息化技术改造投资的政策措施；研究和规划技术改造项目投资方向和布局；负责推进信息化工作，负责企业信息化和信息技术的推广应用工作，推进企业信息化和工业化深度融合；统筹指导智慧城市、服务业信息化、电子商务、物联网产业发展管理工作。</w:t>
      </w:r>
    </w:p>
    <w:p w14:paraId="11C8DA2E">
      <w:pPr>
        <w:spacing w:line="580" w:lineRule="exact"/>
        <w:ind w:firstLine="640"/>
        <w:jc w:val="both"/>
      </w:pPr>
      <w:r>
        <w:rPr>
          <w:rFonts w:ascii="仿宋_GB2312" w:hAnsi="仿宋_GB2312" w:eastAsia="仿宋_GB2312"/>
          <w:sz w:val="32"/>
        </w:rPr>
        <w:t>（六）指导工业和信息化领域体制改革和管理创新；拟定促进中小企业发展的相关政策措施；负责对中小企业的宏观指导和服务，指导中小企业改革与发展，建立健全服务体系；负责工业和信息化领域人员的培训；负责组织协调减轻企业负担工作。</w:t>
      </w:r>
    </w:p>
    <w:p w14:paraId="70CF1C6E">
      <w:pPr>
        <w:spacing w:line="580" w:lineRule="exact"/>
        <w:ind w:firstLine="640"/>
        <w:jc w:val="both"/>
      </w:pPr>
      <w:r>
        <w:rPr>
          <w:rFonts w:ascii="仿宋_GB2312" w:hAnsi="仿宋_GB2312" w:eastAsia="仿宋_GB2312"/>
          <w:sz w:val="32"/>
        </w:rPr>
        <w:t>（七）贯彻落实工业领域绿色发展、能源节约和综合利用相关政策；指导工业节能减排协调和监督管理工作，协助做好工业节能执法监察、能效管理工作；负责工业领域节能降耗专项资金申报。</w:t>
      </w:r>
    </w:p>
    <w:p w14:paraId="49AF6279">
      <w:pPr>
        <w:spacing w:line="580" w:lineRule="exact"/>
        <w:ind w:firstLine="640"/>
        <w:jc w:val="both"/>
      </w:pPr>
      <w:r>
        <w:rPr>
          <w:rFonts w:ascii="仿宋_GB2312" w:hAnsi="仿宋_GB2312" w:eastAsia="仿宋_GB2312"/>
          <w:sz w:val="32"/>
        </w:rPr>
        <w:t>（八）配合公安、应急等部门对民爆行业及民用爆炸物品生产、销售进行依法监督管理；指导监督工业领域安全生产工作。</w:t>
      </w:r>
    </w:p>
    <w:p w14:paraId="3EA0E504">
      <w:pPr>
        <w:spacing w:line="580" w:lineRule="exact"/>
        <w:ind w:firstLine="640"/>
        <w:jc w:val="both"/>
      </w:pPr>
      <w:r>
        <w:rPr>
          <w:rFonts w:ascii="仿宋_GB2312" w:hAnsi="仿宋_GB2312" w:eastAsia="仿宋_GB2312"/>
          <w:sz w:val="32"/>
        </w:rPr>
        <w:t>（九）组织执行国家电力行业技术规范和标准；负责制定年度电力行业运行调控目标；组织协调解决电力生产、运营和供应中的重大问题；监管电力调度工作。</w:t>
      </w:r>
    </w:p>
    <w:p w14:paraId="6ADEEC29">
      <w:pPr>
        <w:spacing w:line="580" w:lineRule="exact"/>
        <w:ind w:firstLine="640"/>
        <w:jc w:val="both"/>
      </w:pPr>
      <w:r>
        <w:rPr>
          <w:rFonts w:ascii="仿宋_GB2312" w:hAnsi="仿宋_GB2312" w:eastAsia="仿宋_GB2312"/>
          <w:sz w:val="32"/>
        </w:rPr>
        <w:t>（十）负责重要消费品市场调控和重要生产资料流通管理；参与建立健全生活必需品市场供应应急管理</w:t>
      </w:r>
      <w:r>
        <w:rPr>
          <w:rFonts w:hint="eastAsia" w:ascii="仿宋_GB2312" w:hAnsi="仿宋_GB2312" w:eastAsia="仿宋_GB2312"/>
          <w:sz w:val="32"/>
          <w:lang w:eastAsia="zh-CN"/>
        </w:rPr>
        <w:t>机制；</w:t>
      </w:r>
      <w:r>
        <w:rPr>
          <w:rFonts w:ascii="仿宋_GB2312" w:hAnsi="仿宋_GB2312" w:eastAsia="仿宋_GB2312"/>
          <w:sz w:val="32"/>
        </w:rPr>
        <w:t>参与监测分析市场运行、商品供求状况，并进行预测预警和市场调控；监管成品油零售环节。</w:t>
      </w:r>
    </w:p>
    <w:p w14:paraId="62C19A83">
      <w:pPr>
        <w:spacing w:line="580" w:lineRule="exact"/>
        <w:ind w:firstLine="640"/>
        <w:jc w:val="both"/>
      </w:pPr>
      <w:r>
        <w:rPr>
          <w:rFonts w:ascii="仿宋_GB2312" w:hAnsi="仿宋_GB2312" w:eastAsia="仿宋_GB2312"/>
          <w:sz w:val="32"/>
        </w:rPr>
        <w:t>（十一）贯彻执行规范市场运行、流通秩序的政策，推动商务领域信用建设；按有关规定对特殊流通行业进行监督管理。</w:t>
      </w:r>
    </w:p>
    <w:p w14:paraId="4FC4D9C5">
      <w:pPr>
        <w:spacing w:line="580" w:lineRule="exact"/>
        <w:ind w:firstLine="640"/>
        <w:jc w:val="both"/>
      </w:pPr>
      <w:r>
        <w:rPr>
          <w:rFonts w:ascii="仿宋_GB2312" w:hAnsi="仿宋_GB2312" w:eastAsia="仿宋_GB2312"/>
          <w:sz w:val="32"/>
        </w:rPr>
        <w:t>（十二）按有关规定对汽车、二手车流通行业进行监督管理，对报废汽车回收（含拆解）活动进行指导、监督。</w:t>
      </w:r>
    </w:p>
    <w:p w14:paraId="12DE5FA0">
      <w:pPr>
        <w:spacing w:line="580" w:lineRule="exact"/>
        <w:ind w:firstLine="640"/>
        <w:jc w:val="both"/>
      </w:pPr>
      <w:r>
        <w:rPr>
          <w:rFonts w:ascii="仿宋_GB2312" w:hAnsi="仿宋_GB2312" w:eastAsia="仿宋_GB2312"/>
          <w:sz w:val="32"/>
        </w:rPr>
        <w:t>（十三）负责对外经济合作工作；依法参与实施对外贸易调查和产业损害调查；配合相关部门指导协调产业安全应对工作。</w:t>
      </w:r>
    </w:p>
    <w:p w14:paraId="0EA5B741">
      <w:pPr>
        <w:spacing w:line="580" w:lineRule="exact"/>
        <w:ind w:firstLine="640"/>
        <w:jc w:val="both"/>
      </w:pPr>
      <w:r>
        <w:rPr>
          <w:rFonts w:ascii="仿宋_GB2312" w:hAnsi="仿宋_GB2312" w:eastAsia="仿宋_GB2312"/>
          <w:sz w:val="32"/>
        </w:rPr>
        <w:t>（十四）贯彻落实国家关于鼓励发展城镇经济和少数民族特需用品生产的政策法规；指导监督少数民族特需用品生产企业依法经营。</w:t>
      </w:r>
    </w:p>
    <w:p w14:paraId="51961518">
      <w:pPr>
        <w:spacing w:line="580" w:lineRule="exact"/>
        <w:ind w:firstLine="640"/>
        <w:jc w:val="both"/>
      </w:pPr>
      <w:r>
        <w:rPr>
          <w:rFonts w:ascii="仿宋_GB2312" w:hAnsi="仿宋_GB2312" w:eastAsia="仿宋_GB2312"/>
          <w:sz w:val="32"/>
        </w:rPr>
        <w:t>（十五）完成自治州工业信息化局和自治州商务局以及特克斯县委、特克斯县人民政府交办的其他任务。</w:t>
      </w:r>
    </w:p>
    <w:p w14:paraId="2A69FA06">
      <w:pPr>
        <w:spacing w:line="640" w:lineRule="exact"/>
        <w:ind w:firstLine="640"/>
        <w:jc w:val="both"/>
        <w:outlineLvl w:val="2"/>
      </w:pPr>
      <w:r>
        <w:rPr>
          <w:rFonts w:ascii="黑体" w:hAnsi="黑体" w:eastAsia="黑体"/>
          <w:sz w:val="32"/>
        </w:rPr>
        <w:t>二、机构设置及人员情况</w:t>
      </w:r>
    </w:p>
    <w:p w14:paraId="42D32C95">
      <w:pPr>
        <w:spacing w:line="580" w:lineRule="exact"/>
        <w:ind w:firstLine="640"/>
        <w:jc w:val="both"/>
      </w:pPr>
      <w:r>
        <w:rPr>
          <w:rFonts w:ascii="仿宋_GB2312" w:hAnsi="仿宋_GB2312" w:eastAsia="仿宋_GB2312"/>
          <w:sz w:val="32"/>
        </w:rPr>
        <w:t>特克斯县商务和工业信息化局2024年度，实有人数54人，其中：在职人员27人，增加4人；离休人员0人，增加0人；退休人员27人,增加1人。</w:t>
      </w:r>
    </w:p>
    <w:p w14:paraId="3B1C5777">
      <w:pPr>
        <w:spacing w:line="580" w:lineRule="exact"/>
        <w:ind w:firstLine="640"/>
        <w:jc w:val="both"/>
      </w:pPr>
      <w:r>
        <w:rPr>
          <w:rFonts w:ascii="仿宋_GB2312" w:hAnsi="仿宋_GB2312" w:eastAsia="仿宋_GB2312"/>
          <w:sz w:val="32"/>
        </w:rPr>
        <w:t>特克斯县商务和工业信息化局无下属预算</w:t>
      </w:r>
      <w:r>
        <w:rPr>
          <w:rFonts w:hint="eastAsia" w:ascii="仿宋_GB2312" w:hAnsi="仿宋_GB2312" w:eastAsia="仿宋_GB2312"/>
          <w:sz w:val="32"/>
          <w:lang w:eastAsia="zh-CN"/>
        </w:rPr>
        <w:t>单位</w:t>
      </w:r>
      <w:r>
        <w:rPr>
          <w:rFonts w:ascii="仿宋_GB2312" w:hAnsi="仿宋_GB2312" w:eastAsia="仿宋_GB2312"/>
          <w:sz w:val="32"/>
        </w:rPr>
        <w:t>，下设2个科室，分别是：办公室、综合业务科。</w:t>
      </w:r>
    </w:p>
    <w:p w14:paraId="31E7F1AE">
      <w:r>
        <w:br w:type="page"/>
      </w:r>
    </w:p>
    <w:p w14:paraId="2C89A81F">
      <w:pPr>
        <w:spacing w:line="240" w:lineRule="auto"/>
        <w:jc w:val="center"/>
        <w:outlineLvl w:val="1"/>
      </w:pPr>
      <w:r>
        <w:rPr>
          <w:rFonts w:ascii="黑体" w:hAnsi="黑体" w:eastAsia="黑体"/>
          <w:sz w:val="32"/>
        </w:rPr>
        <w:t>第二部分 部门决算情况说明</w:t>
      </w:r>
    </w:p>
    <w:p w14:paraId="7DFA4BAA">
      <w:pPr>
        <w:spacing w:line="640" w:lineRule="exact"/>
        <w:ind w:firstLine="640"/>
        <w:jc w:val="both"/>
        <w:outlineLvl w:val="2"/>
      </w:pPr>
      <w:r>
        <w:rPr>
          <w:rFonts w:ascii="黑体" w:hAnsi="黑体" w:eastAsia="黑体"/>
          <w:sz w:val="32"/>
        </w:rPr>
        <w:t>一、收入支出决算总体情况说明</w:t>
      </w:r>
    </w:p>
    <w:p w14:paraId="14C10B4F">
      <w:pPr>
        <w:spacing w:line="580" w:lineRule="exact"/>
        <w:ind w:firstLine="640"/>
        <w:jc w:val="both"/>
      </w:pPr>
      <w:r>
        <w:rPr>
          <w:rFonts w:ascii="仿宋_GB2312" w:hAnsi="仿宋_GB2312" w:eastAsia="仿宋_GB2312"/>
          <w:b/>
          <w:sz w:val="32"/>
        </w:rPr>
        <w:t>2024年度收入总计488.97万元，</w:t>
      </w:r>
      <w:r>
        <w:rPr>
          <w:rFonts w:ascii="仿宋_GB2312" w:hAnsi="仿宋_GB2312" w:eastAsia="仿宋_GB2312"/>
          <w:b w:val="0"/>
          <w:sz w:val="32"/>
        </w:rPr>
        <w:t>其中：本年收入合计488.97万元，使用非财政拨款结余（含专用结余）0.00万元，年初结转和结余0.00万元。</w:t>
      </w:r>
    </w:p>
    <w:p w14:paraId="6953216D">
      <w:pPr>
        <w:spacing w:line="580" w:lineRule="exact"/>
        <w:ind w:firstLine="640"/>
        <w:jc w:val="both"/>
      </w:pPr>
      <w:r>
        <w:rPr>
          <w:rFonts w:ascii="仿宋_GB2312" w:hAnsi="仿宋_GB2312" w:eastAsia="仿宋_GB2312"/>
          <w:b/>
          <w:sz w:val="32"/>
        </w:rPr>
        <w:t>2024年度支出总计488.97万元，</w:t>
      </w:r>
      <w:r>
        <w:rPr>
          <w:rFonts w:ascii="仿宋_GB2312" w:hAnsi="仿宋_GB2312" w:eastAsia="仿宋_GB2312"/>
          <w:b w:val="0"/>
          <w:sz w:val="32"/>
        </w:rPr>
        <w:t>其中：本年支出合计488.97万元，结余分配0.00万元，年末结转和结余0.00万元。</w:t>
      </w:r>
    </w:p>
    <w:p w14:paraId="07960A46">
      <w:pPr>
        <w:spacing w:line="580" w:lineRule="exact"/>
        <w:ind w:firstLine="640"/>
        <w:jc w:val="both"/>
      </w:pPr>
      <w:r>
        <w:rPr>
          <w:rFonts w:ascii="仿宋_GB2312" w:hAnsi="仿宋_GB2312" w:eastAsia="仿宋_GB2312"/>
          <w:b w:val="0"/>
          <w:sz w:val="32"/>
        </w:rPr>
        <w:t>收入支出总体与上年相比，减少309.07万元，下降38.73%，主要原因是：本年对现代农牧业优势资源综合开发示范园项目、农副产品加工园一期等项目资金较上年减少。</w:t>
      </w:r>
    </w:p>
    <w:p w14:paraId="00BCA5F8">
      <w:pPr>
        <w:spacing w:line="640" w:lineRule="exact"/>
        <w:ind w:firstLine="640"/>
        <w:jc w:val="both"/>
        <w:outlineLvl w:val="2"/>
      </w:pPr>
      <w:r>
        <w:rPr>
          <w:rFonts w:ascii="黑体" w:hAnsi="黑体" w:eastAsia="黑体"/>
          <w:sz w:val="32"/>
        </w:rPr>
        <w:t>二、收入决算情况说明</w:t>
      </w:r>
    </w:p>
    <w:p w14:paraId="5AD671C8">
      <w:pPr>
        <w:spacing w:line="580" w:lineRule="exact"/>
        <w:ind w:firstLine="640"/>
        <w:jc w:val="both"/>
      </w:pPr>
      <w:r>
        <w:rPr>
          <w:rFonts w:ascii="仿宋_GB2312" w:hAnsi="仿宋_GB2312" w:eastAsia="仿宋_GB2312"/>
          <w:b/>
          <w:sz w:val="32"/>
        </w:rPr>
        <w:t>本年收入488.97万元，</w:t>
      </w:r>
      <w:r>
        <w:rPr>
          <w:rFonts w:ascii="仿宋_GB2312" w:hAnsi="仿宋_GB2312" w:eastAsia="仿宋_GB2312"/>
          <w:b w:val="0"/>
          <w:sz w:val="32"/>
        </w:rPr>
        <w:t>其中：财政拨款收入428.94万元，占87.72%；上级补助收入0.00万元，占0.00%；事业收入0.00万元，占0.00%；经营收入0.00万元，占0.00%；附属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上缴收入0.00万元，占0.00%；其他收入60.03万元，占12.28%。</w:t>
      </w:r>
    </w:p>
    <w:p w14:paraId="7D8D4AD4">
      <w:pPr>
        <w:spacing w:line="640" w:lineRule="exact"/>
        <w:ind w:firstLine="640"/>
        <w:jc w:val="both"/>
        <w:outlineLvl w:val="2"/>
      </w:pPr>
      <w:r>
        <w:rPr>
          <w:rFonts w:ascii="黑体" w:hAnsi="黑体" w:eastAsia="黑体"/>
          <w:sz w:val="32"/>
        </w:rPr>
        <w:t>三、支出决算情况说明</w:t>
      </w:r>
    </w:p>
    <w:p w14:paraId="03EC4D20">
      <w:pPr>
        <w:spacing w:line="580" w:lineRule="exact"/>
        <w:ind w:firstLine="640"/>
        <w:jc w:val="both"/>
      </w:pPr>
      <w:r>
        <w:rPr>
          <w:rFonts w:ascii="仿宋_GB2312" w:hAnsi="仿宋_GB2312" w:eastAsia="仿宋_GB2312"/>
          <w:b/>
          <w:sz w:val="32"/>
        </w:rPr>
        <w:t>本年支出488.97万元，</w:t>
      </w:r>
      <w:r>
        <w:rPr>
          <w:rFonts w:ascii="仿宋_GB2312" w:hAnsi="仿宋_GB2312" w:eastAsia="仿宋_GB2312"/>
          <w:b w:val="0"/>
          <w:sz w:val="32"/>
        </w:rPr>
        <w:t>其中：基本支出428.97万元，占87.73%；项目支出60.00万元，占12.27%；上缴上级支出0.00万元，占0.00%；经营支出0.00万元，占0.00%；对附属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6483AE3">
      <w:pPr>
        <w:spacing w:line="640" w:lineRule="exact"/>
        <w:ind w:firstLine="640"/>
        <w:jc w:val="both"/>
        <w:outlineLvl w:val="2"/>
      </w:pPr>
      <w:r>
        <w:rPr>
          <w:rFonts w:ascii="黑体" w:hAnsi="黑体" w:eastAsia="黑体"/>
          <w:sz w:val="32"/>
        </w:rPr>
        <w:t>四、财政拨款收入支出决算总体情况说明</w:t>
      </w:r>
    </w:p>
    <w:p w14:paraId="099B1A36">
      <w:pPr>
        <w:spacing w:line="580" w:lineRule="exact"/>
        <w:ind w:firstLine="640"/>
        <w:jc w:val="both"/>
      </w:pPr>
      <w:r>
        <w:rPr>
          <w:rFonts w:ascii="仿宋_GB2312" w:hAnsi="仿宋_GB2312" w:eastAsia="仿宋_GB2312"/>
          <w:b/>
          <w:sz w:val="32"/>
        </w:rPr>
        <w:t>2024年度财政拨款收入总计428.94万元，</w:t>
      </w:r>
      <w:r>
        <w:rPr>
          <w:rFonts w:ascii="仿宋_GB2312" w:hAnsi="仿宋_GB2312" w:eastAsia="仿宋_GB2312"/>
          <w:b w:val="0"/>
          <w:sz w:val="32"/>
        </w:rPr>
        <w:t>其中：年初财政拨款结转和结余0.00万元，本年财政拨款收入428.94万元。</w:t>
      </w:r>
      <w:r>
        <w:rPr>
          <w:rFonts w:ascii="仿宋_GB2312" w:hAnsi="仿宋_GB2312" w:eastAsia="仿宋_GB2312"/>
          <w:b/>
          <w:sz w:val="32"/>
        </w:rPr>
        <w:t>财政拨款支出总计428.94万元，</w:t>
      </w:r>
      <w:r>
        <w:rPr>
          <w:rFonts w:ascii="仿宋_GB2312" w:hAnsi="仿宋_GB2312" w:eastAsia="仿宋_GB2312"/>
          <w:b w:val="0"/>
          <w:sz w:val="32"/>
        </w:rPr>
        <w:t>其中：年末财政拨款结转和结余0.00万元，本年财政拨款支出428.94万元。</w:t>
      </w:r>
    </w:p>
    <w:p w14:paraId="29822D9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减少369.10万元，下降46.25%，主要原因是：本年对现代农牧业优势资源综合开发示范园项目、农副产品加工园一期等项目资金较上年减少。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年初预算数373.09万元，决算数428.94万元，预决算差异率14.97%，主要原因是：本年在职人员增加，年中追加人员经费及人员工资、社保、公积金基数调增部分资金，导致预决算存在差异。</w:t>
      </w:r>
    </w:p>
    <w:p w14:paraId="470AC495">
      <w:pPr>
        <w:spacing w:line="640" w:lineRule="exact"/>
        <w:ind w:firstLine="640"/>
        <w:jc w:val="both"/>
        <w:outlineLvl w:val="2"/>
      </w:pPr>
      <w:r>
        <w:rPr>
          <w:rFonts w:ascii="黑体" w:hAnsi="黑体" w:eastAsia="黑体"/>
          <w:sz w:val="32"/>
        </w:rPr>
        <w:t>五、一般公共预算财政拨款支出决算情况说明</w:t>
      </w:r>
    </w:p>
    <w:p w14:paraId="53562CD4">
      <w:pPr>
        <w:spacing w:line="640" w:lineRule="exact"/>
        <w:ind w:firstLine="640"/>
        <w:jc w:val="both"/>
        <w:outlineLvl w:val="3"/>
      </w:pPr>
      <w:r>
        <w:rPr>
          <w:rFonts w:ascii="楷体_GB2312" w:hAnsi="楷体_GB2312" w:eastAsia="楷体_GB2312"/>
          <w:b/>
          <w:sz w:val="32"/>
        </w:rPr>
        <w:t>（一）一般公共预算财政拨款支出决算总体情况</w:t>
      </w:r>
    </w:p>
    <w:p w14:paraId="12936F88">
      <w:pPr>
        <w:spacing w:line="580" w:lineRule="exact"/>
        <w:ind w:firstLine="640"/>
        <w:jc w:val="both"/>
      </w:pPr>
      <w:r>
        <w:rPr>
          <w:rFonts w:ascii="仿宋_GB2312" w:hAnsi="仿宋_GB2312" w:eastAsia="仿宋_GB2312"/>
          <w:b/>
          <w:sz w:val="32"/>
        </w:rPr>
        <w:t>2024年度一般公共预算财政拨款支出428.94万元，</w:t>
      </w:r>
      <w:r>
        <w:rPr>
          <w:rFonts w:ascii="仿宋_GB2312" w:hAnsi="仿宋_GB2312" w:eastAsia="仿宋_GB2312"/>
          <w:b w:val="0"/>
          <w:sz w:val="32"/>
        </w:rPr>
        <w:t>占本年支出合计的87.72%。</w:t>
      </w:r>
      <w:r>
        <w:rPr>
          <w:rFonts w:ascii="仿宋_GB2312" w:hAnsi="仿宋_GB2312" w:eastAsia="仿宋_GB2312"/>
          <w:b/>
          <w:sz w:val="32"/>
        </w:rPr>
        <w:t>与上年相比，</w:t>
      </w:r>
      <w:r>
        <w:rPr>
          <w:rFonts w:ascii="仿宋_GB2312" w:hAnsi="仿宋_GB2312" w:eastAsia="仿宋_GB2312"/>
          <w:b w:val="0"/>
          <w:sz w:val="32"/>
        </w:rPr>
        <w:t>减少369.10万元，下降46.25%，主要原因是：本年对现代农牧业优势资源综合开发示范园项目、农副产品加工园一期等项目资金较上年减少。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年初预算数373.09万元，决算数428.94万元，预决算差异率14.97%，主要原因是：本年在职人员增加，年中追加人员经费及人员工资、社保、公积金基数调增部分资金，导致预决算存在差异。</w:t>
      </w:r>
    </w:p>
    <w:p w14:paraId="0394D32A">
      <w:pPr>
        <w:spacing w:line="640" w:lineRule="exact"/>
        <w:ind w:firstLine="640"/>
        <w:jc w:val="both"/>
        <w:outlineLvl w:val="3"/>
      </w:pPr>
      <w:r>
        <w:rPr>
          <w:rFonts w:ascii="楷体_GB2312" w:hAnsi="楷体_GB2312" w:eastAsia="楷体_GB2312"/>
          <w:b/>
          <w:sz w:val="32"/>
        </w:rPr>
        <w:t>（二）一般公共预算财政拨款支出决算结构情况</w:t>
      </w:r>
    </w:p>
    <w:p w14:paraId="1997B128">
      <w:pPr>
        <w:spacing w:line="580" w:lineRule="exact"/>
        <w:ind w:firstLine="640"/>
        <w:jc w:val="both"/>
      </w:pPr>
      <w:r>
        <w:rPr>
          <w:rFonts w:ascii="仿宋_GB2312" w:hAnsi="仿宋_GB2312" w:eastAsia="仿宋_GB2312"/>
          <w:b w:val="0"/>
          <w:sz w:val="32"/>
        </w:rPr>
        <w:t>1.一般公共服务支出(类)302.82万元,占70.60%。</w:t>
      </w:r>
    </w:p>
    <w:p w14:paraId="2AF7694E">
      <w:pPr>
        <w:spacing w:line="580" w:lineRule="exact"/>
        <w:ind w:firstLine="640"/>
        <w:jc w:val="both"/>
      </w:pPr>
      <w:r>
        <w:rPr>
          <w:rFonts w:ascii="仿宋_GB2312" w:hAnsi="仿宋_GB2312" w:eastAsia="仿宋_GB2312"/>
          <w:b w:val="0"/>
          <w:sz w:val="32"/>
        </w:rPr>
        <w:t>2.社会保障和就业支出(类)79.27万元,占18.48%。</w:t>
      </w:r>
    </w:p>
    <w:p w14:paraId="0463BCB8">
      <w:pPr>
        <w:spacing w:line="580" w:lineRule="exact"/>
        <w:ind w:firstLine="640"/>
        <w:jc w:val="both"/>
      </w:pPr>
      <w:r>
        <w:rPr>
          <w:rFonts w:ascii="仿宋_GB2312" w:hAnsi="仿宋_GB2312" w:eastAsia="仿宋_GB2312"/>
          <w:b w:val="0"/>
          <w:sz w:val="32"/>
        </w:rPr>
        <w:t>3.卫生健康支出(类)16.81万元,占3.92%。</w:t>
      </w:r>
    </w:p>
    <w:p w14:paraId="41A8AA98">
      <w:pPr>
        <w:spacing w:line="580" w:lineRule="exact"/>
        <w:ind w:firstLine="640"/>
        <w:jc w:val="both"/>
      </w:pPr>
      <w:r>
        <w:rPr>
          <w:rFonts w:ascii="仿宋_GB2312" w:hAnsi="仿宋_GB2312" w:eastAsia="仿宋_GB2312"/>
          <w:b w:val="0"/>
          <w:sz w:val="32"/>
        </w:rPr>
        <w:t>4.住房保障支出(类)30.04万元,占7.00%。</w:t>
      </w:r>
    </w:p>
    <w:p w14:paraId="3A135010">
      <w:pPr>
        <w:spacing w:line="640" w:lineRule="exact"/>
        <w:ind w:firstLine="640"/>
        <w:jc w:val="both"/>
        <w:outlineLvl w:val="3"/>
      </w:pPr>
      <w:r>
        <w:rPr>
          <w:rFonts w:ascii="楷体_GB2312" w:hAnsi="楷体_GB2312" w:eastAsia="楷体_GB2312"/>
          <w:b/>
          <w:sz w:val="32"/>
        </w:rPr>
        <w:t>（三）一般公共预算财政拨款支出决算具体情况</w:t>
      </w:r>
    </w:p>
    <w:p w14:paraId="272C6E67">
      <w:pPr>
        <w:spacing w:line="580" w:lineRule="exact"/>
        <w:ind w:firstLine="640"/>
        <w:jc w:val="both"/>
      </w:pPr>
      <w:r>
        <w:rPr>
          <w:rFonts w:ascii="仿宋_GB2312" w:hAnsi="仿宋_GB2312" w:eastAsia="仿宋_GB2312"/>
          <w:b w:val="0"/>
          <w:sz w:val="32"/>
        </w:rPr>
        <w:t>1.一般公共服务支出(类)商贸事务(款)行政运行(项):支出决算数为302.82万元，比上年决算增加37.83万元，增长14.28%,主要原因是：本年新增在职人员，人员经费增加，导致经费较上年有所增加。</w:t>
      </w:r>
    </w:p>
    <w:p w14:paraId="684E098A">
      <w:pPr>
        <w:spacing w:line="580" w:lineRule="exact"/>
        <w:ind w:firstLine="640"/>
        <w:jc w:val="both"/>
      </w:pPr>
      <w:r>
        <w:rPr>
          <w:rFonts w:ascii="仿宋_GB2312" w:hAnsi="仿宋_GB2312" w:eastAsia="仿宋_GB2312"/>
          <w:b w:val="0"/>
          <w:sz w:val="32"/>
        </w:rPr>
        <w:t>2.一般公共服务支出(类)商贸事务(款)对外贸易管理(项):支出决算数为0.00万元，比上年决算减少10.00万元，下降100.00%,主要原因是：因工作安排，对外贸易管理举办亚欧博览会和哈洽会项目支出减少。</w:t>
      </w:r>
    </w:p>
    <w:p w14:paraId="089A1886">
      <w:pPr>
        <w:spacing w:line="580" w:lineRule="exact"/>
        <w:ind w:firstLine="640"/>
        <w:jc w:val="both"/>
      </w:pPr>
      <w:r>
        <w:rPr>
          <w:rFonts w:ascii="仿宋_GB2312" w:hAnsi="仿宋_GB2312" w:eastAsia="仿宋_GB2312"/>
          <w:b w:val="0"/>
          <w:sz w:val="32"/>
        </w:rPr>
        <w:t>3.一般公共服务支出(类)商贸事务(款)招商引资(项):支出决算数为0.00万元，比上年决算减少60.00万元，下降100.00%,主要原因是：本年未安排招商引资活动项目。</w:t>
      </w:r>
    </w:p>
    <w:p w14:paraId="5255851A">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基本养老保险缴费支出(项):支出决算数为38.81万元，比上年决算增加6.41万元，增长19.78%,主要原因是：因工作安排，本年在职人员增加，养老保险缴费较上年增加。</w:t>
      </w:r>
    </w:p>
    <w:p w14:paraId="3CF90DD8">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职业年金缴费支出(项):支出决算数为15.87万元，比上年决算增加10.12万元，增长176.00%,主要原因是：本年新增退休人员较上年增加，职业年金缴费支出增加。</w:t>
      </w:r>
    </w:p>
    <w:p w14:paraId="111C27CE">
      <w:pPr>
        <w:spacing w:line="580" w:lineRule="exact"/>
        <w:ind w:firstLine="640"/>
        <w:jc w:val="both"/>
      </w:pPr>
      <w:r>
        <w:rPr>
          <w:rFonts w:ascii="仿宋_GB2312" w:hAnsi="仿宋_GB2312" w:eastAsia="仿宋_GB2312"/>
          <w:b w:val="0"/>
          <w:sz w:val="32"/>
        </w:rPr>
        <w:t>6.社会保障和就业支出(类)抚恤(款)死亡抚恤(项):支出决算数为24.59万元，比上年决算增加3.71万元，增长17.77%,主要原因是：本年新增死亡人员较上年增加，死亡抚恤支出增加。</w:t>
      </w:r>
    </w:p>
    <w:p w14:paraId="47E6D4D5">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医疗(项):支出决算数为10.33万元，比上年决算减少1.62万元，下降13.56%,主要原因是：本年在职人员调入调出，人员职级不同，缴费基数不同，导致行政</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588514A5">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医疗(项):支出决算数为5.88万元，比上年决算增加1.80万元，增长44.12%,主要原因是：因工作安排，本年在职人员增加，事业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医疗支出较上年增加。</w:t>
      </w:r>
    </w:p>
    <w:p w14:paraId="2080F1B6">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医疗(款)公务员医疗补助(项):支出决算数为0.32万元，比上年决算减少0.18万元，下降36.00%,主要原因是：本年在职人员调入调出，人员职级不同，缴费基数不同，导致公务员医疗补助较上年减少。</w:t>
      </w:r>
    </w:p>
    <w:p w14:paraId="6F83CC5E">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医疗支出(项):支出决算数为0.29万元，比上年决算减少0.10万元，下降25.64%,主要原因是：本年在职人员调入调出，人员职级不同，缴费基数不同，导致</w:t>
      </w:r>
      <w:r>
        <w:rPr>
          <w:rFonts w:hint="eastAsia" w:ascii="仿宋_GB2312" w:hAnsi="仿宋_GB2312" w:eastAsia="仿宋_GB2312"/>
          <w:b w:val="0"/>
          <w:sz w:val="32"/>
          <w:lang w:val="en-US" w:eastAsia="zh-CN"/>
        </w:rPr>
        <w:t>大病</w:t>
      </w:r>
      <w:r>
        <w:rPr>
          <w:rFonts w:ascii="仿宋_GB2312" w:hAnsi="仿宋_GB2312" w:eastAsia="仿宋_GB2312"/>
          <w:b w:val="0"/>
          <w:sz w:val="32"/>
        </w:rPr>
        <w:t>医疗</w:t>
      </w:r>
      <w:r>
        <w:rPr>
          <w:rFonts w:hint="eastAsia" w:ascii="仿宋_GB2312" w:hAnsi="仿宋_GB2312" w:eastAsia="仿宋_GB2312"/>
          <w:b w:val="0"/>
          <w:sz w:val="32"/>
          <w:lang w:val="en-US" w:eastAsia="zh-CN"/>
        </w:rPr>
        <w:t>经费</w:t>
      </w:r>
      <w:r>
        <w:rPr>
          <w:rFonts w:ascii="仿宋_GB2312" w:hAnsi="仿宋_GB2312" w:eastAsia="仿宋_GB2312"/>
          <w:b w:val="0"/>
          <w:sz w:val="32"/>
        </w:rPr>
        <w:t>较上年减少。</w:t>
      </w:r>
    </w:p>
    <w:p w14:paraId="02E67F18">
      <w:pPr>
        <w:spacing w:line="580" w:lineRule="exact"/>
        <w:ind w:firstLine="640"/>
        <w:jc w:val="both"/>
      </w:pPr>
      <w:r>
        <w:rPr>
          <w:rFonts w:ascii="仿宋_GB2312" w:hAnsi="仿宋_GB2312" w:eastAsia="仿宋_GB2312"/>
          <w:b w:val="0"/>
          <w:sz w:val="32"/>
        </w:rPr>
        <w:t>11.节能环保支出(类)自然生态保护(款)其他自然生态保护支出(项):支出决算数为0.00万元，比上年决算减少42.20万元，下降100.00%,主要原因是：本年减少现代农牧业优势资源综合开发示范园项目资金支出。</w:t>
      </w:r>
    </w:p>
    <w:p w14:paraId="1B13C440">
      <w:pPr>
        <w:spacing w:line="580" w:lineRule="exact"/>
        <w:ind w:firstLine="640"/>
        <w:jc w:val="both"/>
      </w:pPr>
      <w:r>
        <w:rPr>
          <w:rFonts w:ascii="仿宋_GB2312" w:hAnsi="仿宋_GB2312" w:eastAsia="仿宋_GB2312"/>
          <w:b w:val="0"/>
          <w:sz w:val="32"/>
        </w:rPr>
        <w:t>12.农林水支出(类)巩固脱贫攻坚成果衔接乡村振兴(款)生产发展(项):支出决算数为0.00万元，比上年决算减少199.10万元，下降100.00%,主要原因是：本年因工作安排，减少农副产品加工园一期项目资金支出。</w:t>
      </w:r>
    </w:p>
    <w:p w14:paraId="49F0309F">
      <w:pPr>
        <w:spacing w:line="580" w:lineRule="exact"/>
        <w:ind w:firstLine="640"/>
        <w:jc w:val="both"/>
      </w:pPr>
      <w:r>
        <w:rPr>
          <w:rFonts w:ascii="仿宋_GB2312" w:hAnsi="仿宋_GB2312" w:eastAsia="仿宋_GB2312"/>
          <w:b w:val="0"/>
          <w:sz w:val="32"/>
        </w:rPr>
        <w:t>13.资源勘探工业信息等支出(类)工业和信息产业监管(款)产业发展(项):支出决算数为0.00万元，比上年决算减少47.50万元，下降100.00%,主要原因是：本年因工作安排，减少有色金属产业园项目支出。</w:t>
      </w:r>
    </w:p>
    <w:p w14:paraId="2AC347C1">
      <w:pPr>
        <w:spacing w:line="580" w:lineRule="exact"/>
        <w:ind w:firstLine="640"/>
        <w:jc w:val="both"/>
      </w:pPr>
      <w:r>
        <w:rPr>
          <w:rFonts w:ascii="仿宋_GB2312" w:hAnsi="仿宋_GB2312" w:eastAsia="仿宋_GB2312"/>
          <w:b w:val="0"/>
          <w:sz w:val="32"/>
        </w:rPr>
        <w:t>14.商业服务业等支出(类)涉外发展服务支出(款)其他涉外发展服务支出(项):支出决算数为0.00万元，比上年决算减少72.85万元，下降100.00%,主要原因是：本年因工作安排，减少州级商贸服务产业发展专项资金支出。</w:t>
      </w:r>
    </w:p>
    <w:p w14:paraId="4363002F">
      <w:pPr>
        <w:spacing w:line="580" w:lineRule="exact"/>
        <w:ind w:firstLine="640"/>
        <w:jc w:val="both"/>
      </w:pPr>
      <w:r>
        <w:rPr>
          <w:rFonts w:ascii="仿宋_GB2312" w:hAnsi="仿宋_GB2312" w:eastAsia="仿宋_GB2312"/>
          <w:b w:val="0"/>
          <w:sz w:val="32"/>
        </w:rPr>
        <w:t>15.住房保障支出(类)住房改革支出(款)住房公积金(项):支出决算数为30.04万元，比上年决算增加4.61万元，增长18.13%,主要原因是：本年在职人员增加，住房公积金支出较上年增加。</w:t>
      </w:r>
    </w:p>
    <w:p w14:paraId="4E6649B6">
      <w:pPr>
        <w:spacing w:line="640" w:lineRule="exact"/>
        <w:ind w:firstLine="640"/>
        <w:jc w:val="both"/>
        <w:outlineLvl w:val="2"/>
      </w:pPr>
      <w:r>
        <w:rPr>
          <w:rFonts w:ascii="黑体" w:hAnsi="黑体" w:eastAsia="黑体"/>
          <w:sz w:val="32"/>
        </w:rPr>
        <w:t>六、一般公共预算财政拨款基本支出决算情况说明</w:t>
      </w:r>
    </w:p>
    <w:p w14:paraId="74DB5042">
      <w:pPr>
        <w:spacing w:line="580" w:lineRule="exact"/>
        <w:ind w:firstLine="640"/>
        <w:jc w:val="both"/>
      </w:pPr>
      <w:r>
        <w:rPr>
          <w:rFonts w:ascii="仿宋_GB2312" w:hAnsi="仿宋_GB2312" w:eastAsia="仿宋_GB2312"/>
          <w:b w:val="0"/>
          <w:sz w:val="32"/>
        </w:rPr>
        <w:t>2024年度一般公共预算财政拨款基本支出428.94万元，其中：</w:t>
      </w:r>
      <w:r>
        <w:rPr>
          <w:rFonts w:ascii="仿宋_GB2312" w:hAnsi="仿宋_GB2312" w:eastAsia="仿宋_GB2312"/>
          <w:b/>
          <w:sz w:val="32"/>
        </w:rPr>
        <w:t>人员经费424.60万元，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基本养老保险缴费、职业年金缴费、职工基本医疗保险缴费、公务员医疗补助缴费、其他社会保障缴费、住房公积金、退休费、抚恤金、生活补助。</w:t>
      </w:r>
    </w:p>
    <w:p w14:paraId="22E8E7BE">
      <w:pPr>
        <w:spacing w:line="580" w:lineRule="exact"/>
        <w:ind w:firstLine="640"/>
        <w:jc w:val="both"/>
      </w:pPr>
      <w:r>
        <w:rPr>
          <w:rFonts w:ascii="仿宋_GB2312" w:hAnsi="仿宋_GB2312" w:eastAsia="仿宋_GB2312"/>
          <w:b/>
          <w:sz w:val="32"/>
        </w:rPr>
        <w:t>公用经费4.34万元，</w:t>
      </w:r>
      <w:r>
        <w:rPr>
          <w:rFonts w:ascii="仿宋_GB2312" w:hAnsi="仿宋_GB2312" w:eastAsia="仿宋_GB2312"/>
          <w:b w:val="0"/>
          <w:sz w:val="32"/>
        </w:rPr>
        <w:t>包括：办公费、邮电费、差旅费、工会经费、公务用车运行维护费。</w:t>
      </w:r>
    </w:p>
    <w:p w14:paraId="46D82C37">
      <w:pPr>
        <w:spacing w:line="640" w:lineRule="exact"/>
        <w:ind w:firstLine="640"/>
        <w:jc w:val="both"/>
        <w:outlineLvl w:val="2"/>
      </w:pPr>
      <w:r>
        <w:rPr>
          <w:rFonts w:ascii="黑体" w:hAnsi="黑体" w:eastAsia="黑体"/>
          <w:sz w:val="32"/>
        </w:rPr>
        <w:t>七、政府性基金预算财政拨款收入支出决算情况说明</w:t>
      </w:r>
    </w:p>
    <w:p w14:paraId="73D17DBA">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DC17213">
      <w:pPr>
        <w:spacing w:line="640" w:lineRule="exact"/>
        <w:ind w:firstLine="640"/>
        <w:jc w:val="both"/>
        <w:outlineLvl w:val="2"/>
      </w:pPr>
      <w:r>
        <w:rPr>
          <w:rFonts w:ascii="黑体" w:hAnsi="黑体" w:eastAsia="黑体"/>
          <w:sz w:val="32"/>
        </w:rPr>
        <w:t>八、国有资本经营预算财政拨款收入支出决算情况说明</w:t>
      </w:r>
    </w:p>
    <w:p w14:paraId="7F6ECF7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CE02B7D">
      <w:pPr>
        <w:spacing w:line="640" w:lineRule="exact"/>
        <w:ind w:firstLine="640"/>
        <w:jc w:val="both"/>
        <w:outlineLvl w:val="2"/>
      </w:pPr>
      <w:r>
        <w:rPr>
          <w:rFonts w:ascii="黑体" w:hAnsi="黑体" w:eastAsia="黑体"/>
          <w:sz w:val="32"/>
        </w:rPr>
        <w:t>九、财政拨款“三公”经费支出决算情况说明</w:t>
      </w:r>
    </w:p>
    <w:p w14:paraId="1009681C">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0.80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6C7AFBFA">
      <w:pPr>
        <w:spacing w:line="580" w:lineRule="exact"/>
        <w:ind w:firstLine="640"/>
        <w:jc w:val="both"/>
      </w:pPr>
      <w:r>
        <w:rPr>
          <w:rFonts w:ascii="仿宋_GB2312" w:hAnsi="仿宋_GB2312" w:eastAsia="仿宋_GB2312"/>
          <w:b/>
          <w:sz w:val="32"/>
        </w:rPr>
        <w:t>具体情况如下：</w:t>
      </w:r>
    </w:p>
    <w:p w14:paraId="6A8F950F">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C182712">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审车费、过路费。公务用车购置数0辆，公务用车保有量3辆。国有资产占用情况中固定资产车辆3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7EF7B7BA">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24F89A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0.80万元，决算数0.80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F6BC817">
      <w:pPr>
        <w:spacing w:line="640" w:lineRule="exact"/>
        <w:ind w:firstLine="640"/>
        <w:jc w:val="both"/>
        <w:outlineLvl w:val="2"/>
      </w:pPr>
      <w:r>
        <w:rPr>
          <w:rFonts w:ascii="黑体" w:hAnsi="黑体" w:eastAsia="黑体"/>
          <w:sz w:val="32"/>
        </w:rPr>
        <w:t>十、其他重要事项的情况说明</w:t>
      </w:r>
    </w:p>
    <w:p w14:paraId="193BAA45">
      <w:pPr>
        <w:spacing w:line="640" w:lineRule="exact"/>
        <w:ind w:firstLine="640"/>
        <w:jc w:val="both"/>
        <w:outlineLvl w:val="3"/>
      </w:pPr>
      <w:r>
        <w:rPr>
          <w:rFonts w:ascii="楷体_GB2312" w:hAnsi="楷体_GB2312" w:eastAsia="楷体_GB2312"/>
          <w:b/>
          <w:sz w:val="32"/>
        </w:rPr>
        <w:t>（一）机关运行经费及公用经费支出情况</w:t>
      </w:r>
    </w:p>
    <w:p w14:paraId="61487725">
      <w:pPr>
        <w:spacing w:line="580" w:lineRule="exact"/>
        <w:ind w:firstLine="640"/>
        <w:jc w:val="both"/>
      </w:pPr>
      <w:r>
        <w:rPr>
          <w:rFonts w:ascii="仿宋_GB2312" w:hAnsi="仿宋_GB2312" w:eastAsia="仿宋_GB2312"/>
          <w:b w:val="0"/>
          <w:sz w:val="32"/>
        </w:rPr>
        <w:t>2024年度特克斯县商务和工业信息化局（行政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）机关运行经费支出4.34万元，比上年减少0.22万元，下降4.82%，主要原因是：严格控制公用经费，合理节约办公用品，减少不必要开支。</w:t>
      </w:r>
    </w:p>
    <w:p w14:paraId="480E77C1">
      <w:pPr>
        <w:spacing w:line="640" w:lineRule="exact"/>
        <w:ind w:firstLine="640"/>
        <w:jc w:val="both"/>
        <w:outlineLvl w:val="3"/>
      </w:pPr>
      <w:r>
        <w:rPr>
          <w:rFonts w:ascii="楷体_GB2312" w:hAnsi="楷体_GB2312" w:eastAsia="楷体_GB2312"/>
          <w:b/>
          <w:sz w:val="32"/>
        </w:rPr>
        <w:t>（二）政府采购情况</w:t>
      </w:r>
    </w:p>
    <w:p w14:paraId="5B415266">
      <w:pPr>
        <w:spacing w:line="580" w:lineRule="exact"/>
        <w:ind w:firstLine="640"/>
        <w:jc w:val="both"/>
      </w:pPr>
      <w:r>
        <w:rPr>
          <w:rFonts w:ascii="仿宋_GB2312" w:hAnsi="仿宋_GB2312" w:eastAsia="仿宋_GB2312"/>
          <w:b w:val="0"/>
          <w:sz w:val="32"/>
        </w:rPr>
        <w:t>2024年度政府采购支出总额200.94万元，其中：政府采购货物支出25.70万元、政府采购工程支出0.00万元、政府采购服务支出175.23万元。</w:t>
      </w:r>
    </w:p>
    <w:p w14:paraId="0CE25D78">
      <w:pPr>
        <w:spacing w:line="580" w:lineRule="exact"/>
        <w:ind w:firstLine="640"/>
        <w:jc w:val="both"/>
      </w:pPr>
      <w:r>
        <w:rPr>
          <w:rFonts w:ascii="仿宋_GB2312" w:hAnsi="仿宋_GB2312" w:eastAsia="仿宋_GB2312"/>
          <w:b w:val="0"/>
          <w:sz w:val="32"/>
        </w:rPr>
        <w:t>授予中小企业合同金额128.64万元，占政府采购支出总额的64.02%，其中：授予小微企业合同金额128.64万元，占政府采购支出总额的64.02%。</w:t>
      </w:r>
    </w:p>
    <w:p w14:paraId="77F09CB2">
      <w:pPr>
        <w:spacing w:line="640" w:lineRule="exact"/>
        <w:ind w:firstLine="640"/>
        <w:jc w:val="both"/>
        <w:outlineLvl w:val="3"/>
      </w:pPr>
      <w:r>
        <w:rPr>
          <w:rFonts w:ascii="楷体_GB2312" w:hAnsi="楷体_GB2312" w:eastAsia="楷体_GB2312"/>
          <w:b/>
          <w:sz w:val="32"/>
        </w:rPr>
        <w:t>（三）国有资产占用情况说明</w:t>
      </w:r>
    </w:p>
    <w:p w14:paraId="23BA5674">
      <w:pPr>
        <w:spacing w:line="580" w:lineRule="exact"/>
        <w:ind w:firstLine="640"/>
        <w:jc w:val="both"/>
      </w:pPr>
      <w:r>
        <w:rPr>
          <w:rFonts w:ascii="仿宋_GB2312" w:hAnsi="仿宋_GB2312" w:eastAsia="仿宋_GB2312"/>
          <w:b w:val="0"/>
          <w:sz w:val="32"/>
        </w:rPr>
        <w:t>截至2024年12月31日，房屋0.00平方米，价值0.00万元。车辆3辆，价值66.19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66527C33">
      <w:pPr>
        <w:spacing w:line="640" w:lineRule="exact"/>
        <w:ind w:firstLine="640"/>
        <w:jc w:val="both"/>
        <w:outlineLvl w:val="2"/>
      </w:pPr>
      <w:r>
        <w:rPr>
          <w:rFonts w:ascii="黑体" w:hAnsi="黑体" w:eastAsia="黑体"/>
          <w:sz w:val="32"/>
        </w:rPr>
        <w:t>十一、预算绩效的情况说明</w:t>
      </w:r>
    </w:p>
    <w:p w14:paraId="3BAF7176">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2024年度预算绩效管理形成整体支出绩效自评表1个，全年预算总额488.97万元，实际执行总额488.97万元；预算绩效评价项目4个，全年预算数201.40万元，全年执行数201.40万元。预算绩效管理取得的成效：一是</w:t>
      </w:r>
      <w:r>
        <w:rPr>
          <w:rFonts w:hint="eastAsia" w:ascii="仿宋_GB2312" w:hAnsi="仿宋_GB2312" w:eastAsia="仿宋_GB2312"/>
          <w:b w:val="0"/>
          <w:sz w:val="32"/>
          <w:lang w:eastAsia="zh-CN"/>
        </w:rPr>
        <w:t>哈萨克斯坦</w:t>
      </w:r>
      <w:r>
        <w:rPr>
          <w:rFonts w:ascii="仿宋_GB2312" w:hAnsi="仿宋_GB2312" w:eastAsia="仿宋_GB2312"/>
          <w:b w:val="0"/>
          <w:sz w:val="32"/>
        </w:rPr>
        <w:t>——中国商品展览会是商务部、自治区人民政府、兵团共同举办的展会。自2004年起已连续举办18届，规模不断扩大，内容日益丰富，在中亚地区已具有较高知名度，逐渐成为中国特别是新疆同哈萨克斯坦乃至中亚其他国家经贸合作的重要对话交流平台；二是项目的建设，对促进社会经济发展起着较大的推动作用，社会效益显著；三是项目服务的满意程度已成为广大就业者和企业最关心最直接最现实的利益问题。该项目实施后，对于优化伊犁州经济结构、增加就业岗位、扩大就业规模，推动新疆各族群众稳定就业、加快推进新型城镇化进程，促进新疆社会稳定和长治久安具有重要意义。发现的问题及原因：一是以分组“一对一”洽谈的</w:t>
      </w:r>
      <w:r>
        <w:rPr>
          <w:rFonts w:hint="eastAsia" w:ascii="仿宋_GB2312" w:hAnsi="仿宋_GB2312" w:eastAsia="仿宋_GB2312"/>
          <w:b w:val="0"/>
          <w:sz w:val="32"/>
          <w:lang w:eastAsia="zh-CN"/>
        </w:rPr>
        <w:t>形式</w:t>
      </w:r>
      <w:r>
        <w:rPr>
          <w:rFonts w:ascii="仿宋_GB2312" w:hAnsi="仿宋_GB2312" w:eastAsia="仿宋_GB2312"/>
          <w:b w:val="0"/>
          <w:sz w:val="32"/>
        </w:rPr>
        <w:t>开展，会前开展撮合和精准匹配工作，确保现场双方企业精准磋商，会后开展跟踪服务，切实推动我县与哈方企业务实合作力度欠缺；二是当前特克斯矿产资源开发利用仍处于产业链的中低端，难以获得合理利润；原创性成果不多，科技成果转化和新技术推广率低；关键新材料开发能力不足，难以支撑新兴产业发展，仍需不断通过科技创新提升产品附加值，提高精深加工水平，鼓励业态创新和模式创新，推广个性化定制、柔性化制造，满足多样化、多层次需求。下一步改进措施：一是各参展企业</w:t>
      </w:r>
      <w:r>
        <w:rPr>
          <w:rFonts w:hint="eastAsia" w:ascii="仿宋_GB2312" w:hAnsi="仿宋_GB2312" w:eastAsia="仿宋_GB2312"/>
          <w:b w:val="0"/>
          <w:sz w:val="32"/>
          <w:lang w:eastAsia="zh-CN"/>
        </w:rPr>
        <w:t>单位</w:t>
      </w:r>
      <w:r>
        <w:rPr>
          <w:rFonts w:ascii="仿宋_GB2312" w:hAnsi="仿宋_GB2312" w:eastAsia="仿宋_GB2312"/>
          <w:b w:val="0"/>
          <w:sz w:val="32"/>
        </w:rPr>
        <w:t>要进一步明确任务分工，细化工作台账，倒排工期，靠前发力。畅通沟通机制，加强协调配合，及时协调解决出现的问题，确保各项工作有着落，共同做好参会组织工作；二是严格执行国家、自治区及伊犁州有关法律、政策及技术管理规定的要求设计和施工；三有色金属循环经济产业园建设对于特克斯县经济发展、产业结构调整、经济转型、自主创新等都具有十分重要的意义；四是科学、严格按照项目</w:t>
      </w:r>
      <w:r>
        <w:rPr>
          <w:rFonts w:hint="eastAsia" w:ascii="仿宋_GB2312" w:hAnsi="仿宋_GB2312" w:eastAsia="仿宋_GB2312"/>
          <w:b w:val="0"/>
          <w:sz w:val="32"/>
          <w:lang w:eastAsia="zh-CN"/>
        </w:rPr>
        <w:t>《中华人民共和国预算法》</w:t>
      </w:r>
      <w:r>
        <w:rPr>
          <w:rFonts w:ascii="仿宋_GB2312" w:hAnsi="仿宋_GB2312" w:eastAsia="仿宋_GB2312"/>
          <w:b w:val="0"/>
          <w:sz w:val="32"/>
        </w:rPr>
        <w:t>执行，是项目顺利实施的根本保证，因此，项目建设要严格执行法人责任制、招投标制、工程监理制、合同管理</w:t>
      </w:r>
      <w:r>
        <w:rPr>
          <w:rFonts w:hint="eastAsia" w:ascii="仿宋_GB2312" w:hAnsi="仿宋_GB2312" w:eastAsia="仿宋_GB2312"/>
          <w:b w:val="0"/>
          <w:sz w:val="32"/>
          <w:lang w:eastAsia="zh-CN"/>
        </w:rPr>
        <w:t>制度</w:t>
      </w:r>
      <w:r>
        <w:rPr>
          <w:rFonts w:ascii="仿宋_GB2312" w:hAnsi="仿宋_GB2312" w:eastAsia="仿宋_GB2312"/>
          <w:b w:val="0"/>
          <w:sz w:val="32"/>
        </w:rPr>
        <w:t>。工程建设中应多听取有关专家的意见和建议，有关论证、设计、监理、施工要紧密配合，对于建设过程中出现的问题，应用科学的方法进行分析、比较、论证。在设计、监理和施工中，采用合理、可行、有效的技术手段，严格执行《中华人民共和国招标投标法》和《</w:t>
      </w:r>
      <w:r>
        <w:rPr>
          <w:rFonts w:hint="eastAsia" w:ascii="仿宋_GB2312" w:hAnsi="仿宋_GB2312" w:eastAsia="仿宋_GB2312"/>
          <w:b w:val="0"/>
          <w:sz w:val="32"/>
          <w:lang w:eastAsia="zh-CN"/>
        </w:rPr>
        <w:t>新疆维吾尔自治区</w:t>
      </w:r>
      <w:r>
        <w:rPr>
          <w:rFonts w:ascii="仿宋_GB2312" w:hAnsi="仿宋_GB2312" w:eastAsia="仿宋_GB2312"/>
          <w:b w:val="0"/>
          <w:sz w:val="32"/>
        </w:rPr>
        <w:t>实施〈中华人民共和国招标投标法〉办法》；五是本项目社会效益良好，建议相关部门紧密配合实施本项工程，加快项目立项批复及相关手续办理，为项目实施创造各项建设条件，以保证项目按期完成，发挥其应有的社会效益。具体附整体支出绩效自评表，项目支出绩效自评表和评价报告。</w:t>
      </w:r>
    </w:p>
    <w:p w14:paraId="57880F8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9FB58F9">
        <w:tblPrEx>
          <w:tblCellMar>
            <w:top w:w="0" w:type="dxa"/>
            <w:left w:w="108" w:type="dxa"/>
            <w:bottom w:w="0" w:type="dxa"/>
            <w:right w:w="108" w:type="dxa"/>
          </w:tblCellMar>
        </w:tblPrEx>
        <w:tc>
          <w:tcPr>
            <w:tcW w:w="8840" w:type="dxa"/>
            <w:gridSpan w:val="8"/>
            <w:vAlign w:val="center"/>
          </w:tcPr>
          <w:p w14:paraId="6E346ABF">
            <w:pPr>
              <w:jc w:val="center"/>
            </w:pPr>
            <w:r>
              <w:rPr>
                <w:rFonts w:hint="eastAsia" w:ascii="宋体" w:hAnsi="宋体"/>
                <w:sz w:val="24"/>
                <w:lang w:eastAsia="zh-CN"/>
              </w:rPr>
              <w:t>单位</w:t>
            </w:r>
            <w:r>
              <w:rPr>
                <w:rFonts w:ascii="宋体" w:hAnsi="宋体" w:eastAsia="宋体"/>
                <w:sz w:val="24"/>
              </w:rPr>
              <w:t>整体支出绩效自评表</w:t>
            </w:r>
          </w:p>
        </w:tc>
      </w:tr>
      <w:tr w14:paraId="12C46877">
        <w:tblPrEx>
          <w:tblCellMar>
            <w:top w:w="0" w:type="dxa"/>
            <w:left w:w="108" w:type="dxa"/>
            <w:bottom w:w="0" w:type="dxa"/>
            <w:right w:w="108" w:type="dxa"/>
          </w:tblCellMar>
        </w:tblPrEx>
        <w:tc>
          <w:tcPr>
            <w:tcW w:w="8840" w:type="dxa"/>
            <w:gridSpan w:val="8"/>
            <w:vAlign w:val="center"/>
          </w:tcPr>
          <w:p w14:paraId="54563517">
            <w:pPr>
              <w:jc w:val="center"/>
            </w:pPr>
            <w:r>
              <w:rPr>
                <w:rFonts w:ascii="宋体" w:hAnsi="宋体" w:eastAsia="宋体"/>
                <w:sz w:val="24"/>
              </w:rPr>
              <w:t>（2024年度）</w:t>
            </w:r>
          </w:p>
        </w:tc>
      </w:tr>
      <w:tr w14:paraId="1415462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17020">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D9D40E">
            <w:pPr>
              <w:jc w:val="center"/>
            </w:pPr>
            <w:r>
              <w:rPr>
                <w:rFonts w:ascii="宋体" w:hAnsi="宋体" w:eastAsia="宋体"/>
                <w:sz w:val="16"/>
              </w:rPr>
              <w:t>特克斯县商务和工业信息化局</w:t>
            </w:r>
          </w:p>
        </w:tc>
      </w:tr>
      <w:tr w14:paraId="67BD591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8EA7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5BD4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AF3B1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E99E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5BB30">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3ED05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ECA2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B52661">
            <w:pPr>
              <w:jc w:val="center"/>
            </w:pPr>
            <w:r>
              <w:rPr>
                <w:rFonts w:ascii="宋体" w:hAnsi="宋体" w:eastAsia="宋体"/>
                <w:sz w:val="16"/>
              </w:rPr>
              <w:t>得分</w:t>
            </w:r>
          </w:p>
        </w:tc>
      </w:tr>
      <w:tr w14:paraId="738E8E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E4B4A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F3413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4DFFD">
            <w:pPr>
              <w:jc w:val="center"/>
            </w:pPr>
            <w:r>
              <w:rPr>
                <w:rFonts w:ascii="宋体" w:hAnsi="宋体" w:eastAsia="宋体"/>
                <w:sz w:val="16"/>
              </w:rPr>
              <w:t>428.39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6D28C">
            <w:pPr>
              <w:jc w:val="center"/>
            </w:pPr>
            <w:r>
              <w:rPr>
                <w:rFonts w:ascii="宋体" w:hAnsi="宋体" w:eastAsia="宋体"/>
                <w:sz w:val="16"/>
              </w:rPr>
              <w:t>488.97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FB6DC">
            <w:pPr>
              <w:jc w:val="center"/>
            </w:pPr>
            <w:r>
              <w:rPr>
                <w:rFonts w:ascii="宋体" w:hAnsi="宋体" w:eastAsia="宋体"/>
                <w:sz w:val="16"/>
              </w:rPr>
              <w:t>488.97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9A1C3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43EF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61117">
            <w:pPr>
              <w:jc w:val="center"/>
            </w:pPr>
            <w:r>
              <w:rPr>
                <w:rFonts w:ascii="宋体" w:hAnsi="宋体" w:eastAsia="宋体"/>
                <w:sz w:val="16"/>
              </w:rPr>
              <w:t>10</w:t>
            </w:r>
          </w:p>
        </w:tc>
      </w:tr>
      <w:tr w14:paraId="4E441C5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24C2F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DD51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C0B1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7819F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EE48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2287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D6942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B832DF">
            <w:pPr>
              <w:jc w:val="center"/>
            </w:pPr>
            <w:r>
              <w:rPr>
                <w:rFonts w:ascii="宋体" w:hAnsi="宋体" w:eastAsia="宋体"/>
                <w:sz w:val="16"/>
              </w:rPr>
              <w:t>-</w:t>
            </w:r>
          </w:p>
        </w:tc>
      </w:tr>
      <w:tr w14:paraId="0977FB6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7F9E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645D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E59A7">
            <w:pPr>
              <w:jc w:val="center"/>
            </w:pPr>
            <w:r>
              <w:rPr>
                <w:rFonts w:ascii="宋体" w:hAnsi="宋体" w:eastAsia="宋体"/>
                <w:sz w:val="16"/>
              </w:rPr>
              <w:t>368.39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F1CB9">
            <w:pPr>
              <w:jc w:val="center"/>
            </w:pPr>
            <w:r>
              <w:rPr>
                <w:rFonts w:ascii="宋体" w:hAnsi="宋体" w:eastAsia="宋体"/>
                <w:sz w:val="16"/>
              </w:rPr>
              <w:t>428.94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9245A">
            <w:pPr>
              <w:jc w:val="center"/>
            </w:pPr>
            <w:r>
              <w:rPr>
                <w:rFonts w:ascii="宋体" w:hAnsi="宋体" w:eastAsia="宋体"/>
                <w:sz w:val="16"/>
              </w:rPr>
              <w:t>428.94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E3C7F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63579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EB107">
            <w:pPr>
              <w:jc w:val="center"/>
            </w:pPr>
            <w:r>
              <w:rPr>
                <w:rFonts w:ascii="宋体" w:hAnsi="宋体" w:eastAsia="宋体"/>
                <w:sz w:val="16"/>
              </w:rPr>
              <w:t>-</w:t>
            </w:r>
          </w:p>
        </w:tc>
      </w:tr>
      <w:tr w14:paraId="18015B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CEF09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CF34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55D1E">
            <w:pPr>
              <w:jc w:val="center"/>
            </w:pPr>
            <w:r>
              <w:rPr>
                <w:rFonts w:ascii="宋体" w:hAnsi="宋体" w:eastAsia="宋体"/>
                <w:sz w:val="16"/>
              </w:rPr>
              <w:t>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E850E3">
            <w:pPr>
              <w:jc w:val="center"/>
            </w:pPr>
            <w:r>
              <w:rPr>
                <w:rFonts w:ascii="宋体" w:hAnsi="宋体" w:eastAsia="宋体"/>
                <w:sz w:val="16"/>
              </w:rPr>
              <w:t>60.03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8D60A">
            <w:pPr>
              <w:jc w:val="center"/>
            </w:pPr>
            <w:r>
              <w:rPr>
                <w:rFonts w:ascii="宋体" w:hAnsi="宋体" w:eastAsia="宋体"/>
                <w:sz w:val="16"/>
              </w:rPr>
              <w:t>60.03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9DCE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584F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29403">
            <w:pPr>
              <w:jc w:val="center"/>
            </w:pPr>
            <w:r>
              <w:rPr>
                <w:rFonts w:ascii="宋体" w:hAnsi="宋体" w:eastAsia="宋体"/>
                <w:sz w:val="16"/>
              </w:rPr>
              <w:t>-</w:t>
            </w:r>
          </w:p>
        </w:tc>
      </w:tr>
      <w:tr w14:paraId="1AA16E1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FA85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FD1A4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C28B6B">
            <w:pPr>
              <w:jc w:val="center"/>
            </w:pPr>
            <w:r>
              <w:rPr>
                <w:rFonts w:ascii="宋体" w:hAnsi="宋体" w:eastAsia="宋体"/>
                <w:sz w:val="16"/>
              </w:rPr>
              <w:t>实际完成情况</w:t>
            </w:r>
          </w:p>
        </w:tc>
      </w:tr>
      <w:tr w14:paraId="59E103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4CFD2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4454C1">
            <w:pPr>
              <w:jc w:val="both"/>
            </w:pPr>
            <w:r>
              <w:rPr>
                <w:rFonts w:ascii="宋体" w:hAnsi="宋体" w:eastAsia="宋体"/>
                <w:sz w:val="16"/>
              </w:rPr>
              <w:t>2024年，贯彻落实有关商务流通、工业信息化、招商引资方面的</w:t>
            </w:r>
            <w:r>
              <w:rPr>
                <w:rFonts w:hint="eastAsia" w:ascii="宋体" w:hAnsi="宋体"/>
                <w:sz w:val="16"/>
                <w:lang w:eastAsia="zh-CN"/>
              </w:rPr>
              <w:t>法律法规</w:t>
            </w:r>
            <w:r>
              <w:rPr>
                <w:rFonts w:ascii="宋体" w:hAnsi="宋体" w:eastAsia="宋体"/>
                <w:sz w:val="16"/>
              </w:rPr>
              <w:t>和方针政策；一是制定实施符合特克斯县实际的商务流通、工业信息化、招商引资计划。二是监测分析特克斯县工业经济运行态势；三是统计并发布相关信息，进行预测预警和信息指导；四是协调解决工业经济运行中的重大问题并提出政策建议；五是有关工业和信息化技术改造投资的政策措施；六是研究和规划技术改造项目投资方向和布局；七是负责推进信息化工作；贯彻执行规范市场运行、流通秩序的政策，推动商务领域信用建设；八是按有关规定对特殊流通行业进行监督管理。</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9938A2">
            <w:pPr>
              <w:jc w:val="both"/>
            </w:pPr>
            <w:r>
              <w:rPr>
                <w:rFonts w:ascii="宋体" w:hAnsi="宋体" w:eastAsia="宋体"/>
                <w:sz w:val="16"/>
              </w:rPr>
              <w:t>全年实地来特考察企业177家，接洽考察企业172家，对接投资意向企业99家。完成全年目标任务的100%。引进外贸企业1家，组织外贸进出口企业参加“亚博会”等国际展洽活动3次。024年社会消费品零售总额完成17.9亿元，增速10%。全年走访在库企业100余次，完成共9家企业入库，递交2025年8家企业入库申报资料。全年举办综合展销会3次，共销售车辆34辆、家电62台、加油充值卡92张，累计销售金额达605.66万元。2024年已完成“企升规”3家，清理拖欠中小企业账款累计清偿1622.1万元，清偿率93.9%，受理企业投诉问题线索共17条，办结率100%。</w:t>
            </w:r>
          </w:p>
        </w:tc>
      </w:tr>
      <w:tr w14:paraId="7196FEB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BA278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348A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9081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F1C3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EB44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E6511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33C75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835A87">
            <w:pPr>
              <w:jc w:val="center"/>
            </w:pPr>
            <w:r>
              <w:rPr>
                <w:rFonts w:ascii="宋体" w:hAnsi="宋体" w:eastAsia="宋体"/>
                <w:sz w:val="16"/>
              </w:rPr>
              <w:t>得分</w:t>
            </w:r>
          </w:p>
        </w:tc>
      </w:tr>
      <w:tr w14:paraId="0D63A37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CCF1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74C6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872E27">
            <w:pPr>
              <w:jc w:val="center"/>
            </w:pPr>
            <w:r>
              <w:rPr>
                <w:rFonts w:ascii="宋体" w:hAnsi="宋体" w:eastAsia="宋体"/>
                <w:sz w:val="16"/>
              </w:rPr>
              <w:t>规模以上工业企业实现工业增加值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0AFB3">
            <w:pPr>
              <w:jc w:val="center"/>
            </w:pPr>
            <w:r>
              <w:rPr>
                <w:rFonts w:ascii="宋体" w:hAnsi="宋体" w:eastAsia="宋体"/>
                <w:sz w:val="16"/>
              </w:rPr>
              <w:t>&gt;=4.20亿元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098654">
            <w:pPr>
              <w:jc w:val="center"/>
            </w:pPr>
            <w:r>
              <w:rPr>
                <w:rFonts w:ascii="宋体" w:hAnsi="宋体" w:eastAsia="宋体"/>
                <w:sz w:val="16"/>
              </w:rPr>
              <w:t>特克斯县商务工信局2023年工作总结及2024年预计目标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FE870">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B01CB8">
            <w:pPr>
              <w:jc w:val="center"/>
            </w:pPr>
            <w:r>
              <w:rPr>
                <w:rFonts w:ascii="宋体" w:hAnsi="宋体" w:eastAsia="宋体"/>
                <w:sz w:val="16"/>
              </w:rPr>
              <w:t>10.9亿元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D9266">
            <w:pPr>
              <w:jc w:val="center"/>
            </w:pPr>
            <w:r>
              <w:rPr>
                <w:rFonts w:ascii="宋体" w:hAnsi="宋体" w:eastAsia="宋体"/>
                <w:sz w:val="16"/>
              </w:rPr>
              <w:t>22.5</w:t>
            </w:r>
          </w:p>
        </w:tc>
      </w:tr>
      <w:tr w14:paraId="51F444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2F972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63A8A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6A5CE">
            <w:pPr>
              <w:jc w:val="center"/>
            </w:pPr>
            <w:r>
              <w:rPr>
                <w:rFonts w:ascii="宋体" w:hAnsi="宋体" w:eastAsia="宋体"/>
                <w:sz w:val="16"/>
              </w:rPr>
              <w:t>外贸进出口总额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71E37">
            <w:pPr>
              <w:jc w:val="center"/>
            </w:pPr>
            <w:r>
              <w:rPr>
                <w:rFonts w:ascii="宋体" w:hAnsi="宋体" w:eastAsia="宋体"/>
                <w:sz w:val="16"/>
              </w:rPr>
              <w:t>&gt;=1.38亿元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7D010">
            <w:pPr>
              <w:jc w:val="center"/>
            </w:pPr>
            <w:r>
              <w:rPr>
                <w:rFonts w:ascii="宋体" w:hAnsi="宋体" w:eastAsia="宋体"/>
                <w:sz w:val="16"/>
              </w:rPr>
              <w:t>特克斯县商务工信局2023年工作总结及2024年预计目标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5CE75">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A3D98">
            <w:pPr>
              <w:jc w:val="center"/>
            </w:pPr>
            <w:r>
              <w:rPr>
                <w:rFonts w:ascii="宋体" w:hAnsi="宋体" w:eastAsia="宋体"/>
                <w:sz w:val="16"/>
              </w:rPr>
              <w:t>2亿元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0DB95">
            <w:pPr>
              <w:jc w:val="center"/>
            </w:pPr>
            <w:r>
              <w:rPr>
                <w:rFonts w:ascii="宋体" w:hAnsi="宋体" w:eastAsia="宋体"/>
                <w:sz w:val="16"/>
              </w:rPr>
              <w:t>22.5</w:t>
            </w:r>
          </w:p>
        </w:tc>
      </w:tr>
      <w:tr w14:paraId="43B70B0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E7D64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A3613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0163A6">
            <w:pPr>
              <w:jc w:val="center"/>
            </w:pPr>
            <w:r>
              <w:rPr>
                <w:rFonts w:ascii="宋体" w:hAnsi="宋体" w:eastAsia="宋体"/>
                <w:sz w:val="16"/>
              </w:rPr>
              <w:t>社会消费品零售总额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A64AC">
            <w:pPr>
              <w:jc w:val="center"/>
            </w:pPr>
            <w:r>
              <w:rPr>
                <w:rFonts w:ascii="宋体" w:hAnsi="宋体" w:eastAsia="宋体"/>
                <w:sz w:val="16"/>
              </w:rPr>
              <w:t>&gt;=16.83亿元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51965">
            <w:pPr>
              <w:jc w:val="center"/>
            </w:pPr>
            <w:r>
              <w:rPr>
                <w:rFonts w:ascii="宋体" w:hAnsi="宋体" w:eastAsia="宋体"/>
                <w:sz w:val="16"/>
              </w:rPr>
              <w:t>特克斯县商务工信局2023年工作总结及2024年预计目标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A5D18">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2441E">
            <w:pPr>
              <w:jc w:val="center"/>
            </w:pPr>
            <w:r>
              <w:rPr>
                <w:rFonts w:ascii="宋体" w:hAnsi="宋体" w:eastAsia="宋体"/>
                <w:sz w:val="16"/>
              </w:rPr>
              <w:t>17.9亿元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7501A">
            <w:pPr>
              <w:jc w:val="center"/>
            </w:pPr>
            <w:r>
              <w:rPr>
                <w:rFonts w:ascii="宋体" w:hAnsi="宋体" w:eastAsia="宋体"/>
                <w:sz w:val="16"/>
              </w:rPr>
              <w:t>22.5</w:t>
            </w:r>
          </w:p>
        </w:tc>
      </w:tr>
      <w:tr w14:paraId="0E58798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22181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EE0E2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23342">
            <w:pPr>
              <w:jc w:val="center"/>
            </w:pPr>
            <w:r>
              <w:rPr>
                <w:rFonts w:ascii="宋体" w:hAnsi="宋体" w:eastAsia="宋体"/>
                <w:sz w:val="16"/>
              </w:rPr>
              <w:t>完成全年招商引资</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9EF63">
            <w:pPr>
              <w:jc w:val="center"/>
            </w:pPr>
            <w:r>
              <w:rPr>
                <w:rFonts w:ascii="宋体" w:hAnsi="宋体" w:eastAsia="宋体"/>
                <w:sz w:val="16"/>
              </w:rPr>
              <w:t>&gt;=45.92亿元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4E513">
            <w:pPr>
              <w:jc w:val="center"/>
            </w:pPr>
            <w:r>
              <w:rPr>
                <w:rFonts w:ascii="宋体" w:hAnsi="宋体" w:eastAsia="宋体"/>
                <w:sz w:val="16"/>
              </w:rPr>
              <w:t>特克斯县商务工信局2023年工作总结及2024年预计目标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7DD05">
            <w:pPr>
              <w:jc w:val="center"/>
            </w:pPr>
            <w:r>
              <w:rPr>
                <w:rFonts w:ascii="宋体" w:hAnsi="宋体" w:eastAsia="宋体"/>
                <w:sz w:val="16"/>
              </w:rPr>
              <w:t>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7E1A9">
            <w:pPr>
              <w:jc w:val="center"/>
            </w:pPr>
            <w:r>
              <w:rPr>
                <w:rFonts w:ascii="宋体" w:hAnsi="宋体" w:eastAsia="宋体"/>
                <w:sz w:val="16"/>
              </w:rPr>
              <w:t>52.03亿元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1878A2">
            <w:pPr>
              <w:jc w:val="center"/>
            </w:pPr>
            <w:r>
              <w:rPr>
                <w:rFonts w:ascii="宋体" w:hAnsi="宋体" w:eastAsia="宋体"/>
                <w:sz w:val="16"/>
              </w:rPr>
              <w:t>22.5</w:t>
            </w:r>
          </w:p>
        </w:tc>
      </w:tr>
    </w:tbl>
    <w:p w14:paraId="6D7333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7C7E75D">
        <w:tblPrEx>
          <w:tblCellMar>
            <w:top w:w="0" w:type="dxa"/>
            <w:left w:w="108" w:type="dxa"/>
            <w:bottom w:w="0" w:type="dxa"/>
            <w:right w:w="108" w:type="dxa"/>
          </w:tblCellMar>
        </w:tblPrEx>
        <w:tc>
          <w:tcPr>
            <w:tcW w:w="8848" w:type="dxa"/>
            <w:gridSpan w:val="14"/>
            <w:vAlign w:val="center"/>
          </w:tcPr>
          <w:p w14:paraId="1C780858">
            <w:pPr>
              <w:jc w:val="center"/>
            </w:pPr>
            <w:r>
              <w:rPr>
                <w:rFonts w:ascii="宋体" w:hAnsi="宋体" w:eastAsia="宋体"/>
                <w:sz w:val="24"/>
              </w:rPr>
              <w:t>项目支出绩效自评表</w:t>
            </w:r>
          </w:p>
        </w:tc>
      </w:tr>
      <w:tr w14:paraId="2D94B294">
        <w:tblPrEx>
          <w:tblCellMar>
            <w:top w:w="0" w:type="dxa"/>
            <w:left w:w="108" w:type="dxa"/>
            <w:bottom w:w="0" w:type="dxa"/>
            <w:right w:w="108" w:type="dxa"/>
          </w:tblCellMar>
        </w:tblPrEx>
        <w:tc>
          <w:tcPr>
            <w:tcW w:w="8848" w:type="dxa"/>
            <w:gridSpan w:val="14"/>
            <w:vAlign w:val="center"/>
          </w:tcPr>
          <w:p w14:paraId="2ED92738">
            <w:pPr>
              <w:jc w:val="center"/>
            </w:pPr>
            <w:r>
              <w:rPr>
                <w:rFonts w:ascii="宋体" w:hAnsi="宋体" w:eastAsia="宋体"/>
                <w:sz w:val="24"/>
              </w:rPr>
              <w:t>(2024年度)</w:t>
            </w:r>
          </w:p>
        </w:tc>
      </w:tr>
      <w:tr w14:paraId="27F843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F7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806128">
            <w:pPr>
              <w:jc w:val="center"/>
            </w:pPr>
            <w:r>
              <w:rPr>
                <w:rFonts w:ascii="宋体" w:hAnsi="宋体" w:eastAsia="宋体"/>
                <w:sz w:val="16"/>
              </w:rPr>
              <w:t>产业招商图谱编制及委托招商服务项目</w:t>
            </w:r>
          </w:p>
        </w:tc>
      </w:tr>
      <w:tr w14:paraId="25FD51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B1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881533">
            <w:pPr>
              <w:jc w:val="center"/>
            </w:pPr>
            <w:r>
              <w:rPr>
                <w:rFonts w:ascii="宋体" w:hAnsi="宋体" w:eastAsia="宋体"/>
                <w:sz w:val="16"/>
              </w:rPr>
              <w:t>特克斯县商务和工业信息化局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746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81E912">
            <w:pPr>
              <w:jc w:val="center"/>
            </w:pPr>
            <w:r>
              <w:rPr>
                <w:rFonts w:ascii="宋体" w:hAnsi="宋体" w:eastAsia="宋体"/>
                <w:sz w:val="16"/>
              </w:rPr>
              <w:t>特克斯县商务和工业信息化局</w:t>
            </w:r>
          </w:p>
        </w:tc>
      </w:tr>
      <w:tr w14:paraId="3780E0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FE0D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34F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45D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B11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395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B79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0BD0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FB39A">
            <w:pPr>
              <w:jc w:val="center"/>
            </w:pPr>
            <w:r>
              <w:rPr>
                <w:rFonts w:ascii="宋体" w:hAnsi="宋体" w:eastAsia="宋体"/>
                <w:sz w:val="16"/>
              </w:rPr>
              <w:t>得分</w:t>
            </w:r>
          </w:p>
        </w:tc>
      </w:tr>
      <w:tr w14:paraId="53CD5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73E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A20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1C31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50C0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19406">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110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5E29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6FFE">
            <w:pPr>
              <w:jc w:val="center"/>
            </w:pPr>
            <w:r>
              <w:rPr>
                <w:rFonts w:ascii="宋体" w:hAnsi="宋体" w:eastAsia="宋体"/>
                <w:sz w:val="16"/>
              </w:rPr>
              <w:t>10.00</w:t>
            </w:r>
          </w:p>
        </w:tc>
      </w:tr>
      <w:tr w14:paraId="2C5DD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F2E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EC4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B83E5">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E2F95">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A05C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D3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484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4889">
            <w:pPr>
              <w:jc w:val="center"/>
            </w:pPr>
            <w:r>
              <w:rPr>
                <w:rFonts w:ascii="宋体" w:hAnsi="宋体" w:eastAsia="宋体"/>
                <w:sz w:val="16"/>
              </w:rPr>
              <w:t>—</w:t>
            </w:r>
          </w:p>
        </w:tc>
      </w:tr>
      <w:tr w14:paraId="4AACF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05D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67E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132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4C2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D5C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DEA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A99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06FD">
            <w:pPr>
              <w:jc w:val="center"/>
            </w:pPr>
            <w:r>
              <w:rPr>
                <w:rFonts w:ascii="宋体" w:hAnsi="宋体" w:eastAsia="宋体"/>
                <w:sz w:val="16"/>
              </w:rPr>
              <w:t>—</w:t>
            </w:r>
          </w:p>
        </w:tc>
      </w:tr>
      <w:tr w14:paraId="1C4262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B53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3300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68E8C5">
            <w:pPr>
              <w:jc w:val="center"/>
            </w:pPr>
            <w:r>
              <w:rPr>
                <w:rFonts w:ascii="宋体" w:hAnsi="宋体" w:eastAsia="宋体"/>
                <w:sz w:val="16"/>
              </w:rPr>
              <w:t>实际完成情况</w:t>
            </w:r>
          </w:p>
        </w:tc>
      </w:tr>
      <w:tr w14:paraId="55FBE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D82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D00419">
            <w:pPr>
              <w:jc w:val="both"/>
            </w:pPr>
            <w:r>
              <w:rPr>
                <w:rFonts w:ascii="宋体" w:hAnsi="宋体" w:eastAsia="宋体"/>
                <w:sz w:val="16"/>
              </w:rPr>
              <w:t>产业基地调研分析、产业链全景图、产业空间布局图、项目机会清单、招商目标企业清单、招商落地保障措施。农产品精深加工:黑小麦、食用菌、特色林果（吊干杏、苹果）、中草药（黄芪、党参等）、有机畜牧（哈萨克斯羊、褐牛）、有机蔬菜等精深加工。策划编写后形成《新疆特克斯县农副产品加工产业招商图谱》；提交</w:t>
            </w:r>
            <w:r>
              <w:rPr>
                <w:rFonts w:hint="eastAsia" w:ascii="宋体" w:hAnsi="宋体"/>
                <w:sz w:val="16"/>
                <w:lang w:eastAsia="zh-CN"/>
              </w:rPr>
              <w:t>形式</w:t>
            </w:r>
            <w:r>
              <w:rPr>
                <w:rFonts w:ascii="宋体" w:hAnsi="宋体" w:eastAsia="宋体"/>
                <w:sz w:val="16"/>
              </w:rPr>
              <w:t>为PDF(PPT版)。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DF5690">
            <w:pPr>
              <w:jc w:val="both"/>
            </w:pPr>
            <w:r>
              <w:rPr>
                <w:rFonts w:ascii="宋体" w:hAnsi="宋体" w:eastAsia="宋体"/>
                <w:sz w:val="16"/>
              </w:rPr>
              <w:t>产业基地调研分析、产业链全景图、产业空间布局图、项目机会清单、招商目标企业清单、招商落地保障措施。农产品精深加工:黑小麦、食用菌、特色林果（吊干杏、苹果）、中草药（黄芪、党参等）、有机畜牧（哈萨克斯羊、褐牛）、有机蔬菜等精深加工。策划编写后形成《新疆特克斯县农副产品加工产业招商图谱》；提交</w:t>
            </w:r>
            <w:r>
              <w:rPr>
                <w:rFonts w:hint="eastAsia" w:ascii="宋体" w:hAnsi="宋体"/>
                <w:sz w:val="16"/>
                <w:lang w:eastAsia="zh-CN"/>
              </w:rPr>
              <w:t>形式</w:t>
            </w:r>
            <w:r>
              <w:rPr>
                <w:rFonts w:ascii="宋体" w:hAnsi="宋体" w:eastAsia="宋体"/>
                <w:sz w:val="16"/>
              </w:rPr>
              <w:t>为PDF(PPT版)。</w:t>
            </w:r>
          </w:p>
        </w:tc>
      </w:tr>
      <w:tr w14:paraId="7B4E4B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95C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D5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40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E5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0F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AA7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901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A9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044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87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E4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EE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C3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51D7">
            <w:pPr>
              <w:jc w:val="center"/>
            </w:pPr>
            <w:r>
              <w:rPr>
                <w:rFonts w:ascii="宋体" w:hAnsi="宋体" w:eastAsia="宋体"/>
                <w:sz w:val="16"/>
              </w:rPr>
              <w:t>偏差原因分析及改进措施</w:t>
            </w:r>
          </w:p>
        </w:tc>
      </w:tr>
      <w:tr w14:paraId="517434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BF8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DA8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B05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02C4">
            <w:pPr>
              <w:jc w:val="center"/>
            </w:pPr>
            <w:r>
              <w:rPr>
                <w:rFonts w:ascii="宋体" w:hAnsi="宋体" w:eastAsia="宋体"/>
                <w:sz w:val="16"/>
              </w:rPr>
              <w:t>招商意向投资企业数量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1A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C62B">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8440">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7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90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B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3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3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9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7E1D">
            <w:pPr>
              <w:jc w:val="center"/>
            </w:pPr>
          </w:p>
        </w:tc>
      </w:tr>
      <w:tr w14:paraId="586A2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BE0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3A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BBE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CD71">
            <w:pPr>
              <w:jc w:val="center"/>
            </w:pPr>
            <w:r>
              <w:rPr>
                <w:rFonts w:ascii="宋体" w:hAnsi="宋体" w:eastAsia="宋体"/>
                <w:sz w:val="16"/>
              </w:rPr>
              <w:t>提供《新疆特克斯县农副产品加工产业招商图谱》次数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B7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389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8AB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6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49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7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A5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E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A8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EE9F">
            <w:pPr>
              <w:jc w:val="center"/>
            </w:pPr>
          </w:p>
        </w:tc>
      </w:tr>
      <w:tr w14:paraId="37E0A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AC5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ADE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6B2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4CBE">
            <w:pPr>
              <w:jc w:val="center"/>
            </w:pPr>
            <w:r>
              <w:rPr>
                <w:rFonts w:ascii="宋体" w:hAnsi="宋体" w:eastAsia="宋体"/>
                <w:sz w:val="16"/>
              </w:rPr>
              <w:t>产业招商项目完成率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A2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43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A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3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AC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8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EA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9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18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D267">
            <w:pPr>
              <w:jc w:val="center"/>
            </w:pPr>
          </w:p>
        </w:tc>
      </w:tr>
      <w:tr w14:paraId="1190A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AD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4C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DB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08DE">
            <w:pPr>
              <w:jc w:val="center"/>
            </w:pPr>
            <w:r>
              <w:rPr>
                <w:rFonts w:ascii="宋体" w:hAnsi="宋体" w:eastAsia="宋体"/>
                <w:sz w:val="16"/>
              </w:rPr>
              <w:t>招商图谱质量验收合格率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A5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FC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6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A7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B8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B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59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97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3E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A049">
            <w:pPr>
              <w:jc w:val="center"/>
            </w:pPr>
          </w:p>
        </w:tc>
      </w:tr>
      <w:tr w14:paraId="21147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F2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D1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1B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29CC">
            <w:pPr>
              <w:jc w:val="center"/>
            </w:pPr>
            <w:r>
              <w:rPr>
                <w:rFonts w:ascii="宋体" w:hAnsi="宋体" w:eastAsia="宋体"/>
                <w:sz w:val="16"/>
              </w:rPr>
              <w:t>产业招商项目按时完成率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C0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0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0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8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91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1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D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EB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1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88FE">
            <w:pPr>
              <w:jc w:val="center"/>
            </w:pPr>
          </w:p>
        </w:tc>
      </w:tr>
      <w:tr w14:paraId="07E9D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15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260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BA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4374">
            <w:pPr>
              <w:jc w:val="center"/>
            </w:pPr>
            <w:r>
              <w:rPr>
                <w:rFonts w:ascii="宋体" w:hAnsi="宋体" w:eastAsia="宋体"/>
                <w:sz w:val="16"/>
              </w:rPr>
              <w:t>招商图谱费用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99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5D81">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444A">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5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C0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2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ED5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C6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5A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82EF">
            <w:pPr>
              <w:jc w:val="center"/>
            </w:pPr>
          </w:p>
        </w:tc>
      </w:tr>
      <w:tr w14:paraId="64684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86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AB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0E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C8FF">
            <w:pPr>
              <w:jc w:val="center"/>
            </w:pPr>
            <w:r>
              <w:rPr>
                <w:rFonts w:ascii="宋体" w:hAnsi="宋体" w:eastAsia="宋体"/>
                <w:sz w:val="16"/>
              </w:rPr>
              <w:t>提供招商引资有效企业信息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789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0189">
            <w:pPr>
              <w:jc w:val="center"/>
            </w:pPr>
            <w:r>
              <w:rPr>
                <w:rFonts w:ascii="宋体" w:hAnsi="宋体" w:eastAsia="宋体"/>
                <w:sz w:val="16"/>
              </w:rPr>
              <w:t>&gt;=190条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4FB7">
            <w:pPr>
              <w:jc w:val="center"/>
            </w:pPr>
            <w:r>
              <w:rPr>
                <w:rFonts w:ascii="宋体" w:hAnsi="宋体" w:eastAsia="宋体"/>
                <w:sz w:val="16"/>
              </w:rPr>
              <w:t>190条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4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0C1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3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82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13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D1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1D9F">
            <w:pPr>
              <w:jc w:val="center"/>
            </w:pPr>
          </w:p>
        </w:tc>
      </w:tr>
      <w:tr w14:paraId="36D740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8749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0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AD5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06C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929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4B8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286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9C9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D036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ACE2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D8D4B5"/>
        </w:tc>
      </w:tr>
    </w:tbl>
    <w:p w14:paraId="6B0280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3AC0334">
        <w:tblPrEx>
          <w:tblCellMar>
            <w:top w:w="0" w:type="dxa"/>
            <w:left w:w="108" w:type="dxa"/>
            <w:bottom w:w="0" w:type="dxa"/>
            <w:right w:w="108" w:type="dxa"/>
          </w:tblCellMar>
        </w:tblPrEx>
        <w:tc>
          <w:tcPr>
            <w:tcW w:w="8848" w:type="dxa"/>
            <w:gridSpan w:val="14"/>
            <w:vAlign w:val="center"/>
          </w:tcPr>
          <w:p w14:paraId="1CFA9A86">
            <w:pPr>
              <w:jc w:val="center"/>
            </w:pPr>
            <w:r>
              <w:rPr>
                <w:rFonts w:ascii="宋体" w:hAnsi="宋体" w:eastAsia="宋体"/>
                <w:sz w:val="24"/>
              </w:rPr>
              <w:t>项目支出绩效自评表</w:t>
            </w:r>
          </w:p>
        </w:tc>
      </w:tr>
      <w:tr w14:paraId="7DF27393">
        <w:tblPrEx>
          <w:tblCellMar>
            <w:top w:w="0" w:type="dxa"/>
            <w:left w:w="108" w:type="dxa"/>
            <w:bottom w:w="0" w:type="dxa"/>
            <w:right w:w="108" w:type="dxa"/>
          </w:tblCellMar>
        </w:tblPrEx>
        <w:tc>
          <w:tcPr>
            <w:tcW w:w="8848" w:type="dxa"/>
            <w:gridSpan w:val="14"/>
            <w:vAlign w:val="center"/>
          </w:tcPr>
          <w:p w14:paraId="272120F8">
            <w:pPr>
              <w:jc w:val="center"/>
            </w:pPr>
            <w:r>
              <w:rPr>
                <w:rFonts w:ascii="宋体" w:hAnsi="宋体" w:eastAsia="宋体"/>
                <w:sz w:val="24"/>
              </w:rPr>
              <w:t>(2024年度)</w:t>
            </w:r>
          </w:p>
        </w:tc>
      </w:tr>
      <w:tr w14:paraId="30D2FA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1A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9076B4">
            <w:pPr>
              <w:jc w:val="center"/>
            </w:pPr>
            <w:r>
              <w:rPr>
                <w:rFonts w:ascii="宋体" w:hAnsi="宋体" w:eastAsia="宋体"/>
                <w:sz w:val="16"/>
              </w:rPr>
              <w:t>产业招商推介项目资金</w:t>
            </w:r>
          </w:p>
        </w:tc>
      </w:tr>
      <w:tr w14:paraId="135501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3D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65491">
            <w:pPr>
              <w:jc w:val="center"/>
            </w:pPr>
            <w:r>
              <w:rPr>
                <w:rFonts w:ascii="宋体" w:hAnsi="宋体" w:eastAsia="宋体"/>
                <w:sz w:val="16"/>
              </w:rPr>
              <w:t>特克斯县商务和工业信息化局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E89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E89DFE">
            <w:pPr>
              <w:jc w:val="center"/>
            </w:pPr>
            <w:r>
              <w:rPr>
                <w:rFonts w:ascii="宋体" w:hAnsi="宋体" w:eastAsia="宋体"/>
                <w:sz w:val="16"/>
              </w:rPr>
              <w:t>特克斯县商务和工业信息化局</w:t>
            </w:r>
          </w:p>
        </w:tc>
      </w:tr>
      <w:tr w14:paraId="46CF54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3104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AF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F87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421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998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7CE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022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CFE8">
            <w:pPr>
              <w:jc w:val="center"/>
            </w:pPr>
            <w:r>
              <w:rPr>
                <w:rFonts w:ascii="宋体" w:hAnsi="宋体" w:eastAsia="宋体"/>
                <w:sz w:val="16"/>
              </w:rPr>
              <w:t>得分</w:t>
            </w:r>
          </w:p>
        </w:tc>
      </w:tr>
      <w:tr w14:paraId="1A102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C00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D38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A740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0D945">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D2E5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9BF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101F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AE4F">
            <w:pPr>
              <w:jc w:val="center"/>
            </w:pPr>
            <w:r>
              <w:rPr>
                <w:rFonts w:ascii="宋体" w:hAnsi="宋体" w:eastAsia="宋体"/>
                <w:sz w:val="16"/>
              </w:rPr>
              <w:t>10.00</w:t>
            </w:r>
          </w:p>
        </w:tc>
      </w:tr>
      <w:tr w14:paraId="03073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5E1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EC8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A8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00A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175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324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8D6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C4AF">
            <w:pPr>
              <w:jc w:val="center"/>
            </w:pPr>
            <w:r>
              <w:rPr>
                <w:rFonts w:ascii="宋体" w:hAnsi="宋体" w:eastAsia="宋体"/>
                <w:sz w:val="16"/>
              </w:rPr>
              <w:t>—</w:t>
            </w:r>
          </w:p>
        </w:tc>
      </w:tr>
      <w:tr w14:paraId="79E4D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8A1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8A4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6E1C0">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968A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9B459">
            <w:pPr>
              <w:jc w:val="center"/>
            </w:pPr>
            <w:r>
              <w:rPr>
                <w:rFonts w:ascii="宋体" w:hAnsi="宋体" w:eastAsia="宋体"/>
                <w:sz w:val="16"/>
              </w:rPr>
              <w:t>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3C5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965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C57A">
            <w:pPr>
              <w:jc w:val="center"/>
            </w:pPr>
            <w:r>
              <w:rPr>
                <w:rFonts w:ascii="宋体" w:hAnsi="宋体" w:eastAsia="宋体"/>
                <w:sz w:val="16"/>
              </w:rPr>
              <w:t>—</w:t>
            </w:r>
          </w:p>
        </w:tc>
      </w:tr>
      <w:tr w14:paraId="22E6D8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3E9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AEB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5FE35D">
            <w:pPr>
              <w:jc w:val="center"/>
            </w:pPr>
            <w:r>
              <w:rPr>
                <w:rFonts w:ascii="宋体" w:hAnsi="宋体" w:eastAsia="宋体"/>
                <w:sz w:val="16"/>
              </w:rPr>
              <w:t>实际完成情况</w:t>
            </w:r>
          </w:p>
        </w:tc>
      </w:tr>
      <w:tr w14:paraId="731B5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EBF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9FB07">
            <w:pPr>
              <w:jc w:val="both"/>
            </w:pPr>
            <w:r>
              <w:rPr>
                <w:rFonts w:ascii="宋体" w:hAnsi="宋体" w:eastAsia="宋体"/>
                <w:sz w:val="16"/>
              </w:rPr>
              <w:t>2024年，特克斯县计划完成招商引资任务47.15亿元、实现同比增速15%以上。聚焦自治区、州党委“八大产业集群”为支撑的现代产业体系，立足特克斯县文旅资源、生态环境以及绿色农牧业等优势延链补链，以“五大产业链”“六大园区”建设为契机，精心包装招商项目，靶向招引农牧业全产业链、特色农作物产业优质项目，推动特色农牧业资源优势向产品产值提升转化；依托八卦城、喀拉峻、琼库什台三张名片和五大景区打造，精准谋划全域旅游产业、康养产业、文创产业等项目招商，推动特色文化旅游资源优势向旅游消费产业发展转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73F1D0">
            <w:pPr>
              <w:jc w:val="both"/>
            </w:pPr>
            <w:r>
              <w:rPr>
                <w:rFonts w:ascii="宋体" w:hAnsi="宋体" w:eastAsia="宋体"/>
                <w:sz w:val="16"/>
              </w:rPr>
              <w:t>2024年围绕农牧业全产业链及精深加工、文化旅游、康养医疗、六大园区建设、城市基础设施提升改造等重点项目，认真梳理重点区域，锁定龙头企业、知名民营企业，对已有招商线索或投资意向的企业，广泛宣传特克斯、推介特克斯，采取登门拜访、举办招商推介会、座谈会等方式，全方位开展招商引资工作，加大对接力度，力争促成一批投资规模大、带动作用强的项目落地。力争全年实施项目42个，5亿以上项目6个，超额完成州上下达44亿元（增速20%）的招商引资任务。</w:t>
            </w:r>
            <w:r>
              <w:rPr>
                <w:rFonts w:ascii="宋体" w:hAnsi="宋体" w:eastAsia="宋体"/>
                <w:sz w:val="16"/>
              </w:rPr>
              <w:br w:type="textWrapping"/>
            </w:r>
            <w:r>
              <w:rPr>
                <w:rFonts w:ascii="宋体" w:hAnsi="宋体" w:eastAsia="宋体"/>
                <w:sz w:val="16"/>
              </w:rPr>
              <w:t>全年执行率：</w:t>
            </w:r>
          </w:p>
        </w:tc>
      </w:tr>
      <w:tr w14:paraId="097A0D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00B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F0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83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C5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18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520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3BD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4F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12E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4E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01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97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E2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D45F">
            <w:pPr>
              <w:jc w:val="center"/>
            </w:pPr>
            <w:r>
              <w:rPr>
                <w:rFonts w:ascii="宋体" w:hAnsi="宋体" w:eastAsia="宋体"/>
                <w:sz w:val="16"/>
              </w:rPr>
              <w:t>偏差原因分析及改进措施</w:t>
            </w:r>
          </w:p>
        </w:tc>
      </w:tr>
      <w:tr w14:paraId="791712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66A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2D0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EA9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0239">
            <w:pPr>
              <w:jc w:val="center"/>
            </w:pPr>
            <w:r>
              <w:rPr>
                <w:rFonts w:ascii="宋体" w:hAnsi="宋体" w:eastAsia="宋体"/>
                <w:sz w:val="16"/>
              </w:rPr>
              <w:t>招商引资活动举办场次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D3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289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7A6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F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C2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6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250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F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34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7E78">
            <w:pPr>
              <w:jc w:val="center"/>
            </w:pPr>
          </w:p>
        </w:tc>
      </w:tr>
      <w:tr w14:paraId="30161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A4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E3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81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FEE7">
            <w:pPr>
              <w:jc w:val="center"/>
            </w:pPr>
            <w:r>
              <w:rPr>
                <w:rFonts w:ascii="宋体" w:hAnsi="宋体" w:eastAsia="宋体"/>
                <w:sz w:val="16"/>
              </w:rPr>
              <w:t>洽谈项目签约数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4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C1DB">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1D8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4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1B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3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9222">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AE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5D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0A56">
            <w:pPr>
              <w:jc w:val="center"/>
            </w:pPr>
          </w:p>
        </w:tc>
      </w:tr>
      <w:tr w14:paraId="35E15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66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73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1F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721C">
            <w:pPr>
              <w:jc w:val="center"/>
            </w:pPr>
            <w:r>
              <w:rPr>
                <w:rFonts w:ascii="宋体" w:hAnsi="宋体" w:eastAsia="宋体"/>
                <w:sz w:val="16"/>
              </w:rPr>
              <w:t>招商引资任务完成率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4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6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3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0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0D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97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C7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4A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6E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337C">
            <w:pPr>
              <w:jc w:val="center"/>
            </w:pPr>
          </w:p>
        </w:tc>
      </w:tr>
      <w:tr w14:paraId="2F14C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F3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4B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F1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9A37">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50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7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7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C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1E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6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1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0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BF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0637">
            <w:pPr>
              <w:jc w:val="center"/>
            </w:pPr>
          </w:p>
        </w:tc>
      </w:tr>
      <w:tr w14:paraId="4C5EB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8C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BD4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AF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69D0">
            <w:pPr>
              <w:jc w:val="center"/>
            </w:pPr>
            <w:r>
              <w:rPr>
                <w:rFonts w:ascii="宋体" w:hAnsi="宋体" w:eastAsia="宋体"/>
                <w:sz w:val="16"/>
              </w:rPr>
              <w:t>外出活动经费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2D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09B6">
            <w:pPr>
              <w:jc w:val="center"/>
            </w:pPr>
            <w:r>
              <w:rPr>
                <w:rFonts w:ascii="宋体" w:hAnsi="宋体" w:eastAsia="宋体"/>
                <w:sz w:val="16"/>
              </w:rPr>
              <w:t>&lt;=15万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AAFB">
            <w:pPr>
              <w:jc w:val="center"/>
            </w:pPr>
            <w:r>
              <w:rPr>
                <w:rFonts w:ascii="宋体" w:hAnsi="宋体" w:eastAsia="宋体"/>
                <w:sz w:val="16"/>
              </w:rPr>
              <w:t>15</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6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7A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5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1C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E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EF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59F4">
            <w:pPr>
              <w:jc w:val="center"/>
            </w:pPr>
          </w:p>
        </w:tc>
      </w:tr>
      <w:tr w14:paraId="37C4D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6C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8D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AD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0DD9">
            <w:pPr>
              <w:jc w:val="center"/>
            </w:pPr>
            <w:r>
              <w:rPr>
                <w:rFonts w:ascii="宋体" w:hAnsi="宋体" w:eastAsia="宋体"/>
                <w:sz w:val="16"/>
              </w:rPr>
              <w:t>提高我县营商环境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39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E96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6EA9">
            <w:pPr>
              <w:jc w:val="center"/>
            </w:pPr>
            <w:r>
              <w:rPr>
                <w:rFonts w:ascii="宋体" w:hAnsi="宋体" w:eastAsia="宋体"/>
                <w:sz w:val="16"/>
              </w:rPr>
              <w:tab/>
            </w: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9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08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2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6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9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7C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CF19">
            <w:pPr>
              <w:jc w:val="center"/>
            </w:pPr>
          </w:p>
        </w:tc>
      </w:tr>
      <w:tr w14:paraId="6CBEE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E4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AC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FC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C387">
            <w:pPr>
              <w:jc w:val="center"/>
            </w:pPr>
            <w:r>
              <w:rPr>
                <w:rFonts w:ascii="宋体" w:hAnsi="宋体" w:eastAsia="宋体"/>
                <w:sz w:val="16"/>
              </w:rPr>
              <w:t>入驻企业满意度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1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F5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66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E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AA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9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A5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D1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1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D9CD">
            <w:pPr>
              <w:jc w:val="center"/>
            </w:pPr>
          </w:p>
        </w:tc>
      </w:tr>
      <w:tr w14:paraId="1085D11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685A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7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CEB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2E2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915D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AC9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0B6D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6293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205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03BE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062218"/>
        </w:tc>
      </w:tr>
    </w:tbl>
    <w:p w14:paraId="3F7163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4072CBFB">
        <w:tblPrEx>
          <w:tblCellMar>
            <w:top w:w="0" w:type="dxa"/>
            <w:left w:w="108" w:type="dxa"/>
            <w:bottom w:w="0" w:type="dxa"/>
            <w:right w:w="108" w:type="dxa"/>
          </w:tblCellMar>
        </w:tblPrEx>
        <w:tc>
          <w:tcPr>
            <w:tcW w:w="8848" w:type="dxa"/>
            <w:gridSpan w:val="14"/>
            <w:vAlign w:val="center"/>
          </w:tcPr>
          <w:p w14:paraId="273DD358">
            <w:pPr>
              <w:jc w:val="center"/>
            </w:pPr>
            <w:r>
              <w:rPr>
                <w:rFonts w:ascii="宋体" w:hAnsi="宋体" w:eastAsia="宋体"/>
                <w:sz w:val="24"/>
              </w:rPr>
              <w:t>项目支出绩效自评表</w:t>
            </w:r>
          </w:p>
        </w:tc>
      </w:tr>
      <w:tr w14:paraId="27245A21">
        <w:tblPrEx>
          <w:tblCellMar>
            <w:top w:w="0" w:type="dxa"/>
            <w:left w:w="108" w:type="dxa"/>
            <w:bottom w:w="0" w:type="dxa"/>
            <w:right w:w="108" w:type="dxa"/>
          </w:tblCellMar>
        </w:tblPrEx>
        <w:tc>
          <w:tcPr>
            <w:tcW w:w="8848" w:type="dxa"/>
            <w:gridSpan w:val="14"/>
            <w:vAlign w:val="center"/>
          </w:tcPr>
          <w:p w14:paraId="36BD549C">
            <w:pPr>
              <w:jc w:val="center"/>
            </w:pPr>
            <w:r>
              <w:rPr>
                <w:rFonts w:ascii="宋体" w:hAnsi="宋体" w:eastAsia="宋体"/>
                <w:sz w:val="24"/>
              </w:rPr>
              <w:t>(2024年度)</w:t>
            </w:r>
          </w:p>
        </w:tc>
      </w:tr>
      <w:tr w14:paraId="2C1609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37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F67B31">
            <w:pPr>
              <w:jc w:val="center"/>
            </w:pPr>
            <w:r>
              <w:rPr>
                <w:rFonts w:ascii="宋体" w:hAnsi="宋体" w:eastAsia="宋体"/>
                <w:sz w:val="16"/>
              </w:rPr>
              <w:t>伊犁州特克斯县现代农牧业优势资源综合开发示范园项目</w:t>
            </w:r>
          </w:p>
        </w:tc>
      </w:tr>
      <w:tr w14:paraId="61DC80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8C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6E874">
            <w:pPr>
              <w:jc w:val="center"/>
            </w:pPr>
            <w:r>
              <w:rPr>
                <w:rFonts w:ascii="宋体" w:hAnsi="宋体" w:eastAsia="宋体"/>
                <w:sz w:val="16"/>
              </w:rPr>
              <w:t>特克斯县商务和工业信息化局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220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ECB1C8">
            <w:pPr>
              <w:jc w:val="center"/>
            </w:pPr>
            <w:r>
              <w:rPr>
                <w:rFonts w:ascii="宋体" w:hAnsi="宋体" w:eastAsia="宋体"/>
                <w:sz w:val="16"/>
              </w:rPr>
              <w:t>特克斯县商务和工业信息化局</w:t>
            </w:r>
          </w:p>
        </w:tc>
      </w:tr>
      <w:tr w14:paraId="57392E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26EB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14B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20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FE1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F15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D41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FE9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23B4">
            <w:pPr>
              <w:jc w:val="center"/>
            </w:pPr>
            <w:r>
              <w:rPr>
                <w:rFonts w:ascii="宋体" w:hAnsi="宋体" w:eastAsia="宋体"/>
                <w:sz w:val="16"/>
              </w:rPr>
              <w:t>得分</w:t>
            </w:r>
          </w:p>
        </w:tc>
      </w:tr>
      <w:tr w14:paraId="5687C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D3B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F01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83D39">
            <w:pPr>
              <w:jc w:val="center"/>
            </w:pPr>
            <w:r>
              <w:rPr>
                <w:rFonts w:ascii="宋体" w:hAnsi="宋体" w:eastAsia="宋体"/>
                <w:sz w:val="16"/>
              </w:rPr>
              <w:t>41.40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47045">
            <w:pPr>
              <w:jc w:val="center"/>
            </w:pPr>
            <w:r>
              <w:rPr>
                <w:rFonts w:ascii="宋体" w:hAnsi="宋体" w:eastAsia="宋体"/>
                <w:sz w:val="16"/>
              </w:rPr>
              <w:t>41.40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0F136">
            <w:pPr>
              <w:jc w:val="center"/>
            </w:pPr>
            <w:r>
              <w:rPr>
                <w:rFonts w:ascii="宋体" w:hAnsi="宋体" w:eastAsia="宋体"/>
                <w:sz w:val="16"/>
              </w:rPr>
              <w:t>41.40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244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2018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2870">
            <w:pPr>
              <w:jc w:val="center"/>
            </w:pPr>
            <w:r>
              <w:rPr>
                <w:rFonts w:ascii="宋体" w:hAnsi="宋体" w:eastAsia="宋体"/>
                <w:sz w:val="16"/>
              </w:rPr>
              <w:t>10.00</w:t>
            </w:r>
          </w:p>
        </w:tc>
      </w:tr>
      <w:tr w14:paraId="42D0F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84B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1DE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B9101">
            <w:pPr>
              <w:jc w:val="center"/>
            </w:pPr>
            <w:r>
              <w:rPr>
                <w:rFonts w:ascii="宋体" w:hAnsi="宋体" w:eastAsia="宋体"/>
                <w:sz w:val="16"/>
              </w:rPr>
              <w:t>41.40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B7D79">
            <w:pPr>
              <w:jc w:val="center"/>
            </w:pPr>
            <w:r>
              <w:rPr>
                <w:rFonts w:ascii="宋体" w:hAnsi="宋体" w:eastAsia="宋体"/>
                <w:sz w:val="16"/>
              </w:rPr>
              <w:t>41.40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F952E">
            <w:pPr>
              <w:jc w:val="center"/>
            </w:pPr>
            <w:r>
              <w:rPr>
                <w:rFonts w:ascii="宋体" w:hAnsi="宋体" w:eastAsia="宋体"/>
                <w:sz w:val="16"/>
              </w:rPr>
              <w:t>41.40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84E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30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BF53">
            <w:pPr>
              <w:jc w:val="center"/>
            </w:pPr>
            <w:r>
              <w:rPr>
                <w:rFonts w:ascii="宋体" w:hAnsi="宋体" w:eastAsia="宋体"/>
                <w:sz w:val="16"/>
              </w:rPr>
              <w:t>—</w:t>
            </w:r>
          </w:p>
        </w:tc>
      </w:tr>
      <w:tr w14:paraId="554E2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028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B2F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94E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643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CC8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865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B9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F717">
            <w:pPr>
              <w:jc w:val="center"/>
            </w:pPr>
            <w:r>
              <w:rPr>
                <w:rFonts w:ascii="宋体" w:hAnsi="宋体" w:eastAsia="宋体"/>
                <w:sz w:val="16"/>
              </w:rPr>
              <w:t>—</w:t>
            </w:r>
          </w:p>
        </w:tc>
      </w:tr>
      <w:tr w14:paraId="08C8EF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1E2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CCE2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8C35CC">
            <w:pPr>
              <w:jc w:val="center"/>
            </w:pPr>
            <w:r>
              <w:rPr>
                <w:rFonts w:ascii="宋体" w:hAnsi="宋体" w:eastAsia="宋体"/>
                <w:sz w:val="16"/>
              </w:rPr>
              <w:t>实际完成情况</w:t>
            </w:r>
          </w:p>
        </w:tc>
      </w:tr>
      <w:tr w14:paraId="50180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4E2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92ADF1">
            <w:pPr>
              <w:jc w:val="both"/>
            </w:pPr>
            <w:r>
              <w:rPr>
                <w:rFonts w:ascii="宋体" w:hAnsi="宋体" w:eastAsia="宋体"/>
                <w:sz w:val="16"/>
              </w:rPr>
              <w:t>项目占地1330.60亩，包括道路、给排水管网、供电、电信等基础设施的建设；新建标准化厂房及仓库建筑面积约86200平方米；新建园区企业服务配套用房约25048平方米。以农产品加工园区为载体，构建农村一二三产业融合发展体系，打造集品种培育、基地建设、加工转化、技术研发、现代物流、营销平台为一体的农产品加工园区，延长产业链、提升价值链、完善利益链，推动农产品加工业与农村</w:t>
            </w:r>
            <w:r>
              <w:rPr>
                <w:rFonts w:hint="eastAsia" w:ascii="宋体" w:hAnsi="宋体"/>
                <w:sz w:val="16"/>
                <w:lang w:eastAsia="zh-CN"/>
              </w:rPr>
              <w:t>其他</w:t>
            </w:r>
            <w:r>
              <w:rPr>
                <w:rFonts w:ascii="宋体" w:hAnsi="宋体" w:eastAsia="宋体"/>
                <w:sz w:val="16"/>
              </w:rPr>
              <w:t>产业深度融合。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EC625B">
            <w:pPr>
              <w:jc w:val="both"/>
            </w:pPr>
            <w:r>
              <w:rPr>
                <w:rFonts w:ascii="宋体" w:hAnsi="宋体" w:eastAsia="宋体"/>
                <w:sz w:val="16"/>
              </w:rPr>
              <w:t>一是通过建设配套完善的农副产品加工厂房，在项目建成后能为当地提供就业岗位近50个以上，带动增加脱贫人口全年总收入约3万元/年。二是本项目的建设可有效拉动和促进特克斯县农产品加工的发展，形成可持续发展的势态，加速支柱产业的确立和形成，提高产品的市场竞争力。三是本项目建设关联度大，产业链长的产业，可多方面带动地方经济发展，同时，本项目的实施活跃了城、县、乡、场经济，从而改变项目区贫穷落后的面貌，广开了地方财政收入门路，地方经济的发展必将带动地方农副产品加工产业的发展，可间接带动贫困户脱贫。</w:t>
            </w:r>
          </w:p>
        </w:tc>
      </w:tr>
      <w:tr w14:paraId="5D10FC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4B1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A1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A6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A0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44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3D5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444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F8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932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5E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74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3C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3D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DC25">
            <w:pPr>
              <w:jc w:val="center"/>
            </w:pPr>
            <w:r>
              <w:rPr>
                <w:rFonts w:ascii="宋体" w:hAnsi="宋体" w:eastAsia="宋体"/>
                <w:sz w:val="16"/>
              </w:rPr>
              <w:t>偏差原因分析及改进措施</w:t>
            </w:r>
          </w:p>
        </w:tc>
      </w:tr>
      <w:tr w14:paraId="4A3F0D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11E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5FAF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47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32B0">
            <w:pPr>
              <w:jc w:val="center"/>
            </w:pPr>
            <w:r>
              <w:rPr>
                <w:rFonts w:ascii="宋体" w:hAnsi="宋体" w:eastAsia="宋体"/>
                <w:sz w:val="16"/>
              </w:rPr>
              <w:t>水土保持总面积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CB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E4CF">
            <w:pPr>
              <w:jc w:val="center"/>
            </w:pPr>
            <w:r>
              <w:rPr>
                <w:rFonts w:ascii="宋体" w:hAnsi="宋体" w:eastAsia="宋体"/>
                <w:sz w:val="16"/>
              </w:rPr>
              <w:t>=41.40平方米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982E">
            <w:pPr>
              <w:jc w:val="center"/>
            </w:pPr>
            <w:r>
              <w:rPr>
                <w:rFonts w:ascii="宋体" w:hAnsi="宋体" w:eastAsia="宋体"/>
                <w:sz w:val="16"/>
              </w:rPr>
              <w:t>41.4平方米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0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C9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3B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A9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15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9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68D2">
            <w:pPr>
              <w:jc w:val="center"/>
            </w:pPr>
          </w:p>
        </w:tc>
      </w:tr>
      <w:tr w14:paraId="03C79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9F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D47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A0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C333">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3F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4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8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A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9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4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EF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2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5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BC3C">
            <w:pPr>
              <w:jc w:val="center"/>
            </w:pPr>
          </w:p>
        </w:tc>
      </w:tr>
      <w:tr w14:paraId="79DDD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C7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D6C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E1F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27ED">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C9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145F">
            <w:pPr>
              <w:jc w:val="center"/>
            </w:pPr>
            <w:r>
              <w:rPr>
                <w:rFonts w:ascii="宋体" w:hAnsi="宋体" w:eastAsia="宋体"/>
                <w:sz w:val="16"/>
              </w:rPr>
              <w:t>2022年5月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BC26">
            <w:pPr>
              <w:jc w:val="center"/>
            </w:pPr>
            <w:r>
              <w:rPr>
                <w:rFonts w:ascii="宋体" w:hAnsi="宋体" w:eastAsia="宋体"/>
                <w:sz w:val="16"/>
              </w:rPr>
              <w:t>2022年5月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21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47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C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6D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6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8AB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DCFF">
            <w:pPr>
              <w:jc w:val="center"/>
            </w:pPr>
          </w:p>
        </w:tc>
      </w:tr>
      <w:tr w14:paraId="6065E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91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10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3E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E09D">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C6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AE38">
            <w:pPr>
              <w:jc w:val="center"/>
            </w:pPr>
            <w:r>
              <w:rPr>
                <w:rFonts w:ascii="宋体" w:hAnsi="宋体" w:eastAsia="宋体"/>
                <w:sz w:val="16"/>
              </w:rPr>
              <w:t>2022年10月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778F">
            <w:pPr>
              <w:jc w:val="center"/>
            </w:pPr>
            <w:r>
              <w:rPr>
                <w:rFonts w:ascii="宋体" w:hAnsi="宋体" w:eastAsia="宋体"/>
                <w:sz w:val="16"/>
              </w:rPr>
              <w:t>2022年10月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F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26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C0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1A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E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36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1B5E">
            <w:pPr>
              <w:jc w:val="center"/>
            </w:pPr>
          </w:p>
        </w:tc>
      </w:tr>
      <w:tr w14:paraId="0B43B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5A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B97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5F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74F4">
            <w:pPr>
              <w:jc w:val="center"/>
            </w:pPr>
            <w:r>
              <w:rPr>
                <w:rFonts w:ascii="宋体" w:hAnsi="宋体" w:eastAsia="宋体"/>
                <w:sz w:val="16"/>
              </w:rPr>
              <w:t>每平方米水土保持补偿费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64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5863">
            <w:pPr>
              <w:jc w:val="center"/>
            </w:pPr>
            <w:r>
              <w:rPr>
                <w:rFonts w:ascii="宋体" w:hAnsi="宋体" w:eastAsia="宋体"/>
                <w:sz w:val="16"/>
              </w:rPr>
              <w:t>&lt;=1元/平方米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C338">
            <w:pPr>
              <w:jc w:val="center"/>
            </w:pPr>
            <w:r>
              <w:rPr>
                <w:rFonts w:ascii="宋体" w:hAnsi="宋体" w:eastAsia="宋体"/>
                <w:sz w:val="16"/>
              </w:rPr>
              <w:t>1元/平方米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2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05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3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5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E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E4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5A48">
            <w:pPr>
              <w:jc w:val="center"/>
            </w:pPr>
          </w:p>
        </w:tc>
      </w:tr>
      <w:tr w14:paraId="40336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FA0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B0C1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4549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A439">
            <w:pPr>
              <w:jc w:val="center"/>
            </w:pPr>
            <w:r>
              <w:rPr>
                <w:rFonts w:ascii="宋体" w:hAnsi="宋体" w:eastAsia="宋体"/>
                <w:sz w:val="16"/>
              </w:rPr>
              <w:t>带动增加脱贫人口全年总收入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8D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9D34">
            <w:pPr>
              <w:jc w:val="center"/>
            </w:pPr>
            <w:r>
              <w:rPr>
                <w:rFonts w:ascii="宋体" w:hAnsi="宋体" w:eastAsia="宋体"/>
                <w:sz w:val="16"/>
              </w:rPr>
              <w:t>&gt;=30000元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F28D">
            <w:pPr>
              <w:jc w:val="center"/>
            </w:pPr>
            <w:r>
              <w:rPr>
                <w:rFonts w:ascii="宋体" w:hAnsi="宋体" w:eastAsia="宋体"/>
                <w:sz w:val="16"/>
              </w:rPr>
              <w:t>30000元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2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01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E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54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32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7B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B41B">
            <w:pPr>
              <w:jc w:val="center"/>
            </w:pPr>
          </w:p>
        </w:tc>
      </w:tr>
      <w:tr w14:paraId="0C6B6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43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41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5E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6A53">
            <w:pPr>
              <w:jc w:val="center"/>
            </w:pPr>
            <w:r>
              <w:rPr>
                <w:rFonts w:ascii="宋体" w:hAnsi="宋体" w:eastAsia="宋体"/>
                <w:sz w:val="16"/>
              </w:rPr>
              <w:t>受益脱贫人口数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2C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ECE9">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E6A4">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3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58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89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29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06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A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2F78">
            <w:pPr>
              <w:jc w:val="center"/>
            </w:pPr>
          </w:p>
        </w:tc>
      </w:tr>
      <w:tr w14:paraId="1C1FE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53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E2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D7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E17F">
            <w:pPr>
              <w:jc w:val="center"/>
            </w:pPr>
            <w:r>
              <w:rPr>
                <w:rFonts w:ascii="宋体" w:hAnsi="宋体" w:eastAsia="宋体"/>
                <w:sz w:val="16"/>
              </w:rPr>
              <w:t>增加就业岗位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72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345C">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12E5">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B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8B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2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C7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1C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7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032B">
            <w:pPr>
              <w:jc w:val="center"/>
            </w:pPr>
          </w:p>
        </w:tc>
      </w:tr>
      <w:tr w14:paraId="72983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BD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9D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84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ABEE">
            <w:pPr>
              <w:jc w:val="center"/>
            </w:pPr>
            <w:r>
              <w:rPr>
                <w:rFonts w:ascii="宋体" w:hAnsi="宋体" w:eastAsia="宋体"/>
                <w:sz w:val="16"/>
              </w:rPr>
              <w:t>入驻企业满意度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67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9D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45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1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15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2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BD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E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A7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1B16">
            <w:pPr>
              <w:jc w:val="center"/>
            </w:pPr>
          </w:p>
        </w:tc>
      </w:tr>
      <w:tr w14:paraId="6B7199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C76F6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92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036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447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F60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B05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D1E2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5FA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F72B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B08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8FCE4"/>
        </w:tc>
      </w:tr>
    </w:tbl>
    <w:p w14:paraId="1A164C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594D4B7F">
        <w:tblPrEx>
          <w:tblCellMar>
            <w:top w:w="0" w:type="dxa"/>
            <w:left w:w="108" w:type="dxa"/>
            <w:bottom w:w="0" w:type="dxa"/>
            <w:right w:w="108" w:type="dxa"/>
          </w:tblCellMar>
        </w:tblPrEx>
        <w:tc>
          <w:tcPr>
            <w:tcW w:w="8848" w:type="dxa"/>
            <w:gridSpan w:val="14"/>
            <w:vAlign w:val="center"/>
          </w:tcPr>
          <w:p w14:paraId="0A7968BE">
            <w:pPr>
              <w:jc w:val="center"/>
            </w:pPr>
            <w:r>
              <w:rPr>
                <w:rFonts w:ascii="宋体" w:hAnsi="宋体" w:eastAsia="宋体"/>
                <w:sz w:val="24"/>
              </w:rPr>
              <w:t>项目支出绩效自评表</w:t>
            </w:r>
          </w:p>
        </w:tc>
      </w:tr>
      <w:tr w14:paraId="240499D9">
        <w:tblPrEx>
          <w:tblCellMar>
            <w:top w:w="0" w:type="dxa"/>
            <w:left w:w="108" w:type="dxa"/>
            <w:bottom w:w="0" w:type="dxa"/>
            <w:right w:w="108" w:type="dxa"/>
          </w:tblCellMar>
        </w:tblPrEx>
        <w:tc>
          <w:tcPr>
            <w:tcW w:w="8848" w:type="dxa"/>
            <w:gridSpan w:val="14"/>
            <w:vAlign w:val="center"/>
          </w:tcPr>
          <w:p w14:paraId="2C4C8575">
            <w:pPr>
              <w:jc w:val="center"/>
            </w:pPr>
            <w:r>
              <w:rPr>
                <w:rFonts w:ascii="宋体" w:hAnsi="宋体" w:eastAsia="宋体"/>
                <w:sz w:val="24"/>
              </w:rPr>
              <w:t>(2024年度)</w:t>
            </w:r>
          </w:p>
        </w:tc>
      </w:tr>
      <w:tr w14:paraId="6A1387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AF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B6E2D2">
            <w:pPr>
              <w:jc w:val="center"/>
            </w:pPr>
            <w:r>
              <w:rPr>
                <w:rFonts w:ascii="宋体" w:hAnsi="宋体" w:eastAsia="宋体"/>
                <w:sz w:val="16"/>
              </w:rPr>
              <w:t>外出招商引资项目</w:t>
            </w:r>
          </w:p>
        </w:tc>
      </w:tr>
      <w:tr w14:paraId="4BB137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58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7CCBC2">
            <w:pPr>
              <w:jc w:val="center"/>
            </w:pPr>
            <w:r>
              <w:rPr>
                <w:rFonts w:ascii="宋体" w:hAnsi="宋体" w:eastAsia="宋体"/>
                <w:sz w:val="16"/>
              </w:rPr>
              <w:t>特克斯县商务和工业信息化局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CE3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AF0AE3">
            <w:pPr>
              <w:jc w:val="center"/>
            </w:pPr>
            <w:r>
              <w:rPr>
                <w:rFonts w:ascii="宋体" w:hAnsi="宋体" w:eastAsia="宋体"/>
                <w:sz w:val="16"/>
              </w:rPr>
              <w:t>特克斯县商务和工业信息化局</w:t>
            </w:r>
          </w:p>
        </w:tc>
      </w:tr>
      <w:tr w14:paraId="1852E2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82DE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73E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792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74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8AE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70B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951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4590">
            <w:pPr>
              <w:jc w:val="center"/>
            </w:pPr>
            <w:r>
              <w:rPr>
                <w:rFonts w:ascii="宋体" w:hAnsi="宋体" w:eastAsia="宋体"/>
                <w:sz w:val="16"/>
              </w:rPr>
              <w:t>得分</w:t>
            </w:r>
          </w:p>
        </w:tc>
      </w:tr>
      <w:tr w14:paraId="0847F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246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4A2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8CBD9">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6B085">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7D35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BB5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9E22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8229">
            <w:pPr>
              <w:jc w:val="center"/>
            </w:pPr>
            <w:r>
              <w:rPr>
                <w:rFonts w:ascii="宋体" w:hAnsi="宋体" w:eastAsia="宋体"/>
                <w:sz w:val="16"/>
              </w:rPr>
              <w:t>10.00</w:t>
            </w:r>
          </w:p>
        </w:tc>
      </w:tr>
      <w:tr w14:paraId="3AA5F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ADF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5A7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C01A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91770">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67588">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D4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C9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42D4">
            <w:pPr>
              <w:jc w:val="center"/>
            </w:pPr>
            <w:r>
              <w:rPr>
                <w:rFonts w:ascii="宋体" w:hAnsi="宋体" w:eastAsia="宋体"/>
                <w:sz w:val="16"/>
              </w:rPr>
              <w:t>—</w:t>
            </w:r>
          </w:p>
        </w:tc>
      </w:tr>
      <w:tr w14:paraId="7C275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F38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760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DD7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BD3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5B2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F31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C4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CE60">
            <w:pPr>
              <w:jc w:val="center"/>
            </w:pPr>
            <w:r>
              <w:rPr>
                <w:rFonts w:ascii="宋体" w:hAnsi="宋体" w:eastAsia="宋体"/>
                <w:sz w:val="16"/>
              </w:rPr>
              <w:t>—</w:t>
            </w:r>
          </w:p>
        </w:tc>
      </w:tr>
      <w:tr w14:paraId="45781A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05A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F21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3CC0ED">
            <w:pPr>
              <w:jc w:val="center"/>
            </w:pPr>
            <w:r>
              <w:rPr>
                <w:rFonts w:ascii="宋体" w:hAnsi="宋体" w:eastAsia="宋体"/>
                <w:sz w:val="16"/>
              </w:rPr>
              <w:t>实际完成情况</w:t>
            </w:r>
          </w:p>
        </w:tc>
      </w:tr>
      <w:tr w14:paraId="5FB1B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501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6D04D">
            <w:pPr>
              <w:jc w:val="both"/>
            </w:pPr>
            <w:r>
              <w:rPr>
                <w:rFonts w:ascii="宋体" w:hAnsi="宋体" w:eastAsia="宋体"/>
                <w:sz w:val="16"/>
              </w:rPr>
              <w:t>根据2024年外出招商引资实施方案。促进地方经济增长。招商引资能有效带动财政收入的增加，促进我县财政的增长，实现了招商引资扩大与财政收入增加良性互动。持续优化营商环境、创新招商方式。实行招商引资项目手续代办，提前介入、联审联批，提高效率，切实为企业提供优质服务，提升企业落地投产信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376A90">
            <w:pPr>
              <w:jc w:val="both"/>
            </w:pPr>
            <w:r>
              <w:rPr>
                <w:rFonts w:ascii="宋体" w:hAnsi="宋体" w:eastAsia="宋体"/>
                <w:sz w:val="16"/>
              </w:rPr>
              <w:t>2024年，特克斯县计划完成招商引资任务47.15亿元、实现同比增速15%以上。聚焦自治区、州党委“八大产业集群”为支撑的现代产业体系，立足特克斯县文旅资源、生态环境以及绿色农牧业等优势延链补链，以“五大产业链”“六大园区”建设为契机，精心包装招商项目，靶向招引农牧业全产业链、特色农作物产业优质项目，推动特色农牧业资源优势向产品产值提升转化；依托八卦城、喀拉峻、琼库什台三张名片和五大景区打造，精准谋划全域旅游产业、康养产业、文创产业等项目招商，推动特色文化旅游资源优势向旅游消费产业发展转化。</w:t>
            </w:r>
          </w:p>
        </w:tc>
      </w:tr>
      <w:tr w14:paraId="02B6EF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184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3B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10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7E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EC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8A0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01D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9F5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239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9B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2A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D9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DF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F561">
            <w:pPr>
              <w:jc w:val="center"/>
            </w:pPr>
            <w:r>
              <w:rPr>
                <w:rFonts w:ascii="宋体" w:hAnsi="宋体" w:eastAsia="宋体"/>
                <w:sz w:val="16"/>
              </w:rPr>
              <w:t>偏差原因分析及改进措施</w:t>
            </w:r>
          </w:p>
        </w:tc>
      </w:tr>
      <w:tr w14:paraId="3BD3D3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A69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84B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1B1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C738">
            <w:pPr>
              <w:jc w:val="center"/>
            </w:pPr>
            <w:r>
              <w:rPr>
                <w:rFonts w:ascii="宋体" w:hAnsi="宋体" w:eastAsia="宋体"/>
                <w:sz w:val="16"/>
              </w:rPr>
              <w:t>外出招商活动天数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9D8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48B7">
            <w:pPr>
              <w:jc w:val="center"/>
            </w:pPr>
            <w:r>
              <w:rPr>
                <w:rFonts w:ascii="宋体" w:hAnsi="宋体" w:eastAsia="宋体"/>
                <w:sz w:val="16"/>
              </w:rPr>
              <w:t>&gt;=7天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16364">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6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C41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8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91A0">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D9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EA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2CFA">
            <w:pPr>
              <w:jc w:val="center"/>
            </w:pPr>
          </w:p>
        </w:tc>
      </w:tr>
      <w:tr w14:paraId="39ED8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29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AC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35A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41CB">
            <w:pPr>
              <w:jc w:val="center"/>
            </w:pPr>
            <w:r>
              <w:rPr>
                <w:rFonts w:ascii="宋体" w:hAnsi="宋体" w:eastAsia="宋体"/>
                <w:sz w:val="16"/>
              </w:rPr>
              <w:t>签单接待次数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1FF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FA1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5E9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B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7E4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3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140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C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5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1B3B">
            <w:pPr>
              <w:jc w:val="center"/>
            </w:pPr>
          </w:p>
        </w:tc>
      </w:tr>
      <w:tr w14:paraId="648C4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E0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B1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45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F628">
            <w:pPr>
              <w:jc w:val="center"/>
            </w:pPr>
            <w:r>
              <w:rPr>
                <w:rFonts w:ascii="宋体" w:hAnsi="宋体" w:eastAsia="宋体"/>
                <w:sz w:val="16"/>
              </w:rPr>
              <w:t>商务洽谈活动赴外完成及时性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89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6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4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A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86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34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FFF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8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7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E7DA">
            <w:pPr>
              <w:jc w:val="center"/>
            </w:pPr>
          </w:p>
        </w:tc>
      </w:tr>
      <w:tr w14:paraId="22AB0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AD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A0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54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3286">
            <w:pPr>
              <w:jc w:val="center"/>
            </w:pPr>
            <w:r>
              <w:rPr>
                <w:rFonts w:ascii="宋体" w:hAnsi="宋体" w:eastAsia="宋体"/>
                <w:sz w:val="16"/>
              </w:rPr>
              <w:t>项目资金到位及时性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3D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F1F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22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0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B8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C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1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6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13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FDBC">
            <w:pPr>
              <w:jc w:val="center"/>
            </w:pPr>
          </w:p>
        </w:tc>
      </w:tr>
      <w:tr w14:paraId="03838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736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8BF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F56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776D">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0D4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5FE9">
            <w:pPr>
              <w:jc w:val="center"/>
            </w:pPr>
            <w:r>
              <w:rPr>
                <w:rFonts w:ascii="宋体" w:hAnsi="宋体" w:eastAsia="宋体"/>
                <w:sz w:val="16"/>
              </w:rPr>
              <w:t>&lt;=33.50万元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496B">
            <w:pPr>
              <w:jc w:val="center"/>
            </w:pPr>
            <w:r>
              <w:rPr>
                <w:rFonts w:ascii="宋体" w:hAnsi="宋体" w:eastAsia="宋体"/>
                <w:sz w:val="16"/>
              </w:rPr>
              <w:t>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B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5F1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5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5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A6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E6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8489">
            <w:pPr>
              <w:jc w:val="center"/>
            </w:pPr>
          </w:p>
        </w:tc>
      </w:tr>
      <w:tr w14:paraId="21B56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D7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C1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6A8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86D3">
            <w:pPr>
              <w:jc w:val="center"/>
            </w:pPr>
            <w:r>
              <w:rPr>
                <w:rFonts w:ascii="宋体" w:hAnsi="宋体" w:eastAsia="宋体"/>
                <w:sz w:val="16"/>
              </w:rPr>
              <w:t>交通费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FA2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7417">
            <w:pPr>
              <w:jc w:val="center"/>
            </w:pPr>
            <w:r>
              <w:rPr>
                <w:rFonts w:ascii="宋体" w:hAnsi="宋体" w:eastAsia="宋体"/>
                <w:sz w:val="16"/>
              </w:rPr>
              <w:t>&lt;=21.33万元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6F20">
            <w:pPr>
              <w:jc w:val="center"/>
            </w:pPr>
            <w:r>
              <w:rPr>
                <w:rFonts w:ascii="宋体" w:hAnsi="宋体" w:eastAsia="宋体"/>
                <w:sz w:val="16"/>
              </w:rPr>
              <w:t>21.33万元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C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9D3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75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A4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5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2F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EFD4">
            <w:pPr>
              <w:jc w:val="center"/>
            </w:pPr>
          </w:p>
        </w:tc>
      </w:tr>
      <w:tr w14:paraId="042A3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B35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DD9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26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10A5">
            <w:pPr>
              <w:jc w:val="center"/>
            </w:pPr>
            <w:r>
              <w:rPr>
                <w:rFonts w:ascii="宋体" w:hAnsi="宋体" w:eastAsia="宋体"/>
                <w:sz w:val="16"/>
              </w:rPr>
              <w:t>提高我县招商营商环境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31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9FF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A011">
            <w:pPr>
              <w:jc w:val="center"/>
            </w:pPr>
            <w:r>
              <w:rPr>
                <w:rFonts w:ascii="宋体" w:hAnsi="宋体" w:eastAsia="宋体"/>
                <w:sz w:val="16"/>
              </w:rPr>
              <w:tab/>
            </w: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5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32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AB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23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4F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22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EA00">
            <w:pPr>
              <w:jc w:val="center"/>
            </w:pPr>
          </w:p>
        </w:tc>
      </w:tr>
      <w:tr w14:paraId="3BD1D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36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D83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9FF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C383">
            <w:pPr>
              <w:jc w:val="center"/>
            </w:pPr>
            <w:r>
              <w:rPr>
                <w:rFonts w:ascii="宋体" w:hAnsi="宋体" w:eastAsia="宋体"/>
                <w:sz w:val="16"/>
              </w:rPr>
              <w:t>全县外出招商引资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43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B652">
            <w:pPr>
              <w:jc w:val="center"/>
            </w:pPr>
            <w:r>
              <w:rPr>
                <w:rFonts w:ascii="宋体" w:hAnsi="宋体" w:eastAsia="宋体"/>
                <w:sz w:val="16"/>
              </w:rPr>
              <w:t>&gt;=30亿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32EC">
            <w:pPr>
              <w:jc w:val="center"/>
            </w:pPr>
            <w:r>
              <w:rPr>
                <w:rFonts w:ascii="宋体" w:hAnsi="宋体" w:eastAsia="宋体"/>
                <w:sz w:val="16"/>
              </w:rPr>
              <w:t>30</w:t>
            </w:r>
            <w:r>
              <w:rPr>
                <w:rFonts w:hint="eastAsia" w:ascii="宋体" w:hAnsi="宋体"/>
                <w:sz w:val="16"/>
                <w:lang w:eastAsia="zh-CN"/>
              </w:rPr>
              <w:t>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4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2C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F9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09F6">
            <w:pPr>
              <w:jc w:val="center"/>
            </w:pPr>
            <w:r>
              <w:rPr>
                <w:rFonts w:ascii="宋体" w:hAnsi="宋体" w:eastAsia="宋体"/>
                <w:sz w:val="16"/>
              </w:rPr>
              <w:t>&gt;=30亿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4D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3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FBF0">
            <w:pPr>
              <w:jc w:val="center"/>
            </w:pPr>
          </w:p>
        </w:tc>
      </w:tr>
      <w:tr w14:paraId="7FF58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DA1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CB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EB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B4BD">
            <w:pPr>
              <w:jc w:val="center"/>
            </w:pPr>
            <w:r>
              <w:rPr>
                <w:rFonts w:ascii="宋体" w:hAnsi="宋体" w:eastAsia="宋体"/>
                <w:sz w:val="16"/>
              </w:rPr>
              <w:t>入驻企业满意度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90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23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06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6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F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2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8F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E7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2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5157">
            <w:pPr>
              <w:jc w:val="center"/>
            </w:pPr>
          </w:p>
        </w:tc>
      </w:tr>
      <w:tr w14:paraId="366DDF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AF14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1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1B7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8EE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EB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8CF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59F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65D2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B90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1C95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3193F7"/>
        </w:tc>
      </w:tr>
    </w:tbl>
    <w:p w14:paraId="069E102F">
      <w:r>
        <w:br w:type="page"/>
      </w:r>
    </w:p>
    <w:p w14:paraId="09C2A170">
      <w:pPr>
        <w:spacing w:line="640" w:lineRule="exact"/>
        <w:ind w:firstLine="640"/>
        <w:jc w:val="both"/>
        <w:outlineLvl w:val="2"/>
      </w:pPr>
      <w:r>
        <w:rPr>
          <w:rFonts w:ascii="黑体" w:hAnsi="黑体" w:eastAsia="黑体"/>
          <w:sz w:val="32"/>
        </w:rPr>
        <w:t>十二、其他需说明的事项</w:t>
      </w:r>
    </w:p>
    <w:p w14:paraId="4763A96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637A22A">
      <w:r>
        <w:br w:type="page"/>
      </w:r>
    </w:p>
    <w:p w14:paraId="7ED08918">
      <w:pPr>
        <w:spacing w:line="240" w:lineRule="auto"/>
        <w:jc w:val="center"/>
        <w:outlineLvl w:val="1"/>
      </w:pPr>
      <w:r>
        <w:rPr>
          <w:rFonts w:ascii="黑体" w:hAnsi="黑体" w:eastAsia="黑体"/>
          <w:sz w:val="32"/>
        </w:rPr>
        <w:t>第三部分 专业名词解释</w:t>
      </w:r>
    </w:p>
    <w:p w14:paraId="0728654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2018C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80F34D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251EB4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BF1F69A">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E34169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81EC8E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6CC003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3A008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AB4904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96375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563CBBE2">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B912B3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DFF182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614D295">
      <w:r>
        <w:br w:type="page"/>
      </w:r>
    </w:p>
    <w:p w14:paraId="4D825078">
      <w:pPr>
        <w:spacing w:line="240" w:lineRule="auto"/>
        <w:jc w:val="center"/>
        <w:outlineLvl w:val="1"/>
      </w:pPr>
      <w:r>
        <w:rPr>
          <w:rFonts w:ascii="黑体" w:hAnsi="黑体" w:eastAsia="黑体"/>
          <w:sz w:val="32"/>
        </w:rPr>
        <w:t>第四部分 部门决算报表（见附表）</w:t>
      </w:r>
    </w:p>
    <w:p w14:paraId="130BB907">
      <w:pPr>
        <w:spacing w:line="240" w:lineRule="auto"/>
        <w:ind w:firstLine="640"/>
        <w:jc w:val="both"/>
      </w:pPr>
      <w:r>
        <w:rPr>
          <w:rFonts w:ascii="仿宋_GB2312" w:hAnsi="仿宋_GB2312" w:eastAsia="仿宋_GB2312"/>
          <w:b w:val="0"/>
          <w:sz w:val="32"/>
        </w:rPr>
        <w:t>一、《收入支出决算总表》</w:t>
      </w:r>
    </w:p>
    <w:p w14:paraId="2DB9B601">
      <w:pPr>
        <w:spacing w:line="240" w:lineRule="auto"/>
        <w:ind w:firstLine="640"/>
        <w:jc w:val="both"/>
      </w:pPr>
      <w:r>
        <w:rPr>
          <w:rFonts w:ascii="仿宋_GB2312" w:hAnsi="仿宋_GB2312" w:eastAsia="仿宋_GB2312"/>
          <w:b w:val="0"/>
          <w:sz w:val="32"/>
        </w:rPr>
        <w:t>二、《收入决算表》</w:t>
      </w:r>
    </w:p>
    <w:p w14:paraId="67A80C02">
      <w:pPr>
        <w:spacing w:line="240" w:lineRule="auto"/>
        <w:ind w:firstLine="640"/>
        <w:jc w:val="both"/>
      </w:pPr>
      <w:r>
        <w:rPr>
          <w:rFonts w:ascii="仿宋_GB2312" w:hAnsi="仿宋_GB2312" w:eastAsia="仿宋_GB2312"/>
          <w:b w:val="0"/>
          <w:sz w:val="32"/>
        </w:rPr>
        <w:t>三、《支出决算表》</w:t>
      </w:r>
    </w:p>
    <w:p w14:paraId="691AE393">
      <w:pPr>
        <w:spacing w:line="240" w:lineRule="auto"/>
        <w:ind w:firstLine="640"/>
        <w:jc w:val="both"/>
      </w:pPr>
      <w:r>
        <w:rPr>
          <w:rFonts w:ascii="仿宋_GB2312" w:hAnsi="仿宋_GB2312" w:eastAsia="仿宋_GB2312"/>
          <w:b w:val="0"/>
          <w:sz w:val="32"/>
        </w:rPr>
        <w:t>四、《财政拨款收入支出决算总表》</w:t>
      </w:r>
    </w:p>
    <w:p w14:paraId="2128F55B">
      <w:pPr>
        <w:spacing w:line="240" w:lineRule="auto"/>
        <w:ind w:firstLine="640"/>
        <w:jc w:val="both"/>
      </w:pPr>
      <w:r>
        <w:rPr>
          <w:rFonts w:ascii="仿宋_GB2312" w:hAnsi="仿宋_GB2312" w:eastAsia="仿宋_GB2312"/>
          <w:b w:val="0"/>
          <w:sz w:val="32"/>
        </w:rPr>
        <w:t>五、《一般公共预算财政拨款支出决算表》</w:t>
      </w:r>
    </w:p>
    <w:p w14:paraId="082E5984">
      <w:pPr>
        <w:spacing w:line="240" w:lineRule="auto"/>
        <w:ind w:firstLine="640"/>
        <w:jc w:val="both"/>
      </w:pPr>
      <w:r>
        <w:rPr>
          <w:rFonts w:ascii="仿宋_GB2312" w:hAnsi="仿宋_GB2312" w:eastAsia="仿宋_GB2312"/>
          <w:b w:val="0"/>
          <w:sz w:val="32"/>
        </w:rPr>
        <w:t>六、《一般公共预算财政拨款基本支出决算表》</w:t>
      </w:r>
    </w:p>
    <w:p w14:paraId="2573692D">
      <w:pPr>
        <w:spacing w:line="240" w:lineRule="auto"/>
        <w:ind w:firstLine="640"/>
        <w:jc w:val="both"/>
      </w:pPr>
      <w:r>
        <w:rPr>
          <w:rFonts w:ascii="仿宋_GB2312" w:hAnsi="仿宋_GB2312" w:eastAsia="仿宋_GB2312"/>
          <w:b w:val="0"/>
          <w:sz w:val="32"/>
        </w:rPr>
        <w:t>七、《政府性基金预算财政拨款收入支出决算表》</w:t>
      </w:r>
    </w:p>
    <w:p w14:paraId="156F87D4">
      <w:pPr>
        <w:spacing w:line="240" w:lineRule="auto"/>
        <w:ind w:firstLine="640"/>
        <w:jc w:val="both"/>
      </w:pPr>
      <w:r>
        <w:rPr>
          <w:rFonts w:ascii="仿宋_GB2312" w:hAnsi="仿宋_GB2312" w:eastAsia="仿宋_GB2312"/>
          <w:b w:val="0"/>
          <w:sz w:val="32"/>
        </w:rPr>
        <w:t>八、《国有资本经营预算财政拨款收入支出决算表》</w:t>
      </w:r>
    </w:p>
    <w:p w14:paraId="138353AA">
      <w:pPr>
        <w:spacing w:line="240" w:lineRule="auto"/>
        <w:ind w:firstLine="640"/>
        <w:jc w:val="both"/>
      </w:pPr>
      <w:r>
        <w:rPr>
          <w:rFonts w:ascii="仿宋_GB2312" w:hAnsi="仿宋_GB2312" w:eastAsia="仿宋_GB2312"/>
          <w:b w:val="0"/>
          <w:sz w:val="32"/>
        </w:rPr>
        <w:t>九、《财政拨款“三公”经费支出决算表》</w:t>
      </w:r>
    </w:p>
    <w:p w14:paraId="32F3B456">
      <w:pPr>
        <w:spacing w:line="240" w:lineRule="auto"/>
        <w:ind w:firstLine="640"/>
        <w:jc w:val="both"/>
      </w:pPr>
    </w:p>
    <w:p w14:paraId="1AC38EA0">
      <w:pPr>
        <w:spacing w:line="240" w:lineRule="auto"/>
        <w:ind w:firstLine="640"/>
        <w:jc w:val="both"/>
      </w:pPr>
    </w:p>
    <w:p w14:paraId="6AB6CB7A">
      <w:pPr>
        <w:spacing w:line="240" w:lineRule="auto"/>
        <w:ind w:firstLine="640"/>
        <w:jc w:val="both"/>
      </w:pPr>
    </w:p>
    <w:p w14:paraId="28D83931">
      <w:pPr>
        <w:spacing w:line="240" w:lineRule="auto"/>
        <w:ind w:firstLine="640"/>
        <w:jc w:val="both"/>
      </w:pPr>
    </w:p>
    <w:p w14:paraId="020AF9C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E96B1F"/>
    <w:rsid w:val="02F73D26"/>
    <w:rsid w:val="034D4FEF"/>
    <w:rsid w:val="043E5B56"/>
    <w:rsid w:val="05F12522"/>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5D05B4"/>
    <w:rsid w:val="464B7E04"/>
    <w:rsid w:val="464F7E64"/>
    <w:rsid w:val="46901EEE"/>
    <w:rsid w:val="469C74D2"/>
    <w:rsid w:val="47445515"/>
    <w:rsid w:val="4B4C0111"/>
    <w:rsid w:val="4BB23021"/>
    <w:rsid w:val="4F3F074E"/>
    <w:rsid w:val="50DB5F45"/>
    <w:rsid w:val="52F92565"/>
    <w:rsid w:val="543D17CB"/>
    <w:rsid w:val="54D15EA5"/>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816B46"/>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6792</Words>
  <Characters>7570</Characters>
  <Lines>0</Lines>
  <Paragraphs>0</Paragraphs>
  <TotalTime>5</TotalTime>
  <ScaleCrop>false</ScaleCrop>
  <LinksUpToDate>false</LinksUpToDate>
  <CharactersWithSpaces>7578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