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E1CF4D"/>
    <w:p w14:paraId="1E0469BB">
      <w:pPr>
        <w:spacing w:line="540" w:lineRule="exact"/>
        <w:jc w:val="center"/>
        <w:rPr>
          <w:rFonts w:hint="default" w:ascii="Times New Roman" w:hAnsi="Times New Roman" w:eastAsia="华文中宋" w:cs="Times New Roman"/>
          <w:b/>
          <w:color w:val="auto"/>
          <w:kern w:val="0"/>
          <w:sz w:val="52"/>
          <w:szCs w:val="52"/>
          <w:highlight w:val="none"/>
        </w:rPr>
      </w:pPr>
    </w:p>
    <w:p w14:paraId="65BF4DB1">
      <w:pPr>
        <w:spacing w:line="540" w:lineRule="exact"/>
        <w:rPr>
          <w:rFonts w:hint="default" w:ascii="Times New Roman" w:hAnsi="Times New Roman" w:eastAsia="华文中宋" w:cs="Times New Roman"/>
          <w:b/>
          <w:color w:val="auto"/>
          <w:kern w:val="0"/>
          <w:sz w:val="52"/>
          <w:szCs w:val="52"/>
          <w:highlight w:val="none"/>
        </w:rPr>
      </w:pPr>
    </w:p>
    <w:p w14:paraId="7649D2CF">
      <w:pPr>
        <w:spacing w:line="540" w:lineRule="exact"/>
        <w:jc w:val="center"/>
        <w:rPr>
          <w:rFonts w:hint="default" w:ascii="Times New Roman" w:hAnsi="Times New Roman" w:eastAsia="华文中宋" w:cs="Times New Roman"/>
          <w:b/>
          <w:color w:val="auto"/>
          <w:kern w:val="0"/>
          <w:sz w:val="52"/>
          <w:szCs w:val="52"/>
          <w:highlight w:val="none"/>
        </w:rPr>
      </w:pPr>
    </w:p>
    <w:p w14:paraId="6CB12488">
      <w:pPr>
        <w:spacing w:line="540" w:lineRule="exact"/>
        <w:jc w:val="center"/>
        <w:rPr>
          <w:rFonts w:hint="eastAsia" w:ascii="方正小标宋简体" w:hAnsi="方正小标宋简体" w:eastAsia="方正小标宋简体" w:cs="方正小标宋简体"/>
          <w:b/>
          <w:color w:val="auto"/>
          <w:kern w:val="0"/>
          <w:sz w:val="44"/>
          <w:szCs w:val="44"/>
          <w:highlight w:val="none"/>
        </w:rPr>
      </w:pPr>
    </w:p>
    <w:p w14:paraId="5A008E29">
      <w:pPr>
        <w:spacing w:line="540" w:lineRule="exact"/>
        <w:jc w:val="center"/>
        <w:rPr>
          <w:rFonts w:hint="eastAsia" w:ascii="方正小标宋简体" w:hAnsi="方正小标宋简体" w:eastAsia="方正小标宋简体" w:cs="方正小标宋简体"/>
          <w:color w:val="auto"/>
          <w:kern w:val="0"/>
          <w:sz w:val="44"/>
          <w:szCs w:val="44"/>
          <w:highlight w:val="none"/>
        </w:rPr>
      </w:pPr>
      <w:r>
        <w:rPr>
          <w:rFonts w:hint="eastAsia" w:ascii="方正小标宋简体" w:hAnsi="方正小标宋简体" w:eastAsia="方正小标宋简体" w:cs="方正小标宋简体"/>
          <w:color w:val="auto"/>
          <w:kern w:val="0"/>
          <w:sz w:val="44"/>
          <w:szCs w:val="44"/>
          <w:highlight w:val="none"/>
        </w:rPr>
        <w:t>行政大</w:t>
      </w:r>
      <w:r>
        <w:rPr>
          <w:rFonts w:hint="eastAsia" w:ascii="方正小标宋简体" w:hAnsi="方正小标宋简体" w:eastAsia="方正小标宋简体" w:cs="方正小标宋简体"/>
          <w:color w:val="auto"/>
          <w:kern w:val="0"/>
          <w:sz w:val="44"/>
          <w:szCs w:val="44"/>
          <w:highlight w:val="none"/>
          <w:lang w:val="en-US" w:eastAsia="zh-CN"/>
        </w:rPr>
        <w:t>楼</w:t>
      </w:r>
      <w:r>
        <w:rPr>
          <w:rFonts w:hint="eastAsia" w:ascii="方正小标宋简体" w:hAnsi="方正小标宋简体" w:eastAsia="方正小标宋简体" w:cs="方正小标宋简体"/>
          <w:color w:val="auto"/>
          <w:kern w:val="0"/>
          <w:sz w:val="44"/>
          <w:szCs w:val="44"/>
          <w:highlight w:val="none"/>
        </w:rPr>
        <w:t>运转保障经费（年初本级）</w:t>
      </w:r>
    </w:p>
    <w:p w14:paraId="7D78494E">
      <w:pPr>
        <w:spacing w:line="540" w:lineRule="exact"/>
        <w:jc w:val="center"/>
        <w:rPr>
          <w:rFonts w:hint="default" w:ascii="Times New Roman" w:hAnsi="Times New Roman" w:eastAsia="方正小标宋_GBK" w:cs="Times New Roman"/>
          <w:color w:val="auto"/>
          <w:kern w:val="0"/>
          <w:sz w:val="48"/>
          <w:szCs w:val="48"/>
          <w:highlight w:val="none"/>
        </w:rPr>
      </w:pPr>
      <w:r>
        <w:rPr>
          <w:rFonts w:hint="eastAsia" w:ascii="方正小标宋简体" w:hAnsi="方正小标宋简体" w:eastAsia="方正小标宋简体" w:cs="方正小标宋简体"/>
          <w:color w:val="auto"/>
          <w:kern w:val="0"/>
          <w:sz w:val="44"/>
          <w:szCs w:val="44"/>
          <w:highlight w:val="none"/>
        </w:rPr>
        <w:t>项目支出绩效评价报告</w:t>
      </w:r>
    </w:p>
    <w:p w14:paraId="3CD4C9A8">
      <w:pPr>
        <w:spacing w:line="540" w:lineRule="exact"/>
        <w:jc w:val="center"/>
        <w:rPr>
          <w:rFonts w:hint="default" w:ascii="Times New Roman" w:hAnsi="Times New Roman" w:eastAsia="华文中宋" w:cs="Times New Roman"/>
          <w:b/>
          <w:color w:val="auto"/>
          <w:kern w:val="0"/>
          <w:sz w:val="52"/>
          <w:szCs w:val="52"/>
          <w:highlight w:val="none"/>
        </w:rPr>
      </w:pPr>
    </w:p>
    <w:p w14:paraId="6F73C4B1">
      <w:pPr>
        <w:spacing w:line="540" w:lineRule="exact"/>
        <w:jc w:val="center"/>
        <w:rPr>
          <w:rFonts w:hint="default" w:ascii="Times New Roman" w:hAnsi="Times New Roman" w:eastAsia="仿宋_GB2312" w:cs="Times New Roman"/>
          <w:color w:val="auto"/>
          <w:kern w:val="0"/>
          <w:sz w:val="36"/>
          <w:szCs w:val="36"/>
          <w:highlight w:val="none"/>
        </w:rPr>
      </w:pPr>
      <w:r>
        <w:rPr>
          <w:rFonts w:hint="default" w:ascii="Times New Roman" w:hAnsi="Times New Roman" w:eastAsia="仿宋_GB2312" w:cs="Times New Roman"/>
          <w:color w:val="auto"/>
          <w:kern w:val="0"/>
          <w:sz w:val="36"/>
          <w:szCs w:val="36"/>
          <w:highlight w:val="none"/>
        </w:rPr>
        <w:t>（202</w:t>
      </w:r>
      <w:r>
        <w:rPr>
          <w:rFonts w:hint="default" w:ascii="Times New Roman" w:hAnsi="Times New Roman" w:eastAsia="仿宋_GB2312" w:cs="Times New Roman"/>
          <w:color w:val="auto"/>
          <w:kern w:val="0"/>
          <w:sz w:val="36"/>
          <w:szCs w:val="36"/>
          <w:highlight w:val="none"/>
          <w:lang w:val="en-US" w:eastAsia="zh-CN"/>
        </w:rPr>
        <w:t>4</w:t>
      </w:r>
      <w:r>
        <w:rPr>
          <w:rFonts w:hint="default" w:ascii="Times New Roman" w:hAnsi="Times New Roman" w:eastAsia="仿宋_GB2312" w:cs="Times New Roman"/>
          <w:color w:val="auto"/>
          <w:kern w:val="0"/>
          <w:sz w:val="36"/>
          <w:szCs w:val="36"/>
          <w:highlight w:val="none"/>
        </w:rPr>
        <w:t>年度）</w:t>
      </w:r>
    </w:p>
    <w:p w14:paraId="4D0B27D9">
      <w:pPr>
        <w:spacing w:line="540" w:lineRule="exact"/>
        <w:jc w:val="center"/>
        <w:rPr>
          <w:rFonts w:hint="default" w:ascii="Times New Roman" w:hAnsi="Times New Roman" w:eastAsia="仿宋_GB2312" w:cs="Times New Roman"/>
          <w:color w:val="auto"/>
          <w:kern w:val="0"/>
          <w:sz w:val="30"/>
          <w:szCs w:val="30"/>
          <w:highlight w:val="none"/>
        </w:rPr>
      </w:pPr>
    </w:p>
    <w:p w14:paraId="05A220F6">
      <w:pPr>
        <w:spacing w:line="540" w:lineRule="exact"/>
        <w:jc w:val="center"/>
        <w:rPr>
          <w:rFonts w:hint="default" w:ascii="Times New Roman" w:hAnsi="Times New Roman" w:eastAsia="仿宋_GB2312" w:cs="Times New Roman"/>
          <w:color w:val="auto"/>
          <w:kern w:val="0"/>
          <w:sz w:val="30"/>
          <w:szCs w:val="30"/>
          <w:highlight w:val="none"/>
        </w:rPr>
      </w:pPr>
    </w:p>
    <w:p w14:paraId="5D07C51C">
      <w:pPr>
        <w:spacing w:line="540" w:lineRule="exact"/>
        <w:jc w:val="center"/>
        <w:rPr>
          <w:rFonts w:hint="default" w:ascii="Times New Roman" w:hAnsi="Times New Roman" w:eastAsia="仿宋_GB2312" w:cs="Times New Roman"/>
          <w:color w:val="auto"/>
          <w:kern w:val="0"/>
          <w:sz w:val="30"/>
          <w:szCs w:val="30"/>
          <w:highlight w:val="none"/>
        </w:rPr>
      </w:pPr>
    </w:p>
    <w:p w14:paraId="0E891059">
      <w:pPr>
        <w:pStyle w:val="10"/>
        <w:rPr>
          <w:rFonts w:hint="default" w:ascii="Times New Roman" w:hAnsi="Times New Roman" w:cs="Times New Roman"/>
          <w:color w:val="auto"/>
          <w:highlight w:val="none"/>
        </w:rPr>
      </w:pPr>
    </w:p>
    <w:p w14:paraId="659A3256">
      <w:pPr>
        <w:spacing w:line="540" w:lineRule="exact"/>
        <w:rPr>
          <w:rFonts w:hint="default" w:ascii="Times New Roman" w:hAnsi="Times New Roman" w:eastAsia="仿宋_GB2312" w:cs="Times New Roman"/>
          <w:color w:val="auto"/>
          <w:kern w:val="0"/>
          <w:sz w:val="30"/>
          <w:szCs w:val="30"/>
          <w:highlight w:val="none"/>
        </w:rPr>
      </w:pPr>
    </w:p>
    <w:p w14:paraId="7879D1BD">
      <w:pPr>
        <w:spacing w:line="700" w:lineRule="exact"/>
        <w:ind w:firstLine="1280" w:firstLineChars="400"/>
        <w:jc w:val="left"/>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项目名称：行政大</w:t>
      </w:r>
      <w:r>
        <w:rPr>
          <w:rFonts w:hint="eastAsia" w:ascii="仿宋_GB2312" w:hAnsi="仿宋_GB2312" w:eastAsia="仿宋_GB2312" w:cs="仿宋_GB2312"/>
          <w:color w:val="auto"/>
          <w:kern w:val="0"/>
          <w:sz w:val="32"/>
          <w:szCs w:val="32"/>
          <w:highlight w:val="none"/>
          <w:lang w:val="en-US" w:eastAsia="zh-CN"/>
        </w:rPr>
        <w:t>楼</w:t>
      </w:r>
      <w:r>
        <w:rPr>
          <w:rFonts w:hint="eastAsia" w:ascii="仿宋_GB2312" w:hAnsi="仿宋_GB2312" w:eastAsia="仿宋_GB2312" w:cs="仿宋_GB2312"/>
          <w:color w:val="auto"/>
          <w:kern w:val="0"/>
          <w:sz w:val="32"/>
          <w:szCs w:val="32"/>
          <w:highlight w:val="none"/>
        </w:rPr>
        <w:t>运转保障经费（年初本级）</w:t>
      </w:r>
    </w:p>
    <w:p w14:paraId="2DEA3034">
      <w:pPr>
        <w:spacing w:line="700" w:lineRule="exact"/>
        <w:ind w:firstLine="1280" w:firstLineChars="400"/>
        <w:jc w:val="left"/>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实施单位（公章）：特克斯县</w:t>
      </w:r>
      <w:r>
        <w:rPr>
          <w:rFonts w:hint="eastAsia" w:ascii="仿宋_GB2312" w:hAnsi="仿宋_GB2312" w:eastAsia="仿宋_GB2312" w:cs="仿宋_GB2312"/>
          <w:color w:val="auto"/>
          <w:kern w:val="0"/>
          <w:sz w:val="32"/>
          <w:szCs w:val="32"/>
          <w:highlight w:val="none"/>
          <w:lang w:val="en-US" w:eastAsia="zh-CN"/>
        </w:rPr>
        <w:t>政务服务中心</w:t>
      </w:r>
    </w:p>
    <w:p w14:paraId="4435B031">
      <w:pPr>
        <w:spacing w:line="700" w:lineRule="exact"/>
        <w:ind w:firstLine="1280" w:firstLineChars="400"/>
        <w:jc w:val="left"/>
        <w:rPr>
          <w:rFonts w:hint="eastAsia" w:ascii="仿宋_GB2312" w:hAnsi="仿宋_GB2312" w:eastAsia="仿宋_GB2312" w:cs="仿宋_GB2312"/>
          <w:color w:val="auto"/>
          <w:kern w:val="0"/>
          <w:sz w:val="32"/>
          <w:szCs w:val="32"/>
          <w:highlight w:val="none"/>
          <w:lang w:val="en-US"/>
        </w:rPr>
      </w:pPr>
      <w:r>
        <w:rPr>
          <w:rFonts w:hint="eastAsia" w:ascii="仿宋_GB2312" w:hAnsi="仿宋_GB2312" w:eastAsia="仿宋_GB2312" w:cs="仿宋_GB2312"/>
          <w:color w:val="auto"/>
          <w:kern w:val="0"/>
          <w:sz w:val="32"/>
          <w:szCs w:val="32"/>
          <w:highlight w:val="none"/>
        </w:rPr>
        <w:t>主管部门（公章）：特克斯县</w:t>
      </w:r>
      <w:r>
        <w:rPr>
          <w:rFonts w:hint="eastAsia" w:ascii="仿宋_GB2312" w:hAnsi="仿宋_GB2312" w:eastAsia="仿宋_GB2312" w:cs="仿宋_GB2312"/>
          <w:color w:val="auto"/>
          <w:kern w:val="0"/>
          <w:sz w:val="32"/>
          <w:szCs w:val="32"/>
          <w:highlight w:val="none"/>
          <w:lang w:val="en-US" w:eastAsia="zh-CN"/>
        </w:rPr>
        <w:t>人民政府办公室</w:t>
      </w:r>
    </w:p>
    <w:p w14:paraId="7DA61ED9">
      <w:pPr>
        <w:spacing w:line="700" w:lineRule="exact"/>
        <w:ind w:firstLine="1280" w:firstLineChars="400"/>
        <w:jc w:val="left"/>
        <w:rPr>
          <w:rFonts w:hint="default" w:eastAsia="仿宋_GB2312" w:cs="Times New Roman"/>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项目负责人（签章）：</w:t>
      </w:r>
      <w:r>
        <w:rPr>
          <w:rFonts w:hint="eastAsia" w:ascii="仿宋_GB2312" w:hAnsi="仿宋_GB2312" w:eastAsia="仿宋_GB2312" w:cs="仿宋_GB2312"/>
          <w:color w:val="auto"/>
          <w:kern w:val="0"/>
          <w:sz w:val="32"/>
          <w:szCs w:val="32"/>
          <w:highlight w:val="none"/>
          <w:lang w:val="en-US" w:eastAsia="zh-CN"/>
        </w:rPr>
        <w:t>李玉玲</w:t>
      </w:r>
    </w:p>
    <w:p w14:paraId="1CD8859F">
      <w:pPr>
        <w:spacing w:line="700" w:lineRule="exact"/>
        <w:ind w:firstLine="1280" w:firstLineChars="400"/>
        <w:jc w:val="left"/>
        <w:rPr>
          <w:rFonts w:hint="default" w:ascii="Times New Roman" w:hAnsi="Times New Roman" w:eastAsia="仿宋_GB2312" w:cs="Times New Roman"/>
          <w:color w:val="auto"/>
          <w:kern w:val="0"/>
          <w:sz w:val="36"/>
          <w:szCs w:val="36"/>
          <w:highlight w:val="none"/>
        </w:rPr>
      </w:pPr>
      <w:r>
        <w:rPr>
          <w:rFonts w:hint="default" w:ascii="Times New Roman" w:hAnsi="Times New Roman" w:eastAsia="仿宋_GB2312" w:cs="Times New Roman"/>
          <w:color w:val="auto"/>
          <w:kern w:val="0"/>
          <w:sz w:val="32"/>
          <w:szCs w:val="32"/>
          <w:highlight w:val="none"/>
        </w:rPr>
        <w:t>填报时间：</w:t>
      </w:r>
      <w:r>
        <w:rPr>
          <w:rFonts w:hint="eastAsia" w:eastAsia="仿宋_GB2312" w:cs="Times New Roman"/>
          <w:color w:val="auto"/>
          <w:kern w:val="0"/>
          <w:sz w:val="32"/>
          <w:szCs w:val="32"/>
          <w:highlight w:val="none"/>
          <w:lang w:val="en-US" w:eastAsia="zh-CN"/>
        </w:rPr>
        <w:t>2025</w:t>
      </w:r>
      <w:r>
        <w:rPr>
          <w:rFonts w:hint="default" w:ascii="Times New Roman" w:hAnsi="Times New Roman" w:eastAsia="仿宋_GB2312" w:cs="Times New Roman"/>
          <w:color w:val="auto"/>
          <w:kern w:val="0"/>
          <w:sz w:val="32"/>
          <w:szCs w:val="32"/>
          <w:highlight w:val="none"/>
        </w:rPr>
        <w:t>年</w:t>
      </w:r>
      <w:r>
        <w:rPr>
          <w:rFonts w:hint="eastAsia" w:eastAsia="仿宋_GB2312" w:cs="Times New Roman"/>
          <w:color w:val="auto"/>
          <w:kern w:val="0"/>
          <w:sz w:val="32"/>
          <w:szCs w:val="32"/>
          <w:highlight w:val="none"/>
          <w:lang w:val="en-US" w:eastAsia="zh-CN"/>
        </w:rPr>
        <w:t>5</w:t>
      </w:r>
      <w:r>
        <w:rPr>
          <w:rFonts w:hint="default" w:ascii="Times New Roman" w:hAnsi="Times New Roman" w:eastAsia="仿宋_GB2312" w:cs="Times New Roman"/>
          <w:color w:val="auto"/>
          <w:kern w:val="0"/>
          <w:sz w:val="32"/>
          <w:szCs w:val="32"/>
          <w:highlight w:val="none"/>
        </w:rPr>
        <w:t>月</w:t>
      </w:r>
      <w:r>
        <w:rPr>
          <w:rFonts w:hint="eastAsia" w:eastAsia="仿宋_GB2312" w:cs="Times New Roman"/>
          <w:color w:val="auto"/>
          <w:kern w:val="0"/>
          <w:sz w:val="32"/>
          <w:szCs w:val="32"/>
          <w:highlight w:val="none"/>
          <w:lang w:val="en-US" w:eastAsia="zh-CN"/>
        </w:rPr>
        <w:t>9</w:t>
      </w:r>
      <w:r>
        <w:rPr>
          <w:rFonts w:hint="default" w:ascii="Times New Roman" w:hAnsi="Times New Roman" w:eastAsia="仿宋_GB2312" w:cs="Times New Roman"/>
          <w:color w:val="auto"/>
          <w:kern w:val="0"/>
          <w:sz w:val="32"/>
          <w:szCs w:val="32"/>
          <w:highlight w:val="none"/>
        </w:rPr>
        <w:t>日</w:t>
      </w:r>
    </w:p>
    <w:p w14:paraId="52A12748">
      <w:pPr>
        <w:spacing w:line="540" w:lineRule="exact"/>
        <w:jc w:val="center"/>
        <w:rPr>
          <w:rFonts w:hint="default" w:ascii="Times New Roman" w:hAnsi="Times New Roman" w:eastAsia="仿宋_GB2312" w:cs="Times New Roman"/>
          <w:color w:val="auto"/>
          <w:kern w:val="0"/>
          <w:sz w:val="30"/>
          <w:szCs w:val="30"/>
          <w:highlight w:val="none"/>
        </w:rPr>
      </w:pPr>
    </w:p>
    <w:p w14:paraId="0C67C634">
      <w:pPr>
        <w:spacing w:line="560" w:lineRule="exact"/>
        <w:rPr>
          <w:rFonts w:hint="default" w:ascii="Times New Roman" w:hAnsi="Times New Roman" w:eastAsia="黑体" w:cs="Times New Roman"/>
          <w:bCs/>
          <w:color w:val="auto"/>
          <w:sz w:val="32"/>
          <w:szCs w:val="32"/>
          <w:highlight w:val="none"/>
        </w:rPr>
        <w:sectPr>
          <w:pgSz w:w="11906" w:h="16838"/>
          <w:pgMar w:top="2098" w:right="1531" w:bottom="1984" w:left="1531" w:header="851" w:footer="992" w:gutter="0"/>
          <w:cols w:space="425" w:num="1"/>
          <w:docGrid w:type="lines" w:linePitch="312" w:charSpace="0"/>
        </w:sectPr>
      </w:pPr>
    </w:p>
    <w:p w14:paraId="4A39F933">
      <w:pPr>
        <w:spacing w:line="560" w:lineRule="exact"/>
        <w:ind w:firstLine="640" w:firstLineChars="200"/>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一、基本情况</w:t>
      </w:r>
      <w:bookmarkStart w:id="1" w:name="_GoBack"/>
      <w:bookmarkEnd w:id="1"/>
    </w:p>
    <w:p w14:paraId="01E21F49">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（一）项目概况</w:t>
      </w:r>
    </w:p>
    <w:p w14:paraId="0E6CBD5A">
      <w:pPr>
        <w:spacing w:line="560" w:lineRule="exact"/>
        <w:ind w:firstLine="643" w:firstLineChars="200"/>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项目背景</w:t>
      </w:r>
    </w:p>
    <w:p w14:paraId="4E056237">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深入贯彻落实习近平新时代中国特色社会主义思想和党的二十大精神、中央第三次新疆工作座谈会精神以及自治区党委全委（扩大）会议、州党委工作会议和县委全委扩大会议精神，编制特克斯县政务服务工作“十四五”规划，统筹谋划好特克斯县政务服务工作改革发展，是实现特克斯县政务服务治理体系和治理能力现代化的必然要求和重要举措，是聚焦总目标、服务新时代党的治疆方略的客观要求和实际行动。</w:t>
      </w:r>
    </w:p>
    <w:p w14:paraId="254E4FF4">
      <w:pPr>
        <w:pStyle w:val="10"/>
        <w:numPr>
          <w:ilvl w:val="0"/>
          <w:numId w:val="0"/>
        </w:numPr>
        <w:spacing w:before="0" w:after="0" w:line="560" w:lineRule="exact"/>
        <w:ind w:firstLine="640" w:firstLineChars="200"/>
        <w:jc w:val="both"/>
        <w:rPr>
          <w:rFonts w:hint="eastAsia" w:ascii="宋体" w:hAnsi="宋体" w:eastAsia="宋体" w:cs="宋体"/>
          <w:i w:val="0"/>
          <w:iCs w:val="0"/>
          <w:caps w:val="0"/>
          <w:color w:val="auto"/>
          <w:spacing w:val="0"/>
          <w:sz w:val="21"/>
          <w:szCs w:val="21"/>
          <w:highlight w:val="none"/>
          <w:shd w:val="clear" w:color="auto" w:fill="FFFFFF"/>
        </w:rPr>
      </w:pPr>
      <w:r>
        <w:rPr>
          <w:rFonts w:hint="eastAsia" w:ascii="仿宋_GB2312" w:hAnsi="仿宋_GB2312" w:eastAsia="仿宋_GB2312" w:cs="仿宋_GB2312"/>
          <w:b w:val="0"/>
          <w:bCs w:val="0"/>
          <w:color w:val="auto"/>
          <w:sz w:val="32"/>
          <w:szCs w:val="32"/>
          <w:highlight w:val="none"/>
          <w:lang w:val="en-US" w:eastAsia="zh-CN"/>
        </w:rPr>
        <w:t>特克斯县政务服务工作是县委、县政府工作的重要组成部分，是贯彻落实好“十件民生实事”，规范化、标准化改造政务服务“一站式”环境建设，提升行政效能，着力打造服务更优、效率更高、惠企便民的一流政务服务。在推动服务县委、县政府中心工作、保障营商环境持续改善、服务企业群众发挥着重要作用。</w:t>
      </w:r>
    </w:p>
    <w:p w14:paraId="0E3207F4">
      <w:pPr>
        <w:pStyle w:val="10"/>
        <w:numPr>
          <w:ilvl w:val="0"/>
          <w:numId w:val="0"/>
        </w:numPr>
        <w:spacing w:before="0" w:after="0" w:line="560" w:lineRule="exact"/>
        <w:ind w:firstLine="643" w:firstLineChars="200"/>
        <w:jc w:val="both"/>
        <w:rPr>
          <w:rFonts w:hint="default" w:ascii="Times New Roman" w:hAnsi="Times New Roman" w:eastAsia="仿宋_GB2312" w:cs="Times New Roman"/>
          <w:color w:val="auto"/>
          <w:kern w:val="2"/>
          <w:highlight w:val="none"/>
        </w:rPr>
      </w:pPr>
      <w:r>
        <w:rPr>
          <w:rFonts w:hint="default" w:ascii="Times New Roman" w:hAnsi="Times New Roman" w:eastAsia="仿宋_GB2312" w:cs="Times New Roman"/>
          <w:color w:val="auto"/>
          <w:kern w:val="2"/>
          <w:highlight w:val="none"/>
          <w:lang w:val="en-US" w:eastAsia="zh-CN"/>
        </w:rPr>
        <w:t>2.</w:t>
      </w:r>
      <w:r>
        <w:rPr>
          <w:rFonts w:hint="default" w:ascii="Times New Roman" w:hAnsi="Times New Roman" w:eastAsia="仿宋_GB2312" w:cs="Times New Roman"/>
          <w:color w:val="auto"/>
          <w:kern w:val="2"/>
          <w:highlight w:val="none"/>
        </w:rPr>
        <w:t>项目主要内容：</w:t>
      </w:r>
    </w:p>
    <w:p w14:paraId="7BCF7177">
      <w:pPr>
        <w:spacing w:line="560" w:lineRule="exact"/>
        <w:ind w:firstLine="640" w:firstLineChars="200"/>
        <w:rPr>
          <w:rFonts w:hint="default" w:ascii="仿宋_GB2312" w:hAnsi="仿宋_GB2312" w:eastAsia="仿宋_GB2312" w:cs="仿宋_GB2312"/>
          <w:b w:val="0"/>
          <w:bCs w:val="0"/>
          <w:color w:val="auto"/>
          <w:kern w:val="28"/>
          <w:sz w:val="32"/>
          <w:szCs w:val="32"/>
          <w:highlight w:val="none"/>
          <w:lang w:val="en-US" w:eastAsia="zh-CN" w:bidi="ar-SA"/>
        </w:rPr>
      </w:pPr>
      <w:r>
        <w:rPr>
          <w:rFonts w:hint="default" w:ascii="仿宋_GB2312" w:hAnsi="仿宋_GB2312" w:eastAsia="仿宋_GB2312" w:cs="仿宋_GB2312"/>
          <w:b w:val="0"/>
          <w:bCs w:val="0"/>
          <w:color w:val="auto"/>
          <w:kern w:val="28"/>
          <w:sz w:val="32"/>
          <w:szCs w:val="32"/>
          <w:highlight w:val="none"/>
          <w:lang w:val="en-US" w:eastAsia="zh-CN" w:bidi="ar-SA"/>
        </w:rPr>
        <w:t>项目主要内容：</w:t>
      </w:r>
      <w:r>
        <w:rPr>
          <w:rFonts w:hint="eastAsia" w:ascii="仿宋_GB2312" w:hAnsi="仿宋_GB2312" w:eastAsia="仿宋_GB2312" w:cs="仿宋_GB2312"/>
          <w:b w:val="0"/>
          <w:bCs w:val="0"/>
          <w:color w:val="auto"/>
          <w:kern w:val="28"/>
          <w:sz w:val="32"/>
          <w:szCs w:val="32"/>
          <w:highlight w:val="none"/>
          <w:lang w:val="en-US" w:eastAsia="zh-CN" w:bidi="ar-SA"/>
        </w:rPr>
        <w:t>保障我单位7名公益性岗位工资、社保支出，确保行政大楼内环境干净整洁、水电网正常运转、行政大楼日常维修保养，各项任务顺利完成。</w:t>
      </w:r>
    </w:p>
    <w:p w14:paraId="24F8E5B8">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left"/>
        <w:textAlignment w:val="auto"/>
        <w:rPr>
          <w:rFonts w:hint="eastAsia"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项目实施情况</w:t>
      </w:r>
      <w:r>
        <w:rPr>
          <w:rFonts w:hint="eastAsia" w:eastAsia="仿宋_GB2312" w:cs="Times New Roman"/>
          <w:color w:val="auto"/>
          <w:sz w:val="32"/>
          <w:szCs w:val="32"/>
          <w:highlight w:val="none"/>
          <w:lang w:eastAsia="zh-CN"/>
        </w:rPr>
        <w:t>：</w:t>
      </w:r>
    </w:p>
    <w:p w14:paraId="393F4FA2">
      <w:pPr>
        <w:spacing w:line="560" w:lineRule="exact"/>
        <w:ind w:firstLine="640" w:firstLineChars="200"/>
        <w:rPr>
          <w:rFonts w:hint="default" w:ascii="仿宋_GB2312" w:hAnsi="仿宋_GB2312" w:eastAsia="仿宋_GB2312" w:cs="仿宋_GB2312"/>
          <w:b w:val="0"/>
          <w:bCs w:val="0"/>
          <w:color w:val="auto"/>
          <w:kern w:val="28"/>
          <w:sz w:val="32"/>
          <w:szCs w:val="32"/>
          <w:highlight w:val="none"/>
          <w:lang w:val="en-US" w:eastAsia="zh-CN" w:bidi="ar-SA"/>
        </w:rPr>
      </w:pPr>
      <w:r>
        <w:rPr>
          <w:rFonts w:hint="eastAsia" w:ascii="仿宋_GB2312" w:hAnsi="仿宋_GB2312" w:eastAsia="仿宋_GB2312" w:cs="仿宋_GB2312"/>
          <w:b w:val="0"/>
          <w:bCs w:val="0"/>
          <w:color w:val="auto"/>
          <w:kern w:val="28"/>
          <w:sz w:val="32"/>
          <w:szCs w:val="32"/>
          <w:highlight w:val="none"/>
          <w:lang w:val="en-US" w:eastAsia="zh-CN" w:bidi="ar-SA"/>
        </w:rPr>
        <w:t>6.00万元保障7名公益性岗位1-12月社保缴纳及工资，平均714.28元/人/月。89万元保障行政大楼日常运转，各项任务的顺利完成。</w:t>
      </w:r>
    </w:p>
    <w:p w14:paraId="02F1A9B8">
      <w:pPr>
        <w:spacing w:line="560" w:lineRule="exact"/>
        <w:ind w:firstLine="643" w:firstLineChars="200"/>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3</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资金投入和使用情况</w:t>
      </w:r>
    </w:p>
    <w:p w14:paraId="5E5C8962">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（1）资金投入情况</w:t>
      </w:r>
    </w:p>
    <w:p w14:paraId="07DD45C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95</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95</w:t>
      </w:r>
      <w:r>
        <w:rPr>
          <w:rFonts w:hint="default" w:ascii="Times New Roman" w:hAnsi="Times New Roman" w:eastAsia="仿宋_GB2312" w:cs="Times New Roman"/>
          <w:color w:val="auto"/>
          <w:sz w:val="32"/>
          <w:szCs w:val="32"/>
          <w:highlight w:val="none"/>
          <w:lang w:val="en-US" w:eastAsia="zh-CN"/>
        </w:rPr>
        <w:t>万元，该项目资金已全部落实到位，资金来源为</w:t>
      </w:r>
      <w:r>
        <w:rPr>
          <w:rFonts w:hint="eastAsia"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en-US" w:eastAsia="zh-CN"/>
        </w:rPr>
        <w:t>。（2）资金使用情况</w:t>
      </w:r>
    </w:p>
    <w:p w14:paraId="564B3C62">
      <w:pPr>
        <w:shd w:val="clear" w:color="auto" w:fill="auto"/>
        <w:spacing w:line="600" w:lineRule="exact"/>
        <w:ind w:firstLine="640" w:firstLineChars="200"/>
        <w:outlineLvl w:val="0"/>
        <w:rPr>
          <w:rFonts w:hint="default" w:ascii="仿宋_GB2312" w:hAnsi="仿宋_GB2312" w:eastAsia="仿宋_GB2312" w:cs="仿宋_GB2312"/>
          <w:b w:val="0"/>
          <w:bCs w:val="0"/>
          <w:color w:val="auto"/>
          <w:kern w:val="28"/>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95</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95</w:t>
      </w:r>
      <w:r>
        <w:rPr>
          <w:rFonts w:hint="default" w:ascii="Times New Roman" w:hAnsi="Times New Roman" w:eastAsia="仿宋_GB2312" w:cs="Times New Roman"/>
          <w:color w:val="auto"/>
          <w:sz w:val="32"/>
          <w:szCs w:val="32"/>
          <w:highlight w:val="none"/>
          <w:lang w:val="en-US" w:eastAsia="zh-CN"/>
        </w:rPr>
        <w:t>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94.86</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99.85</w:t>
      </w:r>
      <w:r>
        <w:rPr>
          <w:rFonts w:hint="default" w:ascii="Times New Roman" w:hAnsi="Times New Roman" w:eastAsia="仿宋_GB2312" w:cs="Times New Roman"/>
          <w:color w:val="auto"/>
          <w:sz w:val="32"/>
          <w:szCs w:val="32"/>
          <w:highlight w:val="none"/>
          <w:lang w:val="en-US" w:eastAsia="zh-CN"/>
        </w:rPr>
        <w:t>%，主要用于：</w:t>
      </w:r>
      <w:r>
        <w:rPr>
          <w:rFonts w:hint="eastAsia" w:ascii="仿宋_GB2312" w:hAnsi="仿宋_GB2312" w:eastAsia="仿宋_GB2312" w:cs="仿宋_GB2312"/>
          <w:b w:val="0"/>
          <w:bCs w:val="0"/>
          <w:color w:val="auto"/>
          <w:kern w:val="28"/>
          <w:sz w:val="32"/>
          <w:szCs w:val="32"/>
          <w:highlight w:val="none"/>
          <w:lang w:val="en-US" w:eastAsia="zh-CN" w:bidi="ar-SA"/>
        </w:rPr>
        <w:t>保障综合大楼水电暖网，电梯、消防等后勤保养正常运转，各单位工作正常开展，服务群众，各项任务顺利完成。</w:t>
      </w:r>
    </w:p>
    <w:p w14:paraId="5FEFFCF5">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（二）项目绩效目标</w:t>
      </w:r>
    </w:p>
    <w:p w14:paraId="7432C0DF">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总体目标</w:t>
      </w:r>
    </w:p>
    <w:p w14:paraId="764E6442">
      <w:pPr>
        <w:shd w:val="clear" w:color="auto" w:fill="auto"/>
        <w:spacing w:line="600" w:lineRule="exact"/>
        <w:ind w:firstLine="640" w:firstLineChars="200"/>
        <w:outlineLvl w:val="0"/>
        <w:rPr>
          <w:rFonts w:hint="eastAsia" w:ascii="仿宋_GB2312" w:hAnsi="仿宋_GB2312" w:eastAsia="仿宋_GB2312" w:cs="仿宋_GB2312"/>
          <w:b w:val="0"/>
          <w:bCs w:val="0"/>
          <w:color w:val="auto"/>
          <w:kern w:val="28"/>
          <w:sz w:val="32"/>
          <w:szCs w:val="32"/>
          <w:highlight w:val="none"/>
          <w:lang w:val="en-US" w:eastAsia="zh-CN" w:bidi="ar-SA"/>
        </w:rPr>
      </w:pPr>
      <w:r>
        <w:rPr>
          <w:rFonts w:hint="eastAsia" w:ascii="仿宋_GB2312" w:hAnsi="仿宋_GB2312" w:eastAsia="仿宋_GB2312" w:cs="仿宋_GB2312"/>
          <w:b w:val="0"/>
          <w:bCs w:val="0"/>
          <w:color w:val="auto"/>
          <w:kern w:val="28"/>
          <w:sz w:val="32"/>
          <w:szCs w:val="32"/>
          <w:highlight w:val="none"/>
          <w:lang w:val="en-US" w:eastAsia="zh-CN" w:bidi="ar-SA"/>
        </w:rPr>
        <w:t>发放公益性岗位工资，保障行政服务大楼干净整洁，服务办事群众，正常保障大楼水电暖网，电梯、消防、办公用房等正常运转，保障综合楼各单位工作正常开展，服务群众。</w:t>
      </w:r>
    </w:p>
    <w:p w14:paraId="44B2402D">
      <w:pPr>
        <w:spacing w:line="560" w:lineRule="exact"/>
        <w:ind w:firstLine="640" w:firstLineChars="200"/>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color w:val="auto"/>
          <w:sz w:val="32"/>
          <w:szCs w:val="32"/>
          <w:highlight w:val="none"/>
        </w:rPr>
        <w:t>2</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阶段性目标</w:t>
      </w:r>
      <w:r>
        <w:rPr>
          <w:rFonts w:hint="eastAsia" w:eastAsia="仿宋_GB2312" w:cs="Times New Roman"/>
          <w:color w:val="auto"/>
          <w:sz w:val="32"/>
          <w:szCs w:val="32"/>
          <w:highlight w:val="none"/>
          <w:lang w:val="en-US" w:eastAsia="zh-CN"/>
        </w:rPr>
        <w:t>1-12月每月需按时完成公益性岗位人员社保缴纳、工资发放，需按计划完成</w:t>
      </w:r>
      <w:r>
        <w:rPr>
          <w:rFonts w:hint="eastAsia" w:ascii="仿宋_GB2312" w:hAnsi="仿宋_GB2312" w:eastAsia="仿宋_GB2312" w:cs="仿宋_GB2312"/>
          <w:b w:val="0"/>
          <w:bCs w:val="0"/>
          <w:color w:val="auto"/>
          <w:kern w:val="28"/>
          <w:sz w:val="32"/>
          <w:szCs w:val="32"/>
          <w:highlight w:val="none"/>
          <w:lang w:val="en-US" w:eastAsia="zh-CN" w:bidi="ar-SA"/>
        </w:rPr>
        <w:t>保障行政大楼水电费、暖气费，网络和监控费，电梯维保、检验、保险费，消防维保、维修费等后勤</w:t>
      </w:r>
      <w:r>
        <w:rPr>
          <w:rFonts w:hint="eastAsia" w:eastAsia="仿宋_GB2312" w:cs="Times New Roman"/>
          <w:color w:val="auto"/>
          <w:sz w:val="32"/>
          <w:szCs w:val="32"/>
          <w:highlight w:val="none"/>
          <w:lang w:val="en-US" w:eastAsia="zh-CN"/>
        </w:rPr>
        <w:t>日常维修保养，保障行政大楼后勤设施正常运转。</w:t>
      </w:r>
    </w:p>
    <w:p w14:paraId="3A5FAAB0">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二、绩效评价工作开展情况</w:t>
      </w:r>
    </w:p>
    <w:p w14:paraId="1D750573">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（一）绩效评价目的、对象和范围</w:t>
      </w:r>
    </w:p>
    <w:p w14:paraId="04BBCC00">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val="en-US" w:eastAsia="zh-CN"/>
        </w:rPr>
      </w:pPr>
      <w:r>
        <w:rPr>
          <w:rFonts w:hint="default" w:ascii="Times New Roman" w:hAnsi="Times New Roman" w:eastAsia="仿宋_GB2312" w:cs="Times New Roman"/>
          <w:b w:val="0"/>
          <w:bCs w:val="0"/>
          <w:color w:val="auto"/>
          <w:highlight w:val="none"/>
          <w:lang w:val="en-US" w:eastAsia="zh-CN"/>
        </w:rPr>
        <w:t>1.绩效评价完整性</w:t>
      </w:r>
    </w:p>
    <w:p w14:paraId="7717006D">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1EFF1A60">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在评价指标体系的构建上，充分考虑了项目的性质、目标以及预期成果，选取了具有代表性和可衡量性的关键指标，涵盖了社会效益维度，力求全方位反映项目的绩效状况。同时，对于每个指标的评价标准和数据来源均进行了明确说明，确保评价结果的客观性和可追溯性。</w:t>
      </w:r>
    </w:p>
    <w:p w14:paraId="69AFAF74">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175C2AED">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671191BF">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946CAD7">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绩效评价的目的</w:t>
      </w:r>
    </w:p>
    <w:p w14:paraId="243C82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（1）评估项目实施效果</w:t>
      </w:r>
    </w:p>
    <w:p w14:paraId="46C3E2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通过对项目预算执行情况及各项绩效目标达成程度的系统性分析，全面、客观地评估项目在预定周期内的实施效果，社会效益维度指标，为项目后续的改进与优化提供科学依据。</w:t>
      </w:r>
    </w:p>
    <w:p w14:paraId="6439F7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（2）提升资源利用效率</w:t>
      </w:r>
    </w:p>
    <w:p w14:paraId="34DF04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3B6B0D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（3）强化项目管理责任</w:t>
      </w:r>
    </w:p>
    <w:p w14:paraId="4A7B7F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19E254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（4）为决策提供支持</w:t>
      </w:r>
    </w:p>
    <w:p w14:paraId="17C172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494342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（5）促进项目持续改进</w:t>
      </w:r>
    </w:p>
    <w:p w14:paraId="776448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1A0472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2CD8613F">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lang w:val="en-US" w:eastAsia="zh-CN"/>
        </w:rPr>
        <w:t>3</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绩效评价的对象</w:t>
      </w:r>
    </w:p>
    <w:p w14:paraId="4DFCC0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本项目预算绩效评价报告的评价对象是</w:t>
      </w:r>
      <w:r>
        <w:rPr>
          <w:rFonts w:hint="eastAsia" w:ascii="Times New Roman" w:hAnsi="Times New Roman" w:eastAsia="仿宋_GB2312" w:cs="Times New Roman"/>
          <w:color w:val="auto"/>
          <w:sz w:val="32"/>
          <w:szCs w:val="32"/>
          <w:highlight w:val="none"/>
          <w:lang w:val="en-US" w:eastAsia="zh-CN"/>
        </w:rPr>
        <w:t>行政大楼运转保障经费（年初本级）</w:t>
      </w:r>
      <w:r>
        <w:rPr>
          <w:rFonts w:hint="default" w:ascii="Times New Roman" w:hAnsi="Times New Roman" w:eastAsia="仿宋_GB2312" w:cs="Times New Roman"/>
          <w:color w:val="auto"/>
          <w:sz w:val="32"/>
          <w:szCs w:val="32"/>
          <w:highlight w:val="none"/>
          <w:lang w:val="en-US" w:eastAsia="zh-CN"/>
        </w:rPr>
        <w:t>及其预算执行情况。该项目由</w:t>
      </w:r>
      <w:r>
        <w:rPr>
          <w:rFonts w:hint="eastAsia" w:ascii="Times New Roman" w:hAnsi="Times New Roman" w:eastAsia="仿宋_GB2312" w:cs="Times New Roman"/>
          <w:color w:val="auto"/>
          <w:sz w:val="32"/>
          <w:szCs w:val="32"/>
          <w:highlight w:val="none"/>
          <w:lang w:val="en-US" w:eastAsia="zh-CN"/>
        </w:rPr>
        <w:t>特克斯县政务服务中心</w:t>
      </w:r>
      <w:r>
        <w:rPr>
          <w:rFonts w:hint="default" w:ascii="Times New Roman" w:hAnsi="Times New Roman" w:eastAsia="仿宋_GB2312" w:cs="Times New Roman"/>
          <w:color w:val="auto"/>
          <w:sz w:val="32"/>
          <w:szCs w:val="32"/>
          <w:highlight w:val="none"/>
          <w:lang w:val="en-US" w:eastAsia="zh-CN"/>
        </w:rPr>
        <w:t>负责实施，旨在</w:t>
      </w:r>
      <w:r>
        <w:rPr>
          <w:rFonts w:hint="eastAsia" w:ascii="Times New Roman" w:hAnsi="Times New Roman" w:eastAsia="仿宋_GB2312" w:cs="Times New Roman"/>
          <w:color w:val="auto"/>
          <w:sz w:val="32"/>
          <w:szCs w:val="32"/>
          <w:highlight w:val="none"/>
          <w:lang w:val="en-US" w:eastAsia="zh-CN"/>
        </w:rPr>
        <w:t>全面保障行政综合大楼正常运转</w:t>
      </w:r>
      <w:r>
        <w:rPr>
          <w:rFonts w:hint="default" w:ascii="Times New Roman" w:hAnsi="Times New Roman" w:eastAsia="仿宋_GB2312" w:cs="Times New Roman"/>
          <w:color w:val="auto"/>
          <w:sz w:val="32"/>
          <w:szCs w:val="32"/>
          <w:highlight w:val="none"/>
          <w:lang w:val="en-US" w:eastAsia="zh-CN"/>
        </w:rPr>
        <w:t>。项目预算涵盖从</w:t>
      </w:r>
      <w:r>
        <w:rPr>
          <w:rFonts w:hint="eastAsia" w:ascii="Times New Roman" w:hAnsi="Times New Roman" w:eastAsia="仿宋_GB2312" w:cs="Times New Roman"/>
          <w:color w:val="auto"/>
          <w:sz w:val="32"/>
          <w:szCs w:val="32"/>
          <w:highlight w:val="none"/>
          <w:lang w:val="en-US" w:eastAsia="zh-CN"/>
        </w:rPr>
        <w:t>2024年1月1日</w:t>
      </w:r>
      <w:r>
        <w:rPr>
          <w:rFonts w:hint="default" w:ascii="Times New Roman" w:hAnsi="Times New Roman" w:eastAsia="仿宋_GB2312" w:cs="Times New Roman"/>
          <w:color w:val="auto"/>
          <w:sz w:val="32"/>
          <w:szCs w:val="32"/>
          <w:highlight w:val="none"/>
          <w:lang w:val="en-US" w:eastAsia="zh-CN"/>
        </w:rPr>
        <w:t>至</w:t>
      </w:r>
      <w:r>
        <w:rPr>
          <w:rFonts w:hint="eastAsia" w:ascii="Times New Roman" w:hAnsi="Times New Roman" w:eastAsia="仿宋_GB2312" w:cs="Times New Roman"/>
          <w:color w:val="auto"/>
          <w:sz w:val="32"/>
          <w:szCs w:val="32"/>
          <w:highlight w:val="none"/>
          <w:lang w:val="en-US" w:eastAsia="zh-CN"/>
        </w:rPr>
        <w:t>2024年12月31日</w:t>
      </w:r>
      <w:r>
        <w:rPr>
          <w:rFonts w:hint="default" w:ascii="Times New Roman" w:hAnsi="Times New Roman" w:eastAsia="仿宋_GB2312" w:cs="Times New Roman"/>
          <w:color w:val="auto"/>
          <w:sz w:val="32"/>
          <w:szCs w:val="32"/>
          <w:highlight w:val="none"/>
          <w:lang w:val="en-US" w:eastAsia="zh-CN"/>
        </w:rPr>
        <w:t>的全部资金投入与支出，涉及资金总额为</w:t>
      </w:r>
      <w:r>
        <w:rPr>
          <w:rFonts w:hint="eastAsia" w:eastAsia="仿宋_GB2312" w:cs="Times New Roman"/>
          <w:color w:val="auto"/>
          <w:sz w:val="32"/>
          <w:szCs w:val="32"/>
          <w:highlight w:val="none"/>
          <w:lang w:val="en-US" w:eastAsia="zh-CN"/>
        </w:rPr>
        <w:t>95</w:t>
      </w:r>
      <w:r>
        <w:rPr>
          <w:rFonts w:hint="default" w:ascii="Times New Roman" w:hAnsi="Times New Roman" w:eastAsia="仿宋_GB2312" w:cs="Times New Roman"/>
          <w:color w:val="auto"/>
          <w:sz w:val="32"/>
          <w:szCs w:val="32"/>
          <w:highlight w:val="none"/>
          <w:lang w:val="en-US" w:eastAsia="zh-CN"/>
        </w:rPr>
        <w:t>万元。</w:t>
      </w:r>
    </w:p>
    <w:p w14:paraId="5B1B87BF">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lang w:val="en-US" w:eastAsia="zh-CN"/>
        </w:rPr>
        <w:t>4.</w:t>
      </w:r>
      <w:r>
        <w:rPr>
          <w:rFonts w:hint="default" w:ascii="Times New Roman" w:hAnsi="Times New Roman" w:eastAsia="仿宋_GB2312" w:cs="Times New Roman"/>
          <w:b w:val="0"/>
          <w:bCs w:val="0"/>
          <w:color w:val="auto"/>
          <w:highlight w:val="none"/>
        </w:rPr>
        <w:t>绩效评价的范围</w:t>
      </w:r>
    </w:p>
    <w:p w14:paraId="019E0249">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本项目预算绩效评价报告的评价范围广泛而全面，涵盖了从项目立项至评价时点期间的所有关键预算活动和财务流程。具体而言，评价范围包括但不限于以下几个方面：</w:t>
      </w:r>
    </w:p>
    <w:p w14:paraId="7A99205B">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项目预算编制与执行：全面审视项目预算的编制依据、合理性、科学性以及实际执行情况，包括预算调整的原因和效果。</w:t>
      </w:r>
    </w:p>
    <w:p w14:paraId="18509274">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资金管理：深入分析项目资金的分配、使用和监管情况，确保资金使用的合规性、高效性和透明度。</w:t>
      </w:r>
    </w:p>
    <w:p w14:paraId="0E3118E6">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项目实施进度与产出：评估项目是否按照既定计划顺利推进，各项任务是否按时完成，以及项目产出的数量、质量和时效性是否符合预期。</w:t>
      </w:r>
    </w:p>
    <w:p w14:paraId="57403784">
      <w:pPr>
        <w:ind w:firstLine="640" w:firstLineChars="200"/>
        <w:rPr>
          <w:rFonts w:hint="default" w:ascii="Times New Roman" w:hAnsi="Times New Roman" w:eastAsia="仿宋_GB2312" w:cs="Times New Roman"/>
          <w:b w:val="0"/>
          <w:bCs w:val="0"/>
          <w:color w:val="auto"/>
          <w:kern w:val="28"/>
          <w:sz w:val="32"/>
          <w:szCs w:val="32"/>
          <w:highlight w:val="none"/>
          <w:lang w:val="en-US" w:eastAsia="zh-CN" w:bidi="ar-SA"/>
        </w:rPr>
      </w:pPr>
      <w:r>
        <w:rPr>
          <w:rFonts w:hint="eastAsia" w:ascii="Times New Roman" w:hAnsi="Times New Roman" w:eastAsia="仿宋_GB2312" w:cs="Times New Roman"/>
          <w:b w:val="0"/>
          <w:bCs w:val="0"/>
          <w:color w:val="auto"/>
          <w:kern w:val="28"/>
          <w:sz w:val="32"/>
          <w:szCs w:val="32"/>
          <w:highlight w:val="none"/>
          <w:lang w:val="en-US" w:eastAsia="zh-CN" w:bidi="ar-SA"/>
        </w:rPr>
        <w:t>（4）</w:t>
      </w:r>
      <w:r>
        <w:rPr>
          <w:rFonts w:hint="default" w:ascii="Times New Roman" w:hAnsi="Times New Roman" w:eastAsia="仿宋_GB2312" w:cs="Times New Roman"/>
          <w:b w:val="0"/>
          <w:bCs w:val="0"/>
          <w:color w:val="auto"/>
          <w:kern w:val="28"/>
          <w:sz w:val="32"/>
          <w:szCs w:val="32"/>
          <w:highlight w:val="none"/>
          <w:lang w:val="en-US" w:eastAsia="zh-CN" w:bidi="ar-SA"/>
        </w:rPr>
        <w:t>社会、</w:t>
      </w:r>
      <w:r>
        <w:rPr>
          <w:rFonts w:hint="eastAsia" w:ascii="Times New Roman" w:hAnsi="Times New Roman" w:eastAsia="仿宋_GB2312" w:cs="Times New Roman"/>
          <w:b w:val="0"/>
          <w:bCs w:val="0"/>
          <w:color w:val="auto"/>
          <w:kern w:val="28"/>
          <w:sz w:val="32"/>
          <w:szCs w:val="32"/>
          <w:highlight w:val="none"/>
          <w:lang w:val="en-US" w:eastAsia="zh-CN" w:bidi="ar-SA"/>
        </w:rPr>
        <w:t>生态</w:t>
      </w:r>
      <w:r>
        <w:rPr>
          <w:rFonts w:hint="default" w:ascii="Times New Roman" w:hAnsi="Times New Roman" w:eastAsia="仿宋_GB2312" w:cs="Times New Roman"/>
          <w:b w:val="0"/>
          <w:bCs w:val="0"/>
          <w:color w:val="auto"/>
          <w:kern w:val="28"/>
          <w:sz w:val="32"/>
          <w:szCs w:val="32"/>
          <w:highlight w:val="none"/>
          <w:lang w:val="en-US" w:eastAsia="zh-CN" w:bidi="ar-SA"/>
        </w:rPr>
        <w:t>等影响：考察项目对社会、</w:t>
      </w:r>
      <w:r>
        <w:rPr>
          <w:rFonts w:hint="eastAsia" w:ascii="Times New Roman" w:hAnsi="Times New Roman" w:eastAsia="仿宋_GB2312" w:cs="Times New Roman"/>
          <w:b w:val="0"/>
          <w:bCs w:val="0"/>
          <w:color w:val="auto"/>
          <w:kern w:val="28"/>
          <w:sz w:val="32"/>
          <w:szCs w:val="32"/>
          <w:highlight w:val="none"/>
          <w:lang w:val="en-US" w:eastAsia="zh-CN" w:bidi="ar-SA"/>
        </w:rPr>
        <w:t>生态</w:t>
      </w:r>
      <w:r>
        <w:rPr>
          <w:rFonts w:hint="default" w:ascii="Times New Roman" w:hAnsi="Times New Roman" w:eastAsia="仿宋_GB2312" w:cs="Times New Roman"/>
          <w:b w:val="0"/>
          <w:bCs w:val="0"/>
          <w:color w:val="auto"/>
          <w:kern w:val="28"/>
          <w:sz w:val="32"/>
          <w:szCs w:val="32"/>
          <w:highlight w:val="none"/>
          <w:lang w:val="en-US" w:eastAsia="zh-CN" w:bidi="ar-SA"/>
        </w:rPr>
        <w:t>、经济等方面的综合影响。</w:t>
      </w:r>
    </w:p>
    <w:p w14:paraId="105DFDE2">
      <w:pPr>
        <w:spacing w:line="560" w:lineRule="exact"/>
        <w:ind w:firstLine="643" w:firstLineChars="200"/>
        <w:rPr>
          <w:rFonts w:hint="default" w:ascii="Times New Roman" w:hAnsi="Times New Roman" w:cs="Times New Roman"/>
          <w:color w:val="auto"/>
          <w:highlight w:val="none"/>
        </w:rPr>
      </w:pPr>
      <w:r>
        <w:rPr>
          <w:rFonts w:hint="default" w:ascii="Times New Roman" w:hAnsi="Times New Roman" w:eastAsia="楷体_GB2312" w:cs="Times New Roman"/>
          <w:b/>
          <w:bCs/>
          <w:color w:val="auto"/>
          <w:sz w:val="32"/>
          <w:szCs w:val="32"/>
          <w:highlight w:val="none"/>
        </w:rPr>
        <w:t>（二）绩效评价原则、评价指标体系（详情见表1）、评价方法、评价标准。</w:t>
      </w:r>
    </w:p>
    <w:p w14:paraId="7B8AB2C5">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绩效评价原则</w:t>
      </w:r>
    </w:p>
    <w:p w14:paraId="34639717">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本次项目绩效评价遵循以下基本原则：</w:t>
      </w:r>
    </w:p>
    <w:p w14:paraId="249C0CA3">
      <w:pPr>
        <w:pStyle w:val="1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（1）科学公正。绩效评价应当运用科学合理的方法，按照规范的程序，对项目绩效进行客观、公正的反映。</w:t>
      </w:r>
    </w:p>
    <w:p w14:paraId="1D2C6BCF">
      <w:pPr>
        <w:pStyle w:val="1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14:paraId="00AA1FAE">
      <w:pPr>
        <w:pStyle w:val="1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（3）激励约束。绩效评价结果应与预算安排、政策调整、改进管理实质性挂钩，体现奖优罚劣和激励相容导向，有效要安排、低效要压减、无效要问责。</w:t>
      </w:r>
    </w:p>
    <w:p w14:paraId="274C8B8B">
      <w:pPr>
        <w:pStyle w:val="1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（4）公开透明。绩效评价结果应依法依规公开，并自觉接受社会监督。</w:t>
      </w:r>
    </w:p>
    <w:p w14:paraId="7406C93E">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评价指标体系</w:t>
      </w:r>
    </w:p>
    <w:p w14:paraId="571913A2">
      <w:pPr>
        <w:spacing w:line="560" w:lineRule="exact"/>
        <w:ind w:firstLine="708" w:firstLineChars="200"/>
        <w:rPr>
          <w:rFonts w:hint="default" w:ascii="Times New Roman" w:hAnsi="Times New Roman"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绩效评价框架是开展绩效评价的核心。绩效评价框架包括评价准则、关键评价问题、评价指标、数据来源、数据收集方法等。指标体系建立过程如下：</w:t>
      </w:r>
    </w:p>
    <w:p w14:paraId="368A7797">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（1）确定评价指标</w:t>
      </w:r>
    </w:p>
    <w:p w14:paraId="3650BA2C">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7C631371">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（2）确定权重</w:t>
      </w:r>
    </w:p>
    <w:p w14:paraId="11556FB1">
      <w:pPr>
        <w:spacing w:line="560" w:lineRule="exact"/>
        <w:ind w:firstLine="708" w:firstLineChars="200"/>
        <w:rPr>
          <w:rFonts w:hint="default" w:ascii="Times New Roman" w:hAnsi="Times New Roman" w:eastAsia="仿宋_GB2312" w:cs="Times New Roman"/>
          <w:color w:val="auto"/>
          <w:spacing w:val="17"/>
          <w:sz w:val="32"/>
          <w:szCs w:val="32"/>
          <w:highlight w:val="none"/>
          <w:lang w:eastAsia="zh-CN"/>
        </w:rPr>
      </w:pPr>
      <w:r>
        <w:rPr>
          <w:rFonts w:hint="default" w:ascii="Times New Roman" w:hAnsi="Times New Roman" w:eastAsia="仿宋_GB2312" w:cs="Times New Roman"/>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14:paraId="2F4DF3EF">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（3）确定指标标准值</w:t>
      </w:r>
    </w:p>
    <w:p w14:paraId="4BFDE028">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14:paraId="47D643FD">
      <w:pPr>
        <w:pStyle w:val="10"/>
        <w:spacing w:before="0" w:after="0" w:line="560" w:lineRule="exact"/>
        <w:ind w:firstLine="708" w:firstLineChars="200"/>
        <w:jc w:val="both"/>
        <w:rPr>
          <w:rFonts w:hint="default" w:ascii="Times New Roman" w:hAnsi="Times New Roman" w:eastAsia="仿宋_GB2312" w:cs="Times New Roman"/>
          <w:b w:val="0"/>
          <w:bCs w:val="0"/>
          <w:color w:val="auto"/>
          <w:spacing w:val="17"/>
          <w:kern w:val="2"/>
          <w:highlight w:val="none"/>
        </w:rPr>
      </w:pPr>
      <w:r>
        <w:rPr>
          <w:rFonts w:hint="default" w:ascii="Times New Roman" w:hAnsi="Times New Roman" w:eastAsia="仿宋_GB2312" w:cs="Times New Roman"/>
          <w:b w:val="0"/>
          <w:bCs w:val="0"/>
          <w:color w:val="auto"/>
          <w:spacing w:val="17"/>
          <w:kern w:val="2"/>
          <w:highlight w:val="none"/>
        </w:rPr>
        <w:t>绩效评价总分值100分，根据综合评分结果，90（含）-100分为优、80（含）-90分为良、60（含）-80分为中、60分以下为差。</w:t>
      </w:r>
    </w:p>
    <w:p w14:paraId="57ECD8E1">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auto"/>
          <w:spacing w:val="17"/>
          <w:highlight w:val="none"/>
        </w:rPr>
      </w:pPr>
      <w:r>
        <w:rPr>
          <w:rFonts w:hint="default" w:ascii="Times New Roman" w:hAnsi="Times New Roman" w:eastAsia="仿宋_GB2312" w:cs="Times New Roman"/>
          <w:b w:val="0"/>
          <w:bCs w:val="0"/>
          <w:color w:val="auto"/>
          <w:spacing w:val="17"/>
          <w:highlight w:val="none"/>
        </w:rPr>
        <w:t>具体评价指标体系详情见附件1</w:t>
      </w:r>
    </w:p>
    <w:p w14:paraId="0FB63D90">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w:t>
      </w:r>
      <w:r>
        <w:rPr>
          <w:rFonts w:hint="default" w:ascii="Times New Roman" w:hAnsi="Times New Roman" w:eastAsia="仿宋_GB2312" w:cs="Times New Roman"/>
          <w:b w:val="0"/>
          <w:bCs w:val="0"/>
          <w:color w:val="auto"/>
          <w:highlight w:val="none"/>
          <w:lang w:val="en-US" w:eastAsia="zh-CN"/>
        </w:rPr>
        <w:t>.</w:t>
      </w:r>
      <w:r>
        <w:rPr>
          <w:rFonts w:hint="default" w:ascii="Times New Roman" w:hAnsi="Times New Roman" w:eastAsia="仿宋_GB2312" w:cs="Times New Roman"/>
          <w:b w:val="0"/>
          <w:bCs w:val="0"/>
          <w:color w:val="auto"/>
          <w:highlight w:val="none"/>
        </w:rPr>
        <w:t>绩效评价方法</w:t>
      </w:r>
    </w:p>
    <w:p w14:paraId="2B52D55F">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62620BE8">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1DBFFA2F">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w:t>
      </w:r>
      <w:r>
        <w:rPr>
          <w:rFonts w:hint="eastAsia" w:eastAsia="仿宋_GB2312" w:cs="Times New Roman"/>
          <w:color w:val="auto"/>
          <w:spacing w:val="17"/>
          <w:sz w:val="32"/>
          <w:szCs w:val="32"/>
          <w:highlight w:val="none"/>
          <w:lang w:val="en-US" w:eastAsia="zh-CN"/>
        </w:rPr>
        <w:t>一</w:t>
      </w:r>
      <w:r>
        <w:rPr>
          <w:rFonts w:hint="default" w:ascii="Times New Roman" w:hAnsi="Times New Roman" w:eastAsia="仿宋_GB2312" w:cs="Times New Roman"/>
          <w:color w:val="auto"/>
          <w:spacing w:val="17"/>
          <w:sz w:val="32"/>
          <w:szCs w:val="32"/>
          <w:highlight w:val="none"/>
        </w:rPr>
        <w:t>）因素分析法。是指综合分析影响绩效目标实现、实施效果的内外部因素的方法。</w:t>
      </w:r>
      <w:r>
        <w:rPr>
          <w:rFonts w:hint="default" w:ascii="Times New Roman" w:hAnsi="Times New Roman" w:eastAsia="仿宋_GB2312" w:cs="Times New Roman"/>
          <w:sz w:val="32"/>
          <w:szCs w:val="32"/>
          <w:highlight w:val="none"/>
          <w:lang w:val="en-US" w:eastAsia="zh-CN"/>
        </w:rPr>
        <w:t>通过对项目的开展情况、项目产出数量、成本控制、资金拨付文件及自评报告等相关资料的收集和审核，综合分析各因素对绩效目标实现的影响。</w:t>
      </w:r>
    </w:p>
    <w:p w14:paraId="134C85B5">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评价标准</w:t>
      </w:r>
    </w:p>
    <w:p w14:paraId="28D355D6">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color w:val="auto"/>
          <w:highlight w:val="none"/>
          <w:lang w:val="en-US" w:eastAsia="zh-CN"/>
        </w:rPr>
        <w:t>计划</w:t>
      </w:r>
      <w:r>
        <w:rPr>
          <w:rFonts w:hint="default" w:ascii="Times New Roman" w:hAnsi="Times New Roman" w:eastAsia="仿宋_GB2312" w:cs="Times New Roman"/>
          <w:b w:val="0"/>
          <w:bCs w:val="0"/>
          <w:color w:val="auto"/>
          <w:highlight w:val="none"/>
        </w:rPr>
        <w:t>标准。</w:t>
      </w:r>
    </w:p>
    <w:p w14:paraId="766BD40A">
      <w:pPr>
        <w:shd w:val="clear" w:color="auto" w:fill="auto"/>
        <w:spacing w:line="600" w:lineRule="exact"/>
        <w:ind w:firstLine="640" w:firstLineChars="200"/>
        <w:outlineLvl w:val="0"/>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sz w:val="32"/>
          <w:szCs w:val="32"/>
          <w:highlight w:val="none"/>
          <w:lang w:val="en-US" w:eastAsia="zh-CN"/>
        </w:rPr>
        <w:t>（1）计划标准。指以预先制定的目标、计划、预算、定额等作为评价标准。</w:t>
      </w:r>
      <w:r>
        <w:rPr>
          <w:rFonts w:hint="eastAsia" w:eastAsia="仿宋_GB2312" w:cs="Times New Roman"/>
          <w:sz w:val="32"/>
          <w:szCs w:val="32"/>
          <w:highlight w:val="none"/>
          <w:lang w:val="en-US" w:eastAsia="zh-CN"/>
        </w:rPr>
        <w:t>采用计划标准进行项目评价，意义重大。计划标准是项目规划的量化呈现，能为项目提供清晰目标导向，让成员明确方向，在执行中便于实施监控，一旦发现偏差可及时调整。</w:t>
      </w:r>
    </w:p>
    <w:p w14:paraId="69591383">
      <w:pPr>
        <w:pStyle w:val="10"/>
        <w:numPr>
          <w:ilvl w:val="0"/>
          <w:numId w:val="2"/>
        </w:numPr>
        <w:spacing w:before="0" w:after="0" w:line="560" w:lineRule="exact"/>
        <w:ind w:firstLine="711" w:firstLineChars="200"/>
        <w:jc w:val="both"/>
        <w:rPr>
          <w:rFonts w:hint="default" w:ascii="Times New Roman" w:hAnsi="Times New Roman" w:eastAsia="楷体" w:cs="Times New Roman"/>
          <w:color w:val="auto"/>
          <w:spacing w:val="17"/>
          <w:highlight w:val="none"/>
        </w:rPr>
      </w:pPr>
      <w:r>
        <w:rPr>
          <w:rFonts w:hint="default" w:ascii="Times New Roman" w:hAnsi="Times New Roman" w:eastAsia="楷体" w:cs="Times New Roman"/>
          <w:color w:val="auto"/>
          <w:spacing w:val="17"/>
          <w:highlight w:val="none"/>
        </w:rPr>
        <w:t>绩效评价工作过程</w:t>
      </w:r>
    </w:p>
    <w:p w14:paraId="48104F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前期准备与规划</w:t>
      </w:r>
    </w:p>
    <w:p w14:paraId="436C5C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2AED06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）指标体系构建</w:t>
      </w:r>
    </w:p>
    <w:p w14:paraId="53D5DB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auto"/>
          <w:spacing w:val="17"/>
          <w:sz w:val="32"/>
          <w:szCs w:val="32"/>
          <w:highlight w:val="none"/>
        </w:rPr>
        <w:t>项目决策、项目过程、项目产出、项目效益四个维度</w:t>
      </w:r>
      <w:r>
        <w:rPr>
          <w:rFonts w:hint="default" w:ascii="Times New Roman" w:hAnsi="Times New Roman" w:eastAsia="仿宋_GB2312" w:cs="Times New Roman"/>
          <w:color w:val="auto"/>
          <w:sz w:val="32"/>
          <w:szCs w:val="32"/>
          <w:highlight w:val="none"/>
          <w:lang w:eastAsia="zh-CN"/>
        </w:rPr>
        <w:t>，选取了具有代表性和可衡量性的关键指标，并为每个指标设定了明确的评价标准与权重，确保评价结果能够全面、准确地反映项目的绩效状况。</w:t>
      </w:r>
    </w:p>
    <w:p w14:paraId="668960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）数据收集与整理</w:t>
      </w:r>
    </w:p>
    <w:p w14:paraId="027024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31D1EC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）数据分析与评估</w:t>
      </w:r>
    </w:p>
    <w:p w14:paraId="05C287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0C7877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）报告撰写与反馈</w:t>
      </w:r>
    </w:p>
    <w:p w14:paraId="53998F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118406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eastAsia="zh-CN"/>
        </w:rPr>
        <w:t>）后续跟踪与改进</w:t>
      </w:r>
    </w:p>
    <w:p w14:paraId="11DB1E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D16A93D">
      <w:pPr>
        <w:numPr>
          <w:ilvl w:val="0"/>
          <w:numId w:val="3"/>
        </w:num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综合评价情况及评价结论（附相关评分表）</w:t>
      </w:r>
    </w:p>
    <w:p w14:paraId="3C3FB193">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highlight w:val="none"/>
          <w:lang w:val="en-US" w:eastAsia="zh-CN"/>
        </w:rPr>
      </w:pP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一</w:t>
      </w: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评价情况</w:t>
      </w:r>
    </w:p>
    <w:p w14:paraId="09CF5940">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本项目的综合评价基于对项目各方面绩效的深入分析与评估。从项目目标的达成情况来看，</w:t>
      </w:r>
      <w:r>
        <w:rPr>
          <w:rFonts w:hint="eastAsia" w:ascii="Times New Roman" w:hAnsi="Times New Roman" w:eastAsia="仿宋_GB2312" w:cs="Times New Roman"/>
          <w:color w:val="auto"/>
          <w:sz w:val="32"/>
          <w:szCs w:val="32"/>
          <w:highlight w:val="none"/>
          <w:lang w:val="en-US" w:eastAsia="zh-CN"/>
        </w:rPr>
        <w:t>行政大楼运转保障经费（年初本级）</w:t>
      </w:r>
      <w:r>
        <w:rPr>
          <w:rFonts w:hint="default" w:ascii="Times New Roman" w:hAnsi="Times New Roman" w:eastAsia="仿宋_GB2312" w:cs="Times New Roman"/>
          <w:color w:val="auto"/>
          <w:kern w:val="2"/>
          <w:sz w:val="32"/>
          <w:szCs w:val="32"/>
          <w:highlight w:val="none"/>
          <w:lang w:val="en-US" w:eastAsia="zh-CN" w:bidi="ar-SA"/>
        </w:rPr>
        <w:t>在</w:t>
      </w:r>
      <w:r>
        <w:rPr>
          <w:rFonts w:hint="eastAsia" w:ascii="Times New Roman" w:hAnsi="Times New Roman" w:eastAsia="仿宋_GB2312" w:cs="Times New Roman"/>
          <w:color w:val="auto"/>
          <w:kern w:val="2"/>
          <w:sz w:val="32"/>
          <w:szCs w:val="32"/>
          <w:highlight w:val="none"/>
          <w:lang w:val="en-US" w:eastAsia="zh-CN" w:bidi="ar-SA"/>
        </w:rPr>
        <w:t>保障公益性岗位人员岗位工资、</w:t>
      </w:r>
      <w:r>
        <w:rPr>
          <w:rFonts w:hint="eastAsia" w:eastAsia="仿宋_GB2312" w:cs="Times New Roman"/>
          <w:color w:val="auto"/>
          <w:kern w:val="2"/>
          <w:sz w:val="32"/>
          <w:szCs w:val="32"/>
          <w:highlight w:val="none"/>
          <w:lang w:val="en-US" w:eastAsia="zh-CN" w:bidi="ar-SA"/>
        </w:rPr>
        <w:t>行政大楼</w:t>
      </w:r>
      <w:r>
        <w:rPr>
          <w:rFonts w:hint="eastAsia" w:ascii="Times New Roman" w:hAnsi="Times New Roman" w:eastAsia="仿宋_GB2312" w:cs="Times New Roman"/>
          <w:color w:val="auto"/>
          <w:kern w:val="2"/>
          <w:sz w:val="32"/>
          <w:szCs w:val="32"/>
          <w:highlight w:val="none"/>
          <w:lang w:val="en-US" w:eastAsia="zh-CN" w:bidi="ar-SA"/>
        </w:rPr>
        <w:t>日常保障</w:t>
      </w:r>
      <w:r>
        <w:rPr>
          <w:rFonts w:hint="default" w:ascii="Times New Roman" w:hAnsi="Times New Roman" w:eastAsia="仿宋_GB2312" w:cs="Times New Roman"/>
          <w:color w:val="auto"/>
          <w:kern w:val="2"/>
          <w:sz w:val="32"/>
          <w:szCs w:val="32"/>
          <w:highlight w:val="none"/>
          <w:lang w:val="en-US" w:eastAsia="zh-CN" w:bidi="ar-SA"/>
        </w:rPr>
        <w:t>等方面表现出色，达到了预期的标准与要求。同时，项目也在</w:t>
      </w:r>
      <w:r>
        <w:rPr>
          <w:rFonts w:hint="eastAsia" w:eastAsia="仿宋_GB2312" w:cs="Times New Roman"/>
          <w:color w:val="auto"/>
          <w:kern w:val="2"/>
          <w:sz w:val="32"/>
          <w:szCs w:val="32"/>
          <w:highlight w:val="none"/>
          <w:lang w:val="en-US" w:eastAsia="zh-CN" w:bidi="ar-SA"/>
        </w:rPr>
        <w:t>后勤保障和人员管理</w:t>
      </w:r>
      <w:r>
        <w:rPr>
          <w:rFonts w:hint="default" w:ascii="Times New Roman" w:hAnsi="Times New Roman" w:eastAsia="仿宋_GB2312" w:cs="Times New Roman"/>
          <w:color w:val="auto"/>
          <w:kern w:val="2"/>
          <w:sz w:val="32"/>
          <w:szCs w:val="32"/>
          <w:highlight w:val="none"/>
          <w:lang w:val="en-US" w:eastAsia="zh-CN" w:bidi="ar-SA"/>
        </w:rPr>
        <w:t>取得了显著的成效，如</w:t>
      </w:r>
      <w:r>
        <w:rPr>
          <w:rFonts w:hint="eastAsia" w:eastAsia="仿宋_GB2312" w:cs="Times New Roman"/>
          <w:color w:val="auto"/>
          <w:kern w:val="2"/>
          <w:sz w:val="32"/>
          <w:szCs w:val="32"/>
          <w:highlight w:val="none"/>
          <w:lang w:val="en-US" w:eastAsia="zh-CN" w:bidi="ar-SA"/>
        </w:rPr>
        <w:t>2024年有力保障行政行政大楼的正常运转，</w:t>
      </w:r>
      <w:r>
        <w:rPr>
          <w:rFonts w:hint="eastAsia" w:ascii="仿宋_GB2312" w:hAnsi="仿宋_GB2312" w:eastAsia="仿宋_GB2312" w:cs="仿宋_GB2312"/>
          <w:b w:val="0"/>
          <w:bCs w:val="0"/>
          <w:color w:val="auto"/>
          <w:kern w:val="28"/>
          <w:sz w:val="32"/>
          <w:szCs w:val="32"/>
          <w:highlight w:val="none"/>
          <w:lang w:val="en-US" w:eastAsia="zh-CN" w:bidi="ar-SA"/>
        </w:rPr>
        <w:t>7名公益性岗位</w:t>
      </w:r>
      <w:r>
        <w:rPr>
          <w:rFonts w:hint="eastAsia" w:eastAsia="仿宋_GB2312" w:cs="Times New Roman"/>
          <w:color w:val="auto"/>
          <w:kern w:val="2"/>
          <w:sz w:val="32"/>
          <w:szCs w:val="32"/>
          <w:highlight w:val="none"/>
          <w:lang w:val="en-US" w:eastAsia="zh-CN" w:bidi="ar-SA"/>
        </w:rPr>
        <w:t>1-12月社保、工资发放到位</w:t>
      </w:r>
      <w:r>
        <w:rPr>
          <w:rFonts w:hint="default" w:ascii="Times New Roman" w:hAnsi="Times New Roman" w:eastAsia="仿宋_GB2312" w:cs="Times New Roman"/>
          <w:color w:val="auto"/>
          <w:kern w:val="2"/>
          <w:sz w:val="32"/>
          <w:szCs w:val="32"/>
          <w:highlight w:val="none"/>
          <w:lang w:val="en-US" w:eastAsia="zh-CN" w:bidi="ar-SA"/>
        </w:rPr>
        <w:t>等。</w:t>
      </w:r>
    </w:p>
    <w:p w14:paraId="1EB1944F">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在项目管理方面，</w:t>
      </w:r>
      <w:r>
        <w:rPr>
          <w:rFonts w:hint="eastAsia" w:ascii="Times New Roman" w:hAnsi="Times New Roman" w:eastAsia="仿宋_GB2312" w:cs="Times New Roman"/>
          <w:color w:val="auto"/>
          <w:kern w:val="2"/>
          <w:sz w:val="32"/>
          <w:szCs w:val="32"/>
          <w:highlight w:val="none"/>
          <w:lang w:val="en-US" w:eastAsia="zh-CN" w:bidi="ar-SA"/>
        </w:rPr>
        <w:t>特克斯县</w:t>
      </w:r>
      <w:r>
        <w:rPr>
          <w:rFonts w:hint="eastAsia" w:eastAsia="仿宋_GB2312" w:cs="Times New Roman"/>
          <w:color w:val="auto"/>
          <w:kern w:val="2"/>
          <w:sz w:val="32"/>
          <w:szCs w:val="32"/>
          <w:highlight w:val="none"/>
          <w:lang w:val="en-US" w:eastAsia="zh-CN" w:bidi="ar-SA"/>
        </w:rPr>
        <w:t>政务服务</w:t>
      </w:r>
      <w:r>
        <w:rPr>
          <w:rFonts w:hint="eastAsia" w:ascii="Times New Roman" w:hAnsi="Times New Roman" w:eastAsia="仿宋_GB2312" w:cs="Times New Roman"/>
          <w:color w:val="auto"/>
          <w:kern w:val="2"/>
          <w:sz w:val="32"/>
          <w:szCs w:val="32"/>
          <w:highlight w:val="none"/>
          <w:lang w:val="en-US" w:eastAsia="zh-CN" w:bidi="ar-SA"/>
        </w:rPr>
        <w:t>中心</w:t>
      </w:r>
      <w:r>
        <w:rPr>
          <w:rFonts w:hint="default" w:ascii="Times New Roman" w:hAnsi="Times New Roman" w:eastAsia="仿宋_GB2312" w:cs="Times New Roman"/>
          <w:color w:val="auto"/>
          <w:kern w:val="2"/>
          <w:sz w:val="32"/>
          <w:szCs w:val="32"/>
          <w:highlight w:val="none"/>
          <w:lang w:val="en-US" w:eastAsia="zh-CN" w:bidi="ar-SA"/>
        </w:rPr>
        <w:t>通过有效的规划、组织与协调，项目得以顺利实施，并在预算与时间上保持了良好的控制。</w:t>
      </w:r>
    </w:p>
    <w:p w14:paraId="62D2566D">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从项目效益的角度来看，本项目不仅实现了预期的社会效益方面产生了积极的影响。具体而言，</w:t>
      </w:r>
      <w:r>
        <w:rPr>
          <w:rFonts w:hint="eastAsia" w:ascii="Times New Roman" w:hAnsi="Times New Roman" w:eastAsia="仿宋_GB2312" w:cs="Times New Roman"/>
          <w:color w:val="auto"/>
          <w:kern w:val="2"/>
          <w:sz w:val="32"/>
          <w:szCs w:val="32"/>
          <w:highlight w:val="none"/>
          <w:lang w:val="en-US" w:eastAsia="zh-CN" w:bidi="ar-SA"/>
        </w:rPr>
        <w:t>在保障</w:t>
      </w:r>
      <w:r>
        <w:rPr>
          <w:rFonts w:hint="eastAsia" w:eastAsia="仿宋_GB2312" w:cs="Times New Roman"/>
          <w:color w:val="auto"/>
          <w:kern w:val="2"/>
          <w:sz w:val="32"/>
          <w:szCs w:val="32"/>
          <w:highlight w:val="none"/>
          <w:lang w:val="en-US" w:eastAsia="zh-CN" w:bidi="ar-SA"/>
        </w:rPr>
        <w:t>行政大</w:t>
      </w:r>
      <w:r>
        <w:rPr>
          <w:rFonts w:hint="eastAsia" w:ascii="Times New Roman" w:hAnsi="Times New Roman" w:eastAsia="仿宋_GB2312" w:cs="Times New Roman"/>
          <w:color w:val="auto"/>
          <w:kern w:val="2"/>
          <w:sz w:val="32"/>
          <w:szCs w:val="32"/>
          <w:highlight w:val="none"/>
          <w:lang w:val="en-US" w:eastAsia="zh-CN" w:bidi="ar-SA"/>
        </w:rPr>
        <w:t>楼正常运转下，</w:t>
      </w:r>
      <w:r>
        <w:rPr>
          <w:rFonts w:hint="eastAsia" w:eastAsia="仿宋_GB2312" w:cs="Times New Roman"/>
          <w:color w:val="auto"/>
          <w:kern w:val="2"/>
          <w:sz w:val="32"/>
          <w:szCs w:val="32"/>
          <w:highlight w:val="none"/>
          <w:lang w:val="en-US" w:eastAsia="zh-CN" w:bidi="ar-SA"/>
        </w:rPr>
        <w:t>行政</w:t>
      </w:r>
      <w:r>
        <w:rPr>
          <w:rFonts w:hint="default" w:ascii="Times New Roman" w:hAnsi="Times New Roman" w:eastAsia="仿宋_GB2312" w:cs="Times New Roman"/>
          <w:color w:val="auto"/>
          <w:kern w:val="2"/>
          <w:sz w:val="32"/>
          <w:szCs w:val="32"/>
          <w:highlight w:val="none"/>
          <w:lang w:val="en-US" w:eastAsia="zh-CN" w:bidi="ar-SA"/>
        </w:rPr>
        <w:t>大楼内各单位人员工作效</w:t>
      </w:r>
      <w:r>
        <w:rPr>
          <w:rFonts w:hint="eastAsia" w:ascii="Times New Roman" w:hAnsi="Times New Roman" w:eastAsia="仿宋_GB2312" w:cs="Times New Roman"/>
          <w:color w:val="auto"/>
          <w:kern w:val="2"/>
          <w:sz w:val="32"/>
          <w:szCs w:val="32"/>
          <w:highlight w:val="none"/>
          <w:lang w:val="en-US" w:eastAsia="zh-CN" w:bidi="ar-SA"/>
        </w:rPr>
        <w:t>率</w:t>
      </w:r>
      <w:r>
        <w:rPr>
          <w:rFonts w:hint="default" w:ascii="Times New Roman" w:hAnsi="Times New Roman" w:eastAsia="仿宋_GB2312" w:cs="Times New Roman"/>
          <w:color w:val="auto"/>
          <w:kern w:val="2"/>
          <w:sz w:val="32"/>
          <w:szCs w:val="32"/>
          <w:highlight w:val="none"/>
          <w:lang w:val="en-US" w:eastAsia="zh-CN" w:bidi="ar-SA"/>
        </w:rPr>
        <w:t>方面的提升，为项目的利益相关者带来了实实在在的利益。</w:t>
      </w:r>
    </w:p>
    <w:p w14:paraId="23B956A6">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综上所述，</w:t>
      </w:r>
      <w:r>
        <w:rPr>
          <w:rFonts w:hint="eastAsia" w:eastAsia="仿宋_GB2312" w:cs="Times New Roman"/>
          <w:color w:val="auto"/>
          <w:kern w:val="2"/>
          <w:sz w:val="32"/>
          <w:szCs w:val="32"/>
          <w:highlight w:val="none"/>
          <w:lang w:val="en-US" w:eastAsia="zh-CN" w:bidi="ar-SA"/>
        </w:rPr>
        <w:t>行政行政大楼</w:t>
      </w:r>
      <w:r>
        <w:rPr>
          <w:rFonts w:hint="eastAsia" w:ascii="Times New Roman" w:hAnsi="Times New Roman" w:eastAsia="仿宋_GB2312" w:cs="Times New Roman"/>
          <w:color w:val="auto"/>
          <w:kern w:val="2"/>
          <w:sz w:val="32"/>
          <w:szCs w:val="32"/>
          <w:highlight w:val="none"/>
          <w:lang w:val="en-US" w:eastAsia="zh-CN" w:bidi="ar-SA"/>
        </w:rPr>
        <w:t>运转保障经费（年初本级）</w:t>
      </w:r>
      <w:r>
        <w:rPr>
          <w:rFonts w:hint="default" w:ascii="Times New Roman" w:hAnsi="Times New Roman" w:eastAsia="仿宋_GB2312" w:cs="Times New Roman"/>
          <w:color w:val="auto"/>
          <w:kern w:val="2"/>
          <w:sz w:val="32"/>
          <w:szCs w:val="32"/>
          <w:highlight w:val="none"/>
          <w:lang w:val="en-US" w:eastAsia="zh-CN" w:bidi="ar-SA"/>
        </w:rPr>
        <w:t>在绩效评价中表现出色，达到了项目的预期目标，并在多个方面取得了显著的成效。</w:t>
      </w:r>
    </w:p>
    <w:p w14:paraId="3B7AC5A6">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（二）评价结论</w:t>
      </w:r>
    </w:p>
    <w:p w14:paraId="1D1D889B">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color w:val="auto"/>
          <w:highlight w:val="none"/>
          <w:lang w:val="en-US" w:eastAsia="zh-CN"/>
        </w:rPr>
        <w:t>98.59</w:t>
      </w:r>
      <w:r>
        <w:rPr>
          <w:rFonts w:hint="default" w:ascii="Times New Roman" w:hAnsi="Times New Roman" w:eastAsia="仿宋_GB2312" w:cs="Times New Roman"/>
          <w:b w:val="0"/>
          <w:bCs w:val="0"/>
          <w:color w:val="auto"/>
          <w:highlight w:val="none"/>
        </w:rPr>
        <w:t xml:space="preserve">分，属于“优”。其中，项目决策类指标权重为20分，得分为 </w:t>
      </w:r>
      <w:r>
        <w:rPr>
          <w:rFonts w:hint="eastAsia" w:ascii="Times New Roman" w:hAnsi="Times New Roman" w:eastAsia="仿宋_GB2312" w:cs="Times New Roman"/>
          <w:b w:val="0"/>
          <w:bCs w:val="0"/>
          <w:color w:val="auto"/>
          <w:highlight w:val="none"/>
          <w:lang w:val="en-US" w:eastAsia="zh-CN"/>
        </w:rPr>
        <w:t>19</w:t>
      </w:r>
      <w:r>
        <w:rPr>
          <w:rFonts w:hint="default"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95</w:t>
      </w:r>
      <w:r>
        <w:rPr>
          <w:rFonts w:hint="default" w:ascii="Times New Roman" w:hAnsi="Times New Roman" w:eastAsia="仿宋_GB2312" w:cs="Times New Roman"/>
          <w:b w:val="0"/>
          <w:bCs w:val="0"/>
          <w:color w:val="auto"/>
          <w:highlight w:val="none"/>
        </w:rPr>
        <w:t>%。项目过程类指标权重为20分，得分为</w:t>
      </w:r>
      <w:r>
        <w:rPr>
          <w:rFonts w:hint="eastAsia" w:ascii="Times New Roman" w:hAnsi="Times New Roman" w:eastAsia="仿宋_GB2312" w:cs="Times New Roman"/>
          <w:b w:val="0"/>
          <w:bCs w:val="0"/>
          <w:color w:val="auto"/>
          <w:highlight w:val="none"/>
          <w:lang w:val="en-US" w:eastAsia="zh-CN"/>
        </w:rPr>
        <w:t>19.59</w:t>
      </w:r>
      <w:r>
        <w:rPr>
          <w:rFonts w:hint="default"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97.95</w:t>
      </w:r>
      <w:r>
        <w:rPr>
          <w:rFonts w:hint="default" w:ascii="Times New Roman" w:hAnsi="Times New Roman" w:eastAsia="仿宋_GB2312" w:cs="Times New Roman"/>
          <w:b w:val="0"/>
          <w:bCs w:val="0"/>
          <w:color w:val="auto"/>
          <w:highlight w:val="none"/>
        </w:rPr>
        <w:t>%。项目产出类指标权重为40分，得分为</w:t>
      </w:r>
      <w:r>
        <w:rPr>
          <w:rFonts w:hint="eastAsia" w:ascii="Times New Roman" w:hAnsi="Times New Roman" w:eastAsia="仿宋_GB2312" w:cs="Times New Roman"/>
          <w:b w:val="0"/>
          <w:bCs w:val="0"/>
          <w:color w:val="auto"/>
          <w:highlight w:val="none"/>
          <w:lang w:val="en-US" w:eastAsia="zh-CN"/>
        </w:rPr>
        <w:t>40</w:t>
      </w:r>
      <w:r>
        <w:rPr>
          <w:rFonts w:hint="default"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%。项目效益类指标权重为20分，得分为</w:t>
      </w:r>
      <w:r>
        <w:rPr>
          <w:rFonts w:hint="eastAsia" w:ascii="Times New Roman" w:hAnsi="Times New Roman" w:eastAsia="仿宋_GB2312" w:cs="Times New Roman"/>
          <w:b w:val="0"/>
          <w:bCs w:val="0"/>
          <w:color w:val="auto"/>
          <w:highlight w:val="none"/>
          <w:lang w:val="en-US" w:eastAsia="zh-CN"/>
        </w:rPr>
        <w:t>19</w:t>
      </w:r>
      <w:r>
        <w:rPr>
          <w:rFonts w:hint="default"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95</w:t>
      </w:r>
      <w:r>
        <w:rPr>
          <w:rFonts w:hint="default" w:ascii="Times New Roman" w:hAnsi="Times New Roman" w:eastAsia="仿宋_GB2312" w:cs="Times New Roman"/>
          <w:b w:val="0"/>
          <w:bCs w:val="0"/>
          <w:color w:val="auto"/>
          <w:highlight w:val="none"/>
        </w:rPr>
        <w:t>%。具体打分情况详见：附件1综合评分表</w:t>
      </w:r>
      <w:r>
        <w:rPr>
          <w:rFonts w:hint="default" w:ascii="Times New Roman" w:hAnsi="Times New Roman" w:eastAsia="仿宋_GB2312" w:cs="Times New Roman"/>
          <w:b w:val="0"/>
          <w:bCs w:val="0"/>
          <w:color w:val="auto"/>
          <w:highlight w:val="none"/>
          <w:lang w:eastAsia="zh-CN"/>
        </w:rPr>
        <w:t>。</w:t>
      </w:r>
    </w:p>
    <w:p w14:paraId="07E56F2E">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13A06476">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3DB89116">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6ECEC466">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6536C65D">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得分</w:t>
            </w:r>
          </w:p>
        </w:tc>
      </w:tr>
      <w:tr w14:paraId="19E08E3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B1DC58E">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7C0F6E28">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4A408C1">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19</w:t>
            </w:r>
          </w:p>
        </w:tc>
      </w:tr>
      <w:tr w14:paraId="0B19478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50B287B">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14B50102">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0F1B0C6">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19.59</w:t>
            </w:r>
          </w:p>
        </w:tc>
      </w:tr>
      <w:tr w14:paraId="70D4A85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3E5FF4B">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5E35CF50">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791AE3D">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40</w:t>
            </w:r>
          </w:p>
        </w:tc>
      </w:tr>
      <w:tr w14:paraId="59D2379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F83D3E7">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73227AB7">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FB76824">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r>
      <w:tr w14:paraId="3EF4582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76890E5">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60EE9569">
            <w:pPr>
              <w:jc w:val="center"/>
              <w:rPr>
                <w:rFonts w:hint="default" w:ascii="Times New Roman" w:hAnsi="Times New Roman" w:eastAsia="仿宋_GB2312" w:cs="Times New Roman"/>
                <w:b/>
                <w:bCs/>
                <w:color w:val="auto"/>
                <w:sz w:val="21"/>
                <w:szCs w:val="21"/>
                <w:highlight w:val="none"/>
                <w:lang w:val="en-US" w:eastAsia="zh-CN"/>
              </w:rPr>
            </w:pPr>
            <w:r>
              <w:rPr>
                <w:rFonts w:hint="default" w:ascii="Times New Roman" w:hAnsi="Times New Roman" w:eastAsia="仿宋_GB2312" w:cs="Times New Roman"/>
                <w:b/>
                <w:bCs/>
                <w:color w:val="auto"/>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2DA0C867">
            <w:pPr>
              <w:jc w:val="center"/>
              <w:rPr>
                <w:rFonts w:hint="default" w:ascii="Times New Roman" w:hAnsi="Times New Roman" w:eastAsia="仿宋_GB2312" w:cs="Times New Roman"/>
                <w:b/>
                <w:bCs/>
                <w:color w:val="auto"/>
                <w:sz w:val="21"/>
                <w:szCs w:val="21"/>
                <w:highlight w:val="none"/>
                <w:lang w:val="en-US" w:eastAsia="zh-CN"/>
              </w:rPr>
            </w:pPr>
            <w:r>
              <w:rPr>
                <w:rFonts w:hint="eastAsia" w:eastAsia="仿宋_GB2312" w:cs="Times New Roman"/>
                <w:b/>
                <w:bCs/>
                <w:color w:val="auto"/>
                <w:sz w:val="21"/>
                <w:szCs w:val="21"/>
                <w:highlight w:val="none"/>
                <w:lang w:val="en-US" w:eastAsia="zh-CN"/>
              </w:rPr>
              <w:t>98.59</w:t>
            </w:r>
          </w:p>
        </w:tc>
      </w:tr>
    </w:tbl>
    <w:p w14:paraId="7FE4D982">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四、绩效评价指标分析</w:t>
      </w:r>
    </w:p>
    <w:p w14:paraId="2DDDBB63">
      <w:pPr>
        <w:pStyle w:val="10"/>
        <w:spacing w:before="0" w:after="0" w:line="560" w:lineRule="exact"/>
        <w:ind w:firstLine="643" w:firstLineChars="200"/>
        <w:jc w:val="both"/>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（一）项目决策情况</w:t>
      </w:r>
    </w:p>
    <w:p w14:paraId="38BE8ADE">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color w:val="auto"/>
          <w:sz w:val="32"/>
          <w:szCs w:val="32"/>
          <w:highlight w:val="none"/>
          <w:lang w:val="en-US" w:eastAsia="zh-CN"/>
        </w:rPr>
        <w:t>19</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95</w:t>
      </w:r>
      <w:r>
        <w:rPr>
          <w:rFonts w:hint="default" w:ascii="Times New Roman" w:hAnsi="Times New Roman" w:eastAsia="仿宋_GB2312" w:cs="Times New Roman"/>
          <w:color w:val="auto"/>
          <w:sz w:val="32"/>
          <w:szCs w:val="32"/>
          <w:highlight w:val="none"/>
          <w:lang w:val="en-US" w:eastAsia="zh-CN"/>
        </w:rPr>
        <w:t>%。</w:t>
      </w:r>
    </w:p>
    <w:p w14:paraId="1B6AD7B1">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1.项目立项</w:t>
      </w:r>
    </w:p>
    <w:p w14:paraId="3282A77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（1）立项依据充分性</w:t>
      </w:r>
    </w:p>
    <w:p w14:paraId="46D398E2">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D29C93C">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（2）立项程序规范性</w:t>
      </w:r>
    </w:p>
    <w:p w14:paraId="3F8FF5F9">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项目申请、设立过程符合相关要求，严格按照审批流程准备符合要求的文件、材料；</w:t>
      </w:r>
      <w:r>
        <w:rPr>
          <w:rFonts w:hint="default" w:ascii="Times New Roman" w:hAnsi="Times New Roman" w:eastAsia="仿宋_GB2312" w:cs="Times New Roman"/>
          <w:color w:val="auto"/>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0ABE045F">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2.绩效目标</w:t>
      </w:r>
    </w:p>
    <w:p w14:paraId="67D9C2A6">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（1）绩效目标合理性</w:t>
      </w:r>
    </w:p>
    <w:p w14:paraId="19D62CFA">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rPr>
        <w:t>年初结合实际工作内容</w:t>
      </w:r>
      <w:r>
        <w:rPr>
          <w:rFonts w:hint="default" w:ascii="Times New Roman" w:hAnsi="Times New Roman" w:eastAsia="仿宋_GB2312" w:cs="Times New Roman"/>
          <w:color w:val="auto"/>
          <w:sz w:val="32"/>
          <w:szCs w:val="32"/>
          <w:highlight w:val="none"/>
          <w:lang w:val="en-US" w:eastAsia="zh-CN"/>
        </w:rPr>
        <w:t>设定绩效目标</w:t>
      </w:r>
      <w:r>
        <w:rPr>
          <w:rFonts w:hint="default" w:ascii="Times New Roman" w:hAnsi="Times New Roman" w:eastAsia="仿宋_GB2312" w:cs="Times New Roman"/>
          <w:color w:val="auto"/>
          <w:sz w:val="32"/>
          <w:szCs w:val="32"/>
          <w:highlight w:val="none"/>
          <w:lang w:val="en-US"/>
        </w:rPr>
        <w:t>，绩效目标</w:t>
      </w:r>
      <w:r>
        <w:rPr>
          <w:rFonts w:hint="default" w:ascii="Times New Roman" w:hAnsi="Times New Roman" w:eastAsia="仿宋_GB2312" w:cs="Times New Roman"/>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B5948C5">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（2）绩效指标明确性</w:t>
      </w:r>
    </w:p>
    <w:p w14:paraId="3583FD9B">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179018EA">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3.资金投入</w:t>
      </w:r>
    </w:p>
    <w:p w14:paraId="1C29F32C">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（1）预算编制科学性</w:t>
      </w:r>
    </w:p>
    <w:p w14:paraId="509C12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6A78BF99">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在预算编制过程中，</w:t>
      </w:r>
      <w:r>
        <w:rPr>
          <w:rFonts w:hint="default" w:ascii="Times New Roman" w:hAnsi="Times New Roman" w:eastAsia="仿宋_GB2312" w:cs="Times New Roman"/>
          <w:color w:val="auto"/>
          <w:sz w:val="32"/>
          <w:szCs w:val="32"/>
          <w:highlight w:val="none"/>
          <w:lang w:val="en-US" w:eastAsia="zh-CN"/>
        </w:rPr>
        <w:t>还</w:t>
      </w:r>
      <w:r>
        <w:rPr>
          <w:rFonts w:hint="default" w:ascii="Times New Roman" w:hAnsi="Times New Roman" w:eastAsia="仿宋_GB2312" w:cs="Times New Roman"/>
          <w:color w:val="auto"/>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16988DC8">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（2）资金分配合理性</w:t>
      </w:r>
    </w:p>
    <w:p w14:paraId="70806F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262FF0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400E32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4E60A059">
      <w:pPr>
        <w:pStyle w:val="10"/>
        <w:numPr>
          <w:ilvl w:val="0"/>
          <w:numId w:val="4"/>
        </w:numPr>
        <w:spacing w:before="0" w:after="0" w:line="560" w:lineRule="exact"/>
        <w:ind w:firstLine="643" w:firstLineChars="200"/>
        <w:jc w:val="both"/>
        <w:rPr>
          <w:rFonts w:hint="default" w:ascii="Times New Roman" w:hAnsi="Times New Roman" w:eastAsia="楷体" w:cs="Times New Roman"/>
          <w:color w:val="auto"/>
          <w:highlight w:val="none"/>
        </w:rPr>
      </w:pPr>
      <w:r>
        <w:rPr>
          <w:rFonts w:hint="default" w:ascii="Times New Roman" w:hAnsi="Times New Roman" w:eastAsia="楷体" w:cs="Times New Roman"/>
          <w:color w:val="auto"/>
          <w:highlight w:val="none"/>
        </w:rPr>
        <w:t>项目过程情况</w:t>
      </w:r>
    </w:p>
    <w:p w14:paraId="64F7FD95">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color w:val="auto"/>
          <w:sz w:val="32"/>
          <w:szCs w:val="32"/>
          <w:highlight w:val="none"/>
          <w:lang w:val="en-US" w:eastAsia="zh-CN"/>
        </w:rPr>
        <w:t>19.59</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97.95</w:t>
      </w:r>
      <w:r>
        <w:rPr>
          <w:rFonts w:hint="default" w:ascii="Times New Roman" w:hAnsi="Times New Roman" w:eastAsia="仿宋_GB2312" w:cs="Times New Roman"/>
          <w:color w:val="auto"/>
          <w:sz w:val="32"/>
          <w:szCs w:val="32"/>
          <w:highlight w:val="none"/>
          <w:lang w:val="en-US" w:eastAsia="zh-CN"/>
        </w:rPr>
        <w:t>%。</w:t>
      </w:r>
    </w:p>
    <w:p w14:paraId="5C2FCA84">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1.资金管理</w:t>
      </w:r>
    </w:p>
    <w:p w14:paraId="448A1731">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（1）资金到位率</w:t>
      </w:r>
    </w:p>
    <w:p w14:paraId="4CDC328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本项目总投资</w:t>
      </w:r>
      <w:r>
        <w:rPr>
          <w:rFonts w:hint="eastAsia" w:eastAsia="仿宋_GB2312" w:cs="Times New Roman"/>
          <w:color w:val="auto"/>
          <w:sz w:val="32"/>
          <w:szCs w:val="32"/>
          <w:highlight w:val="none"/>
          <w:lang w:val="en-US" w:eastAsia="zh-CN"/>
        </w:rPr>
        <w:t>95</w:t>
      </w:r>
      <w:r>
        <w:rPr>
          <w:rFonts w:hint="default" w:ascii="Times New Roman" w:hAnsi="Times New Roman" w:eastAsia="仿宋_GB2312" w:cs="Times New Roman"/>
          <w:color w:val="auto"/>
          <w:sz w:val="32"/>
          <w:szCs w:val="32"/>
          <w:highlight w:val="none"/>
          <w:lang w:val="en-US" w:eastAsia="zh-CN"/>
        </w:rPr>
        <w:t>万元，财政资金及时足额到位，到位率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%，预算资金按计划进度执行。</w:t>
      </w:r>
    </w:p>
    <w:p w14:paraId="571A4FA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（2）预算执行率</w:t>
      </w:r>
    </w:p>
    <w:p w14:paraId="26A3AE05">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预算编制较为详细，项目资金支出总体能够按照预算执行，预算资金支出</w:t>
      </w:r>
      <w:r>
        <w:rPr>
          <w:rFonts w:hint="eastAsia" w:eastAsia="仿宋_GB2312" w:cs="Times New Roman"/>
          <w:color w:val="auto"/>
          <w:sz w:val="32"/>
          <w:szCs w:val="32"/>
          <w:highlight w:val="none"/>
          <w:lang w:val="en-US" w:eastAsia="zh-CN"/>
        </w:rPr>
        <w:t>94.86</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99.85</w:t>
      </w:r>
      <w:r>
        <w:rPr>
          <w:rFonts w:hint="default" w:ascii="Times New Roman" w:hAnsi="Times New Roman" w:eastAsia="仿宋_GB2312" w:cs="Times New Roman"/>
          <w:color w:val="auto"/>
          <w:sz w:val="32"/>
          <w:szCs w:val="32"/>
          <w:highlight w:val="none"/>
          <w:lang w:val="en-US" w:eastAsia="zh-CN"/>
        </w:rPr>
        <w:t>%。</w:t>
      </w:r>
    </w:p>
    <w:p w14:paraId="2921C272">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（3）资金使用合规性</w:t>
      </w:r>
    </w:p>
    <w:p w14:paraId="2E649F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16A9BD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435ED8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1FE0E6CA">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2.组织实施</w:t>
      </w:r>
    </w:p>
    <w:p w14:paraId="3267B7A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（1）管理制度健全性</w:t>
      </w:r>
    </w:p>
    <w:p w14:paraId="5B31F9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06E59E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在制度设计上，我们注重了制度的科学性与可操作性，确保制度能够切实指导项目的执行与管理。</w:t>
      </w:r>
    </w:p>
    <w:p w14:paraId="754199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37F5BA3A">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08B1A197">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（2）制度执行有效性</w:t>
      </w:r>
    </w:p>
    <w:p w14:paraId="394B27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重视制度执行的重要性，通过明确责任分工、制定详细执行计划、加强监督考核等措施，确保了各项管理制度能够得到有效执行。</w:t>
      </w:r>
    </w:p>
    <w:p w14:paraId="07FDE4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08D463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综上所述，本项目的管理制度在执行过程中表现出了高度的有效性，既确保了项目的顺利进行，又实现了项目目标的有效达成。</w:t>
      </w:r>
    </w:p>
    <w:p w14:paraId="4AFDB3A0">
      <w:pPr>
        <w:pStyle w:val="11"/>
        <w:numPr>
          <w:ilvl w:val="0"/>
          <w:numId w:val="4"/>
        </w:numPr>
        <w:spacing w:line="560" w:lineRule="exact"/>
        <w:ind w:firstLine="643"/>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项目产出</w:t>
      </w:r>
      <w:r>
        <w:rPr>
          <w:rFonts w:hint="default" w:ascii="Times New Roman" w:hAnsi="Times New Roman" w:eastAsia="楷体_GB2312" w:cs="Times New Roman"/>
          <w:b/>
          <w:bCs/>
          <w:color w:val="auto"/>
          <w:sz w:val="32"/>
          <w:szCs w:val="32"/>
          <w:highlight w:val="none"/>
          <w:lang w:val="en-US" w:eastAsia="zh-CN"/>
        </w:rPr>
        <w:t>情况</w:t>
      </w:r>
    </w:p>
    <w:p w14:paraId="0899531B">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项目产出类指标包括产出数量、产出质量、产出时效、产出成本四方面的内容，由</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lang w:val="en-US" w:eastAsia="zh-CN"/>
        </w:rPr>
        <w:t>个三级指标构成，权重分为40分，实际得分</w:t>
      </w:r>
      <w:r>
        <w:rPr>
          <w:rFonts w:hint="eastAsia" w:eastAsia="仿宋_GB2312" w:cs="Times New Roman"/>
          <w:color w:val="auto"/>
          <w:sz w:val="32"/>
          <w:szCs w:val="32"/>
          <w:highlight w:val="none"/>
          <w:lang w:val="en-US" w:eastAsia="zh-CN"/>
        </w:rPr>
        <w:t>40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%。具体产出指标完成情况如下：</w:t>
      </w:r>
    </w:p>
    <w:p w14:paraId="0E1C6954">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1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①</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数量指标：</w:t>
      </w:r>
    </w:p>
    <w:p w14:paraId="3D90A98B">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1：</w:t>
      </w:r>
      <w:r>
        <w:rPr>
          <w:rFonts w:hint="eastAsia" w:ascii="Times New Roman" w:hAnsi="Times New Roman" w:eastAsia="仿宋_GB2312" w:cs="Times New Roman"/>
          <w:color w:val="auto"/>
          <w:sz w:val="32"/>
          <w:szCs w:val="32"/>
          <w:highlight w:val="none"/>
          <w:lang w:val="en-US" w:eastAsia="zh-CN"/>
        </w:rPr>
        <w:t>公益性岗位人数</w:t>
      </w:r>
      <w:r>
        <w:rPr>
          <w:rFonts w:hint="eastAsia" w:eastAsia="仿宋_GB2312" w:cs="Times New Roman"/>
          <w:color w:val="auto"/>
          <w:sz w:val="32"/>
          <w:szCs w:val="32"/>
          <w:highlight w:val="none"/>
          <w:lang w:val="en-US" w:eastAsia="zh-CN"/>
        </w:rPr>
        <w:t>7人，</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7人</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7人</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无</w:t>
      </w:r>
      <w:r>
        <w:rPr>
          <w:rFonts w:hint="default" w:ascii="Times New Roman" w:hAnsi="Times New Roman" w:eastAsia="仿宋_GB2312" w:cs="Times New Roman"/>
          <w:color w:val="auto"/>
          <w:sz w:val="32"/>
          <w:szCs w:val="32"/>
          <w:highlight w:val="none"/>
          <w:lang w:eastAsia="zh-CN"/>
        </w:rPr>
        <w:t>。</w:t>
      </w:r>
    </w:p>
    <w:p w14:paraId="238C263B">
      <w:pPr>
        <w:shd w:val="clear" w:color="auto" w:fill="auto"/>
        <w:spacing w:line="600" w:lineRule="exact"/>
        <w:ind w:firstLine="640" w:firstLineChars="200"/>
        <w:outlineLvl w:val="0"/>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：公益性岗位人员发放次数 ，指标值：</w:t>
      </w:r>
      <w:r>
        <w:rPr>
          <w:rFonts w:hint="eastAsia" w:eastAsia="仿宋_GB2312" w:cs="Times New Roman"/>
          <w:color w:val="auto"/>
          <w:sz w:val="32"/>
          <w:szCs w:val="32"/>
          <w:highlight w:val="none"/>
          <w:lang w:val="en-US" w:eastAsia="zh-CN"/>
        </w:rPr>
        <w:t>12次</w:t>
      </w:r>
      <w:r>
        <w:rPr>
          <w:rFonts w:hint="default" w:ascii="Times New Roman" w:hAnsi="Times New Roman" w:eastAsia="仿宋_GB2312" w:cs="Times New Roman"/>
          <w:color w:val="auto"/>
          <w:sz w:val="32"/>
          <w:szCs w:val="32"/>
          <w:highlight w:val="none"/>
        </w:rPr>
        <w:t xml:space="preserve"> ，实际完成值：</w:t>
      </w:r>
      <w:r>
        <w:rPr>
          <w:rFonts w:hint="eastAsia" w:eastAsia="仿宋_GB2312" w:cs="Times New Roman"/>
          <w:color w:val="auto"/>
          <w:sz w:val="32"/>
          <w:szCs w:val="32"/>
          <w:highlight w:val="none"/>
          <w:lang w:val="en-US" w:eastAsia="zh-CN"/>
        </w:rPr>
        <w:t>12次</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无</w:t>
      </w:r>
      <w:r>
        <w:rPr>
          <w:rFonts w:hint="default" w:ascii="Times New Roman" w:hAnsi="Times New Roman" w:eastAsia="仿宋_GB2312" w:cs="Times New Roman"/>
          <w:color w:val="auto"/>
          <w:sz w:val="32"/>
          <w:szCs w:val="32"/>
          <w:highlight w:val="none"/>
          <w:lang w:eastAsia="zh-CN"/>
        </w:rPr>
        <w:t>。</w:t>
      </w:r>
    </w:p>
    <w:p w14:paraId="05011332">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3：保障行政大楼面积 ，</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16000平米</w:t>
      </w:r>
      <w:r>
        <w:rPr>
          <w:rFonts w:hint="default" w:ascii="Times New Roman" w:hAnsi="Times New Roman" w:eastAsia="仿宋_GB2312" w:cs="Times New Roman"/>
          <w:color w:val="auto"/>
          <w:sz w:val="32"/>
          <w:szCs w:val="32"/>
          <w:highlight w:val="none"/>
        </w:rPr>
        <w:t xml:space="preserve"> ，实际完成值：</w:t>
      </w:r>
      <w:r>
        <w:rPr>
          <w:rFonts w:hint="eastAsia" w:eastAsia="仿宋_GB2312" w:cs="Times New Roman"/>
          <w:color w:val="auto"/>
          <w:sz w:val="32"/>
          <w:szCs w:val="32"/>
          <w:highlight w:val="none"/>
          <w:lang w:val="en-US" w:eastAsia="zh-CN"/>
        </w:rPr>
        <w:t>16000平米</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无</w:t>
      </w:r>
      <w:r>
        <w:rPr>
          <w:rFonts w:hint="default" w:ascii="Times New Roman" w:hAnsi="Times New Roman" w:eastAsia="仿宋_GB2312" w:cs="Times New Roman"/>
          <w:color w:val="auto"/>
          <w:sz w:val="32"/>
          <w:szCs w:val="32"/>
          <w:highlight w:val="none"/>
          <w:lang w:eastAsia="zh-CN"/>
        </w:rPr>
        <w:t>。</w:t>
      </w:r>
    </w:p>
    <w:p w14:paraId="426F5395">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2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②</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质量指标：指标1：公益性岗位人员工资社保保障率 ，指标值：98%，实际完成值：</w:t>
      </w:r>
      <w:r>
        <w:rPr>
          <w:rFonts w:hint="eastAsia" w:eastAsia="仿宋_GB2312" w:cs="Times New Roman"/>
          <w:color w:val="auto"/>
          <w:sz w:val="32"/>
          <w:szCs w:val="32"/>
          <w:highlight w:val="none"/>
          <w:lang w:val="en-US" w:eastAsia="zh-CN"/>
        </w:rPr>
        <w:t>98%</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无</w:t>
      </w:r>
      <w:r>
        <w:rPr>
          <w:rFonts w:hint="default" w:ascii="Times New Roman" w:hAnsi="Times New Roman" w:eastAsia="仿宋_GB2312" w:cs="Times New Roman"/>
          <w:color w:val="auto"/>
          <w:sz w:val="32"/>
          <w:szCs w:val="32"/>
          <w:highlight w:val="none"/>
          <w:lang w:eastAsia="zh-CN"/>
        </w:rPr>
        <w:t>。</w:t>
      </w:r>
    </w:p>
    <w:p w14:paraId="3899B894">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：综合大楼公用经费保障率 ，指标值：&gt;=98% ，实际完成值：</w:t>
      </w:r>
      <w:r>
        <w:rPr>
          <w:rFonts w:hint="eastAsia" w:eastAsia="仿宋_GB2312" w:cs="Times New Roman"/>
          <w:color w:val="auto"/>
          <w:sz w:val="32"/>
          <w:szCs w:val="32"/>
          <w:highlight w:val="none"/>
          <w:lang w:val="en-US" w:eastAsia="zh-CN"/>
        </w:rPr>
        <w:t xml:space="preserve">98% </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无</w:t>
      </w:r>
      <w:r>
        <w:rPr>
          <w:rFonts w:hint="default" w:ascii="Times New Roman" w:hAnsi="Times New Roman" w:eastAsia="仿宋_GB2312" w:cs="Times New Roman"/>
          <w:color w:val="auto"/>
          <w:sz w:val="32"/>
          <w:szCs w:val="32"/>
          <w:highlight w:val="none"/>
          <w:lang w:eastAsia="zh-CN"/>
        </w:rPr>
        <w:t>。</w:t>
      </w:r>
    </w:p>
    <w:p w14:paraId="24AC9C60">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3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③</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时效指标：指标1：公益性岗位人员工资社保发放及时率 ，指标值：&gt;=98% ，实际完成值：</w:t>
      </w:r>
      <w:r>
        <w:rPr>
          <w:rFonts w:hint="eastAsia" w:eastAsia="仿宋_GB2312" w:cs="Times New Roman"/>
          <w:color w:val="auto"/>
          <w:sz w:val="32"/>
          <w:szCs w:val="32"/>
          <w:highlight w:val="none"/>
          <w:lang w:val="en-US" w:eastAsia="zh-CN"/>
        </w:rPr>
        <w:t xml:space="preserve">98% </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无</w:t>
      </w:r>
      <w:r>
        <w:rPr>
          <w:rFonts w:hint="default" w:ascii="Times New Roman" w:hAnsi="Times New Roman" w:eastAsia="仿宋_GB2312" w:cs="Times New Roman"/>
          <w:color w:val="auto"/>
          <w:sz w:val="32"/>
          <w:szCs w:val="32"/>
          <w:highlight w:val="none"/>
          <w:lang w:eastAsia="zh-CN"/>
        </w:rPr>
        <w:t>。</w:t>
      </w:r>
    </w:p>
    <w:p w14:paraId="17951C52">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：公用经费支付及时率，指标值：&gt;=98% ，实际完成值：</w:t>
      </w:r>
      <w:r>
        <w:rPr>
          <w:rFonts w:hint="eastAsia" w:eastAsia="仿宋_GB2312" w:cs="Times New Roman"/>
          <w:color w:val="auto"/>
          <w:sz w:val="32"/>
          <w:szCs w:val="32"/>
          <w:highlight w:val="none"/>
          <w:lang w:val="en-US" w:eastAsia="zh-CN"/>
        </w:rPr>
        <w:t xml:space="preserve">98% </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无</w:t>
      </w:r>
      <w:r>
        <w:rPr>
          <w:rFonts w:hint="default" w:ascii="Times New Roman" w:hAnsi="Times New Roman" w:eastAsia="仿宋_GB2312" w:cs="Times New Roman"/>
          <w:color w:val="auto"/>
          <w:sz w:val="32"/>
          <w:szCs w:val="32"/>
          <w:highlight w:val="none"/>
          <w:lang w:eastAsia="zh-CN"/>
        </w:rPr>
        <w:t>。</w:t>
      </w:r>
    </w:p>
    <w:p w14:paraId="5AAC1DAD">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4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④</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成本指标：</w:t>
      </w:r>
    </w:p>
    <w:p w14:paraId="499688F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指标1公益性岗位工资及社保补贴数，指标值：&lt;=</w:t>
      </w:r>
      <w:r>
        <w:rPr>
          <w:rFonts w:hint="eastAsia" w:ascii="仿宋_GB2312" w:hAnsi="仿宋_GB2312" w:eastAsia="仿宋_GB2312" w:cs="仿宋_GB2312"/>
          <w:b w:val="0"/>
          <w:bCs w:val="0"/>
          <w:color w:val="auto"/>
          <w:kern w:val="28"/>
          <w:sz w:val="32"/>
          <w:szCs w:val="32"/>
          <w:highlight w:val="none"/>
          <w:lang w:val="en-US" w:eastAsia="zh-CN" w:bidi="ar-SA"/>
        </w:rPr>
        <w:t>0.60万</w:t>
      </w:r>
      <w:r>
        <w:rPr>
          <w:rFonts w:hint="default" w:ascii="Times New Roman" w:hAnsi="Times New Roman" w:eastAsia="仿宋_GB2312" w:cs="Times New Roman"/>
          <w:color w:val="auto"/>
          <w:sz w:val="32"/>
          <w:szCs w:val="32"/>
          <w:highlight w:val="none"/>
        </w:rPr>
        <w:t>元/次 ，实际完成值：</w:t>
      </w:r>
      <w:r>
        <w:rPr>
          <w:rFonts w:hint="eastAsia" w:ascii="仿宋_GB2312" w:hAnsi="仿宋_GB2312" w:eastAsia="仿宋_GB2312" w:cs="仿宋_GB2312"/>
          <w:b w:val="0"/>
          <w:bCs w:val="0"/>
          <w:color w:val="auto"/>
          <w:kern w:val="28"/>
          <w:sz w:val="32"/>
          <w:szCs w:val="32"/>
          <w:highlight w:val="none"/>
          <w:lang w:val="en-US" w:eastAsia="zh-CN" w:bidi="ar-SA"/>
        </w:rPr>
        <w:t>0.60万</w:t>
      </w:r>
      <w:r>
        <w:rPr>
          <w:rFonts w:hint="eastAsia" w:ascii="Times New Roman" w:hAnsi="Times New Roman" w:eastAsia="仿宋_GB2312" w:cs="Times New Roman"/>
          <w:color w:val="auto"/>
          <w:sz w:val="32"/>
          <w:szCs w:val="32"/>
          <w:highlight w:val="none"/>
          <w:lang w:val="en-US" w:eastAsia="zh-CN"/>
        </w:rPr>
        <w:t>元/次</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无</w:t>
      </w:r>
      <w:r>
        <w:rPr>
          <w:rFonts w:hint="default" w:ascii="Times New Roman" w:hAnsi="Times New Roman" w:eastAsia="仿宋_GB2312" w:cs="Times New Roman"/>
          <w:color w:val="auto"/>
          <w:sz w:val="32"/>
          <w:szCs w:val="32"/>
          <w:highlight w:val="none"/>
          <w:lang w:eastAsia="zh-CN"/>
        </w:rPr>
        <w:t>。</w:t>
      </w:r>
    </w:p>
    <w:p w14:paraId="695B6910">
      <w:pPr>
        <w:shd w:val="clear" w:color="auto" w:fill="auto"/>
        <w:spacing w:line="600" w:lineRule="exact"/>
        <w:ind w:firstLine="640" w:firstLineChars="200"/>
        <w:outlineLvl w:val="0"/>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：综合办公楼公用经费，指标值：&lt;=</w:t>
      </w:r>
      <w:r>
        <w:rPr>
          <w:rFonts w:hint="eastAsia" w:ascii="仿宋_GB2312" w:hAnsi="仿宋_GB2312" w:eastAsia="仿宋_GB2312" w:cs="仿宋_GB2312"/>
          <w:b w:val="0"/>
          <w:bCs w:val="0"/>
          <w:color w:val="auto"/>
          <w:kern w:val="28"/>
          <w:sz w:val="32"/>
          <w:szCs w:val="32"/>
          <w:highlight w:val="none"/>
          <w:lang w:val="en-US" w:eastAsia="zh-CN" w:bidi="ar-SA"/>
        </w:rPr>
        <w:t>7.30万</w:t>
      </w:r>
      <w:r>
        <w:rPr>
          <w:rFonts w:hint="default" w:ascii="Times New Roman" w:hAnsi="Times New Roman" w:eastAsia="仿宋_GB2312" w:cs="Times New Roman"/>
          <w:color w:val="auto"/>
          <w:sz w:val="32"/>
          <w:szCs w:val="32"/>
          <w:highlight w:val="none"/>
        </w:rPr>
        <w:t>元/次，实际完成值：</w:t>
      </w:r>
      <w:r>
        <w:rPr>
          <w:rFonts w:hint="eastAsia" w:ascii="仿宋_GB2312" w:hAnsi="仿宋_GB2312" w:eastAsia="仿宋_GB2312" w:cs="仿宋_GB2312"/>
          <w:b w:val="0"/>
          <w:bCs w:val="0"/>
          <w:color w:val="auto"/>
          <w:kern w:val="28"/>
          <w:sz w:val="32"/>
          <w:szCs w:val="32"/>
          <w:highlight w:val="none"/>
          <w:lang w:val="en-US" w:eastAsia="zh-CN" w:bidi="ar-SA"/>
        </w:rPr>
        <w:t>7.30万</w:t>
      </w:r>
      <w:r>
        <w:rPr>
          <w:rFonts w:hint="default" w:ascii="Times New Roman" w:hAnsi="Times New Roman" w:eastAsia="仿宋_GB2312" w:cs="Times New Roman"/>
          <w:color w:val="auto"/>
          <w:sz w:val="32"/>
          <w:szCs w:val="32"/>
          <w:highlight w:val="none"/>
        </w:rPr>
        <w:t>元/次，指标完成率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无</w:t>
      </w:r>
    </w:p>
    <w:p w14:paraId="24B4FEDC">
      <w:pPr>
        <w:pStyle w:val="11"/>
        <w:numPr>
          <w:ilvl w:val="0"/>
          <w:numId w:val="4"/>
        </w:numPr>
        <w:spacing w:line="560" w:lineRule="exact"/>
        <w:ind w:firstLine="643"/>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项目效益情况</w:t>
      </w:r>
    </w:p>
    <w:p w14:paraId="72A0FF65">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项目效益类指标包括项目实施效益和满意度两方面的内容，由</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个三级指标构成，权重</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en-US" w:eastAsia="zh-CN"/>
        </w:rPr>
        <w:t>分为20分，实际得分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%。具体效益指标及满意度指标完成情况如下：</w:t>
      </w:r>
    </w:p>
    <w:p w14:paraId="6FE4CAAC">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1.实施效益①</w:t>
      </w:r>
      <w:r>
        <w:rPr>
          <w:rFonts w:hint="default" w:ascii="Times New Roman" w:hAnsi="Times New Roman" w:eastAsia="仿宋_GB2312" w:cs="Times New Roman"/>
          <w:color w:val="auto"/>
          <w:sz w:val="32"/>
          <w:szCs w:val="32"/>
          <w:highlight w:val="none"/>
        </w:rPr>
        <w:t>社会效益指标：指标1：保障政务服务中心各项工作顺利开展 ，指标值：</w:t>
      </w:r>
      <w:r>
        <w:rPr>
          <w:rFonts w:hint="eastAsia" w:eastAsia="仿宋_GB2312" w:cs="Times New Roman"/>
          <w:color w:val="auto"/>
          <w:sz w:val="32"/>
          <w:szCs w:val="32"/>
          <w:highlight w:val="none"/>
          <w:lang w:val="en-US" w:eastAsia="zh-CN"/>
        </w:rPr>
        <w:t>有效保障</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有效保障</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无</w:t>
      </w:r>
      <w:r>
        <w:rPr>
          <w:rFonts w:hint="default" w:ascii="Times New Roman" w:hAnsi="Times New Roman" w:eastAsia="仿宋_GB2312" w:cs="Times New Roman"/>
          <w:color w:val="auto"/>
          <w:sz w:val="32"/>
          <w:szCs w:val="32"/>
          <w:highlight w:val="none"/>
          <w:lang w:eastAsia="zh-CN"/>
        </w:rPr>
        <w:t>。</w:t>
      </w:r>
    </w:p>
    <w:p w14:paraId="2559119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2.满意度</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指标1：</w:t>
      </w:r>
      <w:r>
        <w:rPr>
          <w:rFonts w:hint="default" w:ascii="Times New Roman" w:hAnsi="Times New Roman" w:eastAsia="仿宋_GB2312" w:cs="Times New Roman"/>
          <w:color w:val="auto"/>
          <w:sz w:val="32"/>
          <w:szCs w:val="32"/>
          <w:highlight w:val="none"/>
          <w:lang w:val="en-US" w:eastAsia="zh-CN"/>
        </w:rPr>
        <w:t>单位人员满意度</w:t>
      </w:r>
      <w:r>
        <w:rPr>
          <w:rFonts w:hint="default" w:ascii="Times New Roman" w:hAnsi="Times New Roman" w:eastAsia="仿宋_GB2312" w:cs="Times New Roman"/>
          <w:color w:val="auto"/>
          <w:sz w:val="32"/>
          <w:szCs w:val="32"/>
          <w:highlight w:val="none"/>
        </w:rPr>
        <w:t>指标，指标值：&gt;=98% ，实际完成值：</w:t>
      </w:r>
      <w:r>
        <w:rPr>
          <w:rFonts w:hint="eastAsia" w:eastAsia="仿宋_GB2312" w:cs="Times New Roman"/>
          <w:color w:val="auto"/>
          <w:sz w:val="32"/>
          <w:szCs w:val="32"/>
          <w:highlight w:val="none"/>
          <w:lang w:val="en-US" w:eastAsia="zh-CN"/>
        </w:rPr>
        <w:t>98%</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无</w:t>
      </w:r>
      <w:r>
        <w:rPr>
          <w:rFonts w:hint="default" w:ascii="Times New Roman" w:hAnsi="Times New Roman" w:eastAsia="仿宋_GB2312" w:cs="Times New Roman"/>
          <w:color w:val="auto"/>
          <w:sz w:val="32"/>
          <w:szCs w:val="32"/>
          <w:highlight w:val="none"/>
          <w:lang w:eastAsia="zh-CN"/>
        </w:rPr>
        <w:t>。</w:t>
      </w:r>
    </w:p>
    <w:p w14:paraId="44EC5BF7">
      <w:pPr>
        <w:spacing w:line="560" w:lineRule="exact"/>
        <w:ind w:firstLine="643" w:firstLineChars="200"/>
        <w:rPr>
          <w:rFonts w:hint="default" w:ascii="Times New Roman" w:hAnsi="Times New Roman" w:eastAsia="楷体_GB2312" w:cs="Times New Roman"/>
          <w:b/>
          <w:bCs/>
          <w:color w:val="auto"/>
          <w:sz w:val="32"/>
          <w:szCs w:val="32"/>
          <w:highlight w:val="none"/>
          <w:lang w:val="en-US"/>
        </w:rPr>
      </w:pPr>
      <w:r>
        <w:rPr>
          <w:rFonts w:hint="default" w:ascii="Times New Roman" w:hAnsi="Times New Roman" w:eastAsia="楷体_GB2312" w:cs="Times New Roman"/>
          <w:b/>
          <w:bCs/>
          <w:color w:val="auto"/>
          <w:sz w:val="32"/>
          <w:szCs w:val="32"/>
          <w:highlight w:val="none"/>
          <w:lang w:val="en-US" w:eastAsia="zh-CN"/>
        </w:rPr>
        <w:t>（五）</w:t>
      </w:r>
      <w:r>
        <w:rPr>
          <w:rFonts w:hint="default" w:ascii="Times New Roman" w:hAnsi="Times New Roman" w:eastAsia="楷体_GB2312" w:cs="Times New Roman"/>
          <w:b/>
          <w:bCs/>
          <w:color w:val="auto"/>
          <w:sz w:val="32"/>
          <w:szCs w:val="32"/>
          <w:highlight w:val="none"/>
          <w:lang w:val="en-US"/>
        </w:rPr>
        <w:t>预算执行进度与绩效指标总体完成率偏差</w:t>
      </w:r>
    </w:p>
    <w:p w14:paraId="4815DD8C">
      <w:pPr>
        <w:pStyle w:val="21"/>
        <w:spacing w:line="560" w:lineRule="exact"/>
        <w:ind w:firstLine="640"/>
        <w:rPr>
          <w:rFonts w:hint="default" w:ascii="Times New Roman" w:hAnsi="Times New Roman" w:eastAsia="方正仿宋_GBK"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行政大楼运转保障经费（年初本级）</w:t>
      </w:r>
      <w:r>
        <w:rPr>
          <w:rFonts w:hint="default" w:ascii="Times New Roman" w:hAnsi="Times New Roman" w:eastAsia="仿宋_GB2312" w:cs="Times New Roman"/>
          <w:color w:val="auto"/>
          <w:kern w:val="2"/>
          <w:sz w:val="32"/>
          <w:szCs w:val="32"/>
          <w:highlight w:val="none"/>
          <w:lang w:val="en-US" w:eastAsia="zh-CN" w:bidi="ar-SA"/>
        </w:rPr>
        <w:t>项目年初预算</w:t>
      </w:r>
      <w:r>
        <w:rPr>
          <w:rFonts w:hint="eastAsia" w:eastAsia="仿宋_GB2312" w:cs="Times New Roman"/>
          <w:color w:val="auto"/>
          <w:kern w:val="2"/>
          <w:sz w:val="32"/>
          <w:szCs w:val="32"/>
          <w:highlight w:val="none"/>
          <w:lang w:val="en-US" w:eastAsia="zh-CN" w:bidi="ar-SA"/>
        </w:rPr>
        <w:t>95</w:t>
      </w:r>
      <w:r>
        <w:rPr>
          <w:rFonts w:hint="default" w:ascii="Times New Roman" w:hAnsi="Times New Roman" w:eastAsia="仿宋_GB2312" w:cs="Times New Roman"/>
          <w:color w:val="auto"/>
          <w:kern w:val="2"/>
          <w:sz w:val="32"/>
          <w:szCs w:val="32"/>
          <w:highlight w:val="none"/>
          <w:lang w:val="en-US" w:eastAsia="zh-CN" w:bidi="ar-SA"/>
        </w:rPr>
        <w:t>万元，全年预算</w:t>
      </w:r>
      <w:r>
        <w:rPr>
          <w:rFonts w:hint="eastAsia" w:eastAsia="仿宋_GB2312" w:cs="Times New Roman"/>
          <w:color w:val="auto"/>
          <w:kern w:val="2"/>
          <w:sz w:val="32"/>
          <w:szCs w:val="32"/>
          <w:highlight w:val="none"/>
          <w:lang w:val="en-US" w:eastAsia="zh-CN" w:bidi="ar-SA"/>
        </w:rPr>
        <w:t>95</w:t>
      </w:r>
      <w:r>
        <w:rPr>
          <w:rFonts w:hint="default" w:ascii="Times New Roman" w:hAnsi="Times New Roman" w:eastAsia="仿宋_GB2312" w:cs="Times New Roman"/>
          <w:color w:val="auto"/>
          <w:kern w:val="2"/>
          <w:sz w:val="32"/>
          <w:szCs w:val="32"/>
          <w:highlight w:val="none"/>
          <w:lang w:val="en-US" w:eastAsia="zh-CN" w:bidi="ar-SA"/>
        </w:rPr>
        <w:t>万元，实际支出</w:t>
      </w:r>
      <w:r>
        <w:rPr>
          <w:rFonts w:hint="eastAsia" w:eastAsia="仿宋_GB2312" w:cs="Times New Roman"/>
          <w:color w:val="auto"/>
          <w:kern w:val="2"/>
          <w:sz w:val="32"/>
          <w:szCs w:val="32"/>
          <w:highlight w:val="none"/>
          <w:lang w:val="en-US" w:eastAsia="zh-CN" w:bidi="ar-SA"/>
        </w:rPr>
        <w:t>94.86</w:t>
      </w:r>
      <w:r>
        <w:rPr>
          <w:rFonts w:hint="default" w:ascii="Times New Roman" w:hAnsi="Times New Roman" w:eastAsia="仿宋_GB2312" w:cs="Times New Roman"/>
          <w:color w:val="auto"/>
          <w:kern w:val="2"/>
          <w:sz w:val="32"/>
          <w:szCs w:val="32"/>
          <w:highlight w:val="none"/>
          <w:lang w:val="en-US" w:eastAsia="zh-CN" w:bidi="ar-SA"/>
        </w:rPr>
        <w:t>万元，预算执行率为</w:t>
      </w:r>
      <w:r>
        <w:rPr>
          <w:rFonts w:hint="eastAsia" w:eastAsia="仿宋_GB2312" w:cs="Times New Roman"/>
          <w:color w:val="auto"/>
          <w:kern w:val="2"/>
          <w:sz w:val="32"/>
          <w:szCs w:val="32"/>
          <w:highlight w:val="none"/>
          <w:lang w:val="en-US" w:eastAsia="zh-CN" w:bidi="ar-SA"/>
        </w:rPr>
        <w:t>99.8</w:t>
      </w:r>
      <w:r>
        <w:rPr>
          <w:rFonts w:hint="eastAsia" w:ascii="Times New Roman" w:hAnsi="Times New Roman" w:eastAsia="仿宋_GB2312" w:cs="Times New Roman"/>
          <w:color w:val="auto"/>
          <w:kern w:val="2"/>
          <w:sz w:val="32"/>
          <w:szCs w:val="32"/>
          <w:highlight w:val="none"/>
          <w:lang w:val="en-US" w:eastAsia="zh-CN" w:bidi="ar-SA"/>
        </w:rPr>
        <w:t>5</w:t>
      </w:r>
      <w:r>
        <w:rPr>
          <w:rFonts w:hint="default" w:ascii="Times New Roman" w:hAnsi="Times New Roman" w:eastAsia="仿宋_GB2312" w:cs="Times New Roman"/>
          <w:color w:val="auto"/>
          <w:kern w:val="2"/>
          <w:sz w:val="32"/>
          <w:szCs w:val="32"/>
          <w:highlight w:val="none"/>
          <w:lang w:val="en-US" w:eastAsia="zh-CN" w:bidi="ar-SA"/>
        </w:rPr>
        <w:t>%，项目绩效指标总体完成率</w:t>
      </w:r>
      <w:r>
        <w:rPr>
          <w:rFonts w:hint="eastAsia" w:ascii="Times New Roman" w:hAnsi="Times New Roman" w:eastAsia="仿宋_GB2312" w:cs="Times New Roman"/>
          <w:color w:val="auto"/>
          <w:kern w:val="2"/>
          <w:sz w:val="32"/>
          <w:szCs w:val="32"/>
          <w:highlight w:val="none"/>
          <w:lang w:val="en-US" w:eastAsia="zh-CN" w:bidi="ar-SA"/>
        </w:rPr>
        <w:t>为</w:t>
      </w:r>
      <w:r>
        <w:rPr>
          <w:rFonts w:hint="eastAsia" w:eastAsia="仿宋_GB2312" w:cs="Times New Roman"/>
          <w:color w:val="auto"/>
          <w:kern w:val="2"/>
          <w:sz w:val="32"/>
          <w:szCs w:val="32"/>
          <w:highlight w:val="none"/>
          <w:lang w:val="en-US" w:eastAsia="zh-CN" w:bidi="ar-SA"/>
        </w:rPr>
        <w:t>100</w:t>
      </w:r>
      <w:r>
        <w:rPr>
          <w:rFonts w:hint="default"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bidi="ar-SA"/>
        </w:rPr>
        <w:t>总体</w:t>
      </w:r>
      <w:r>
        <w:rPr>
          <w:rFonts w:hint="default" w:ascii="Times New Roman" w:hAnsi="Times New Roman" w:eastAsia="仿宋_GB2312" w:cs="Times New Roman"/>
          <w:color w:val="auto"/>
          <w:kern w:val="2"/>
          <w:sz w:val="32"/>
          <w:szCs w:val="32"/>
          <w:highlight w:val="none"/>
          <w:lang w:val="en-US" w:eastAsia="zh-CN" w:bidi="ar-SA"/>
        </w:rPr>
        <w:t>偏差率为</w:t>
      </w:r>
      <w:r>
        <w:rPr>
          <w:rFonts w:hint="eastAsia" w:eastAsia="仿宋_GB2312" w:cs="Times New Roman"/>
          <w:color w:val="auto"/>
          <w:kern w:val="2"/>
          <w:sz w:val="32"/>
          <w:szCs w:val="32"/>
          <w:highlight w:val="none"/>
          <w:lang w:val="en-US" w:eastAsia="zh-CN" w:bidi="ar-SA"/>
        </w:rPr>
        <w:t>0</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bidi="ar-SA"/>
        </w:rPr>
        <w:t>偏差</w:t>
      </w:r>
      <w:r>
        <w:rPr>
          <w:rFonts w:hint="default" w:ascii="Times New Roman" w:hAnsi="Times New Roman" w:eastAsia="仿宋_GB2312" w:cs="Times New Roman"/>
          <w:color w:val="auto"/>
          <w:kern w:val="2"/>
          <w:sz w:val="32"/>
          <w:szCs w:val="32"/>
          <w:highlight w:val="none"/>
          <w:lang w:val="en-US" w:eastAsia="zh-CN" w:bidi="ar-SA"/>
        </w:rPr>
        <w:t>原因</w:t>
      </w:r>
      <w:r>
        <w:rPr>
          <w:rFonts w:hint="eastAsia" w:eastAsia="仿宋_GB2312" w:cs="Times New Roman"/>
          <w:color w:val="auto"/>
          <w:kern w:val="2"/>
          <w:sz w:val="32"/>
          <w:szCs w:val="32"/>
          <w:highlight w:val="none"/>
          <w:lang w:val="en-US" w:eastAsia="zh-CN" w:bidi="ar-SA"/>
        </w:rPr>
        <w:t>：无</w:t>
      </w:r>
    </w:p>
    <w:p w14:paraId="4404BF8B">
      <w:pPr>
        <w:spacing w:line="560" w:lineRule="exact"/>
        <w:ind w:firstLine="640" w:firstLineChars="200"/>
        <w:rPr>
          <w:rStyle w:val="20"/>
          <w:rFonts w:hint="default" w:ascii="Times New Roman" w:hAnsi="Times New Roman" w:cs="Times New Roman"/>
          <w:color w:val="auto"/>
          <w:highlight w:val="none"/>
        </w:rPr>
      </w:pPr>
      <w:r>
        <w:rPr>
          <w:rFonts w:hint="eastAsia" w:eastAsia="黑体" w:cs="Times New Roman"/>
          <w:color w:val="auto"/>
          <w:sz w:val="32"/>
          <w:szCs w:val="32"/>
          <w:highlight w:val="none"/>
          <w:lang w:val="en-US" w:eastAsia="zh-CN"/>
        </w:rPr>
        <w:t>五</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黑体" w:cs="Times New Roman"/>
          <w:color w:val="auto"/>
          <w:sz w:val="32"/>
          <w:szCs w:val="32"/>
          <w:highlight w:val="none"/>
        </w:rPr>
        <w:t>主要经验及做法、存在的问题及原因分析</w:t>
      </w:r>
    </w:p>
    <w:p w14:paraId="5ACB60C7">
      <w:pPr>
        <w:spacing w:line="560" w:lineRule="exact"/>
        <w:ind w:firstLine="627" w:firstLineChars="200"/>
        <w:rPr>
          <w:rFonts w:hint="default" w:ascii="Times New Roman" w:hAnsi="Times New Roman" w:eastAsia="楷体" w:cs="Times New Roman"/>
          <w:b/>
          <w:color w:val="auto"/>
          <w:spacing w:val="-4"/>
          <w:sz w:val="32"/>
          <w:szCs w:val="32"/>
          <w:highlight w:val="none"/>
        </w:rPr>
      </w:pPr>
      <w:r>
        <w:rPr>
          <w:rFonts w:hint="default" w:ascii="Times New Roman" w:hAnsi="Times New Roman" w:eastAsia="楷体" w:cs="Times New Roman"/>
          <w:b/>
          <w:color w:val="auto"/>
          <w:spacing w:val="-4"/>
          <w:sz w:val="32"/>
          <w:szCs w:val="32"/>
          <w:highlight w:val="none"/>
        </w:rPr>
        <w:t>（一）主要经验及做法</w:t>
      </w:r>
    </w:p>
    <w:p w14:paraId="420A6998">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A93206F">
      <w:pPr>
        <w:pStyle w:val="10"/>
        <w:spacing w:before="0" w:after="0" w:line="560" w:lineRule="exact"/>
        <w:ind w:firstLine="640" w:firstLineChars="200"/>
        <w:jc w:val="left"/>
        <w:rPr>
          <w:rFonts w:hint="default" w:ascii="Times New Roman" w:hAnsi="Times New Roman" w:eastAsia="仿宋_GB2312" w:cs="Times New Roman"/>
          <w:b w:val="0"/>
          <w:bCs w:val="0"/>
          <w:color w:val="auto"/>
          <w:kern w:val="2"/>
          <w:highlight w:val="none"/>
        </w:rPr>
      </w:pPr>
      <w:r>
        <w:rPr>
          <w:rFonts w:hint="default" w:ascii="Times New Roman" w:hAnsi="Times New Roman" w:eastAsia="仿宋_GB2312" w:cs="Times New Roman"/>
          <w:b w:val="0"/>
          <w:bCs w:val="0"/>
          <w:color w:val="auto"/>
          <w:kern w:val="2"/>
          <w:highlight w:val="none"/>
        </w:rPr>
        <w:t>严格坚持先做事、后验收、再拨付的原则，</w:t>
      </w:r>
      <w:r>
        <w:rPr>
          <w:rFonts w:hint="eastAsia" w:ascii="Times New Roman" w:hAnsi="Times New Roman" w:eastAsia="仿宋_GB2312" w:cs="Times New Roman"/>
          <w:b w:val="0"/>
          <w:bCs w:val="0"/>
          <w:color w:val="auto"/>
          <w:kern w:val="2"/>
          <w:highlight w:val="none"/>
          <w:lang w:eastAsia="zh-CN"/>
        </w:rPr>
        <w:t>杜绝</w:t>
      </w:r>
      <w:r>
        <w:rPr>
          <w:rFonts w:hint="default" w:ascii="Times New Roman" w:hAnsi="Times New Roman" w:eastAsia="仿宋_GB2312" w:cs="Times New Roman"/>
          <w:b w:val="0"/>
          <w:bCs w:val="0"/>
          <w:color w:val="auto"/>
          <w:kern w:val="2"/>
          <w:highlight w:val="none"/>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C6D921C">
      <w:pPr>
        <w:keepNext/>
        <w:keepLines/>
        <w:numPr>
          <w:ilvl w:val="0"/>
          <w:numId w:val="5"/>
        </w:num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存在的问题及原因分析</w:t>
      </w:r>
    </w:p>
    <w:p w14:paraId="0E2AE230">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5DD3D6EF">
      <w:pPr>
        <w:spacing w:line="560" w:lineRule="exact"/>
        <w:ind w:firstLine="640" w:firstLineChars="200"/>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lang w:val="en-US" w:eastAsia="zh-CN"/>
        </w:rPr>
        <w:t>.</w:t>
      </w:r>
      <w:r>
        <w:rPr>
          <w:rFonts w:hint="default" w:ascii="Times New Roman" w:hAnsi="Times New Roman" w:eastAsia="黑体" w:cs="Times New Roman"/>
          <w:color w:val="auto"/>
          <w:sz w:val="32"/>
          <w:szCs w:val="32"/>
          <w:highlight w:val="none"/>
        </w:rPr>
        <w:t>有关建议</w:t>
      </w:r>
    </w:p>
    <w:p w14:paraId="4903E9EA">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1.多进行有关绩效管理工作方面的培训。积极组织第三方开展绩效管理工作培训，进一步夯实业务基础，提高我单位绩效人员水平。</w:t>
      </w:r>
    </w:p>
    <w:p w14:paraId="6ECED1C9">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进一步加强对绩效管理工作的组织领导，提高对预算绩效管理工作重要性的认识，总结经验查找问题，抓紧研究制定更全面更完善的绩效评价管理办法</w:t>
      </w:r>
      <w:r>
        <w:rPr>
          <w:rFonts w:hint="eastAsia" w:eastAsia="仿宋_GB2312" w:cs="Times New Roman"/>
          <w:color w:val="auto"/>
          <w:sz w:val="32"/>
          <w:szCs w:val="32"/>
          <w:highlight w:val="none"/>
          <w:lang w:val="en-US" w:eastAsia="zh-CN"/>
        </w:rPr>
        <w:t>，加大</w:t>
      </w:r>
      <w:r>
        <w:rPr>
          <w:rFonts w:hint="default" w:ascii="Times New Roman" w:hAnsi="Times New Roman" w:eastAsia="仿宋_GB2312" w:cs="Times New Roman"/>
          <w:color w:val="auto"/>
          <w:sz w:val="32"/>
          <w:szCs w:val="32"/>
          <w:highlight w:val="none"/>
          <w:lang w:val="en-US" w:eastAsia="zh-CN"/>
        </w:rPr>
        <w:t>对全面实施预算绩效管理和绩效管理工作的学习力度，让“花钱必问效，无效必问责”的理念深入工作每个环节。</w:t>
      </w:r>
    </w:p>
    <w:p w14:paraId="34C68D0A">
      <w:pPr>
        <w:spacing w:line="560" w:lineRule="exact"/>
        <w:ind w:firstLine="640" w:firstLineChars="20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七</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黑体" w:cs="Times New Roman"/>
          <w:color w:val="auto"/>
          <w:sz w:val="32"/>
          <w:szCs w:val="32"/>
          <w:highlight w:val="none"/>
        </w:rPr>
        <w:t>其他需要说</w:t>
      </w:r>
      <w:bookmarkStart w:id="0" w:name="page8"/>
      <w:bookmarkEnd w:id="0"/>
      <w:r>
        <w:rPr>
          <w:rFonts w:hint="default" w:ascii="Times New Roman" w:hAnsi="Times New Roman" w:eastAsia="黑体" w:cs="Times New Roman"/>
          <w:color w:val="auto"/>
          <w:sz w:val="32"/>
          <w:szCs w:val="32"/>
          <w:highlight w:val="none"/>
        </w:rPr>
        <w:t>明的问题</w:t>
      </w:r>
    </w:p>
    <w:p w14:paraId="5294F376">
      <w:pPr>
        <w:pStyle w:val="12"/>
        <w:spacing w:after="0" w:line="560" w:lineRule="exact"/>
        <w:ind w:left="0" w:leftChars="0"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本项目无其他需说明的问题。</w:t>
      </w:r>
    </w:p>
    <w:p w14:paraId="1BD81BD9">
      <w:pPr>
        <w:pStyle w:val="12"/>
        <w:spacing w:after="0" w:line="560" w:lineRule="exact"/>
        <w:ind w:left="0" w:leftChars="0" w:firstLine="640"/>
        <w:rPr>
          <w:rFonts w:hint="eastAsia" w:ascii="Times New Roman" w:hAnsi="Times New Roman" w:eastAsia="仿宋_GB2312" w:cs="Times New Roman"/>
          <w:color w:val="auto"/>
          <w:sz w:val="32"/>
          <w:szCs w:val="32"/>
          <w:highlight w:val="none"/>
          <w:lang w:eastAsia="zh-CN"/>
        </w:rPr>
      </w:pPr>
    </w:p>
    <w:p w14:paraId="14E48117">
      <w:pPr>
        <w:pStyle w:val="12"/>
        <w:spacing w:after="0" w:line="560" w:lineRule="exact"/>
        <w:ind w:left="0" w:leftChars="0" w:firstLine="640"/>
        <w:rPr>
          <w:rFonts w:hint="eastAsia" w:ascii="Times New Roman" w:hAnsi="Times New Roman" w:eastAsia="仿宋_GB2312" w:cs="Times New Roman"/>
          <w:color w:val="auto"/>
          <w:sz w:val="32"/>
          <w:szCs w:val="32"/>
          <w:highlight w:val="none"/>
          <w:lang w:eastAsia="zh-CN"/>
        </w:rPr>
      </w:pPr>
    </w:p>
    <w:p w14:paraId="6F628608">
      <w:pPr>
        <w:pStyle w:val="12"/>
        <w:spacing w:after="0" w:line="560" w:lineRule="exact"/>
        <w:ind w:left="0" w:leftChars="0" w:firstLine="0" w:firstLineChars="0"/>
        <w:rPr>
          <w:rFonts w:hint="default" w:ascii="Times New Roman" w:hAnsi="Times New Roman" w:eastAsia="仿宋_GB2312" w:cs="Times New Roman"/>
          <w:color w:val="auto"/>
          <w:sz w:val="32"/>
          <w:szCs w:val="32"/>
          <w:highlight w:val="none"/>
          <w:lang w:val="en-US" w:eastAsia="zh-CN"/>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9D8148E-65C7-443E-B85F-D615D17EFCD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48E992AB-C7AF-487D-9695-EED35E4D696D}"/>
  </w:font>
  <w:font w:name="华文中宋">
    <w:panose1 w:val="02010600040101010101"/>
    <w:charset w:val="86"/>
    <w:family w:val="auto"/>
    <w:pitch w:val="default"/>
    <w:sig w:usb0="00000287" w:usb1="080F0000" w:usb2="00000000" w:usb3="00000000" w:csb0="0004009F" w:csb1="DFD70000"/>
    <w:embedRegular r:id="rId3" w:fontKey="{11BD46CE-EBC8-49AD-B404-E196C3D60D9E}"/>
  </w:font>
  <w:font w:name="方正小标宋简体">
    <w:panose1 w:val="02000000000000000000"/>
    <w:charset w:val="86"/>
    <w:family w:val="auto"/>
    <w:pitch w:val="default"/>
    <w:sig w:usb0="00000001" w:usb1="08000000" w:usb2="00000000" w:usb3="00000000" w:csb0="00040000" w:csb1="00000000"/>
    <w:embedRegular r:id="rId4" w:fontKey="{889953FF-5E61-4DDD-AFEB-78D4737A5103}"/>
  </w:font>
  <w:font w:name="方正小标宋_GBK">
    <w:panose1 w:val="02000000000000000000"/>
    <w:charset w:val="86"/>
    <w:family w:val="script"/>
    <w:pitch w:val="default"/>
    <w:sig w:usb0="A00002BF" w:usb1="38CF7CFA" w:usb2="00082016" w:usb3="00000000" w:csb0="00040001" w:csb1="00000000"/>
    <w:embedRegular r:id="rId5" w:fontKey="{F6A26D8B-FAC8-4056-A0BE-F037798899CD}"/>
  </w:font>
  <w:font w:name="楷体_GB2312">
    <w:panose1 w:val="02010609030101010101"/>
    <w:charset w:val="86"/>
    <w:family w:val="auto"/>
    <w:pitch w:val="default"/>
    <w:sig w:usb0="00000001" w:usb1="080E0000" w:usb2="00000000" w:usb3="00000000" w:csb0="00040000" w:csb1="00000000"/>
    <w:embedRegular r:id="rId6" w:fontKey="{0890024D-9721-47E8-900C-04EB635B1113}"/>
  </w:font>
  <w:font w:name="方正仿宋_GBK">
    <w:altName w:val="微软雅黑"/>
    <w:panose1 w:val="03000509000000000000"/>
    <w:charset w:val="86"/>
    <w:family w:val="auto"/>
    <w:pitch w:val="default"/>
    <w:sig w:usb0="00000000" w:usb1="00000000" w:usb2="00000000" w:usb3="00000000" w:csb0="00040000" w:csb1="00000000"/>
    <w:embedRegular r:id="rId7" w:fontKey="{82B7007E-12CE-49EE-A2D0-5FFC0754324D}"/>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8" w:fontKey="{01D40EE1-60A6-4177-8C60-874B84ED5A50}"/>
  </w:font>
  <w:font w:name="WPSEMBED33">
    <w:panose1 w:val="02010609030101010101"/>
    <w:charset w:val="86"/>
    <w:family w:val="auto"/>
    <w:pitch w:val="default"/>
    <w:sig w:usb0="00000001" w:usb1="080E0000" w:usb2="00000000" w:usb3="00000000" w:csb0="00040000" w:csb1="00000000"/>
  </w:font>
  <w:font w:name="WPSEMBED34">
    <w:panose1 w:val="02010609030101010101"/>
    <w:charset w:val="86"/>
    <w:family w:val="auto"/>
    <w:pitch w:val="default"/>
    <w:sig w:usb0="00000001" w:usb1="080E0000" w:usb2="00000000" w:usb3="00000000" w:csb0="00040000" w:csb1="00000000"/>
  </w:font>
  <w:font w:name="WPSEMBED35">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52D6C4F3">
        <w:pPr>
          <w:pStyle w:val="7"/>
          <w:jc w:val="center"/>
        </w:pPr>
        <w:r>
          <w:fldChar w:fldCharType="begin"/>
        </w:r>
        <w:r>
          <w:instrText xml:space="preserve">PAGE   \* MERGEFORMAT</w:instrText>
        </w:r>
        <w:r>
          <w:fldChar w:fldCharType="separate"/>
        </w:r>
        <w:r>
          <w:rPr>
            <w:lang w:val="zh-CN"/>
          </w:rPr>
          <w:t>13</w:t>
        </w:r>
        <w:r>
          <w:fldChar w:fldCharType="end"/>
        </w:r>
      </w:p>
    </w:sdtContent>
  </w:sdt>
  <w:p w14:paraId="15EB1C8C">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197209D3"/>
    <w:rsid w:val="6C85690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w:basedOn w:val="4"/>
    <w:qFormat/>
    <w:uiPriority w:val="0"/>
    <w:pPr>
      <w:spacing w:after="0"/>
      <w:ind w:firstLine="200" w:firstLineChars="200"/>
    </w:pPr>
  </w:style>
  <w:style w:type="paragraph" w:styleId="12">
    <w:name w:val="Body Text First Indent 2"/>
    <w:basedOn w:val="5"/>
    <w:qFormat/>
    <w:uiPriority w:val="0"/>
    <w:pPr>
      <w:ind w:firstLine="42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5"/>
    <w:link w:val="6"/>
    <w:qFormat/>
    <w:uiPriority w:val="0"/>
    <w:rPr>
      <w:rFonts w:ascii="Times New Roman" w:hAnsi="Times New Roman" w:eastAsia="宋体" w:cs="Times New Roman"/>
      <w:kern w:val="2"/>
      <w:sz w:val="18"/>
      <w:szCs w:val="18"/>
    </w:rPr>
  </w:style>
  <w:style w:type="character" w:customStyle="1" w:styleId="23">
    <w:name w:val="页眉 字符"/>
    <w:basedOn w:val="15"/>
    <w:link w:val="8"/>
    <w:qFormat/>
    <w:uiPriority w:val="0"/>
    <w:rPr>
      <w:rFonts w:ascii="Times New Roman" w:hAnsi="Times New Roman" w:eastAsia="宋体" w:cs="Times New Roman"/>
      <w:kern w:val="2"/>
      <w:sz w:val="18"/>
      <w:szCs w:val="18"/>
    </w:rPr>
  </w:style>
  <w:style w:type="character" w:customStyle="1" w:styleId="24">
    <w:name w:val="批注文字 字符"/>
    <w:basedOn w:val="15"/>
    <w:link w:val="17"/>
    <w:qFormat/>
    <w:uiPriority w:val="0"/>
    <w:rPr>
      <w:rFonts w:ascii="Times New Roman" w:hAnsi="Times New Roman" w:eastAsia="宋体" w:cs="Times New Roman"/>
      <w:kern w:val="2"/>
      <w:sz w:val="21"/>
      <w:szCs w:val="24"/>
    </w:rPr>
  </w:style>
  <w:style w:type="character" w:customStyle="1" w:styleId="25">
    <w:name w:val="批注主题 字符"/>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16EA1D4315E240CEA757381988DAF287_13</vt:lpwstr>
  </property>
  <property fmtid="{D5CDD505-2E9C-101B-9397-08002B2CF9AE}" pid="4" name="KSOTemplateDocerSaveRecord">
    <vt:lpwstr>eyJoZGlkIjoiMDUwNTdhMDc5MjdjMWE0OTA3Y2Y4Mzg0NTg4YzIxMWYifQ==</vt:lpwstr>
  </property>
</Properties>
</file>

<file path=customXml/itemProps1.xml><?xml version="1.0" encoding="utf-8"?>
<ds:datastoreItem xmlns:ds="http://schemas.openxmlformats.org/officeDocument/2006/customXml" ds:itemID="{8e6c0806-66cd-4956-af0a-c9f91864df0f}">
  <ds:schemaRefs/>
</ds:datastoreItem>
</file>

<file path=docProps/app.xml><?xml version="1.0" encoding="utf-8"?>
<Properties xmlns="http://schemas.openxmlformats.org/officeDocument/2006/extended-properties" xmlns:vt="http://schemas.openxmlformats.org/officeDocument/2006/docPropsVTypes">
  <Template>Normal</Template>
  <Pages>20</Pages>
  <Words>9303</Words>
  <Characters>9578</Characters>
  <Lines>58</Lines>
  <Paragraphs>16</Paragraphs>
  <TotalTime>11</TotalTime>
  <ScaleCrop>false</ScaleCrop>
  <LinksUpToDate>false</LinksUpToDate>
  <CharactersWithSpaces>9597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来财&amp;十个勤天</cp:lastModifiedBy>
  <dcterms:modified xsi:type="dcterms:W3CDTF">2025-11-13T07:56:53Z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16EA1D4315E240CEA757381988DAF287_13</vt:lpwstr>
  </property>
  <property fmtid="{D5CDD505-2E9C-101B-9397-08002B2CF9AE}" pid="4" name="KSOTemplateDocerSaveRecord">
    <vt:lpwstr>eyJoZGlkIjoiZjZjY2YzNDY3YWM4YThjNjdkZTk2MDAwYjE2OGQzNDQiLCJ1c2VySWQiOiIzNzI2MDMzNTYifQ==</vt:lpwstr>
  </property>
</Properties>
</file>