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C2FAB"/>
    <w:p w14:paraId="750E32F8">
      <w:pPr>
        <w:spacing w:line="540" w:lineRule="exact"/>
        <w:jc w:val="lef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F5C1C24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C2580A6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40BA7F7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E15E25A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中共特克斯县委老干部局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项目支出绩效评价报告</w:t>
      </w:r>
    </w:p>
    <w:p w14:paraId="3A9FCE55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21B7A3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7E69670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D955BC6">
      <w:pPr>
        <w:pStyle w:val="9"/>
        <w:jc w:val="both"/>
        <w:rPr>
          <w:rFonts w:hint="default" w:ascii="Times New Roman" w:hAnsi="Times New Roman" w:cs="Times New Roman"/>
        </w:rPr>
      </w:pPr>
    </w:p>
    <w:p w14:paraId="716555A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0D58C80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38F416D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项目名称：老年活动经费（年初本级）</w:t>
      </w:r>
    </w:p>
    <w:p w14:paraId="689B2927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中共特克斯县委老干部局</w:t>
      </w:r>
    </w:p>
    <w:p w14:paraId="2ACBBB9F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中共特克斯县委老干部局</w:t>
      </w:r>
    </w:p>
    <w:p w14:paraId="6AF4B1E6">
      <w:pPr>
        <w:spacing w:line="700" w:lineRule="exact"/>
        <w:ind w:firstLine="1280" w:firstLineChars="4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吉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·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巴沙</w:t>
      </w:r>
    </w:p>
    <w:p w14:paraId="460B0B84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61AACB50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C134D13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1157381F">
      <w:pPr>
        <w:spacing w:line="540" w:lineRule="exact"/>
        <w:ind w:firstLine="640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22080A81">
      <w:pPr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br w:type="page"/>
      </w:r>
    </w:p>
    <w:p w14:paraId="379A0AD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581AEACE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428D924C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7DCF07A2">
      <w:pPr>
        <w:spacing w:line="56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新党办发</w:t>
      </w:r>
      <w:r>
        <w:rPr>
          <w:rStyle w:val="15"/>
          <w:rFonts w:hint="default" w:ascii="Times New Roman" w:hAnsi="Times New Roman" w:eastAsia="黑体" w:cs="Times New Roman"/>
          <w:b w:val="0"/>
          <w:bCs/>
          <w:spacing w:val="-4"/>
          <w:sz w:val="32"/>
          <w:szCs w:val="32"/>
          <w:highlight w:val="none"/>
        </w:rPr>
        <w:t xml:space="preserve">【2017】47号 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自治区党委办公厅 自治区人民政府办公厅 印发《关于进一步加强和改进离退休干部工作的实施意见》的通知等相关文件要求，离退休干部及离休干部遗孀</w:t>
      </w:r>
      <w:bookmarkStart w:id="1" w:name="_GoBack"/>
      <w:bookmarkEnd w:id="1"/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春节慰问资金，老干部活动中心改造搬迁费，离退休干部报刊费，离退休干部党组织书记工作补贴，老干部半年经济社会发展通报会及观摩会经费，老干部全年通报会等费用，共计25.33万元。</w:t>
      </w:r>
    </w:p>
    <w:p w14:paraId="17DD1183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67D442A1">
      <w:pPr>
        <w:spacing w:line="560" w:lineRule="exact"/>
        <w:ind w:firstLine="600" w:firstLineChars="200"/>
        <w:rPr>
          <w:rFonts w:hint="default" w:ascii="Times New Roman" w:hAnsi="Times New Roman" w:eastAsia="黑体" w:cs="Times New Roman"/>
          <w:highlight w:val="yellow"/>
          <w:lang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项目主要内容：项目主要内容</w:t>
      </w:r>
      <w:r>
        <w:rPr>
          <w:rFonts w:hint="eastAsia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离退休干部及离休干部遗孀春节慰问资金，老干部活动中心改造搬迁费，离退休干部报刊费，离退休干部党组织书记工作补贴，老干部半年经济社会发展通报会及观摩会经费，老干部全年通报会等费用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，</w:t>
      </w:r>
      <w:r>
        <w:rPr>
          <w:rFonts w:hint="eastAsia" w:eastAsia="FangSong_GB2312"/>
          <w:sz w:val="32"/>
          <w:szCs w:val="32"/>
          <w:lang w:val="en-US" w:eastAsia="zh-CN"/>
        </w:rPr>
        <w:t>按照新党办发【2017】47号 自治区党委办公厅自治区人民政府办公厅 印发《关于进一步加强和改进离退休干部工作的实施意见》的通知等文件要求，确保全县离退休干部生活及政治待遇。</w:t>
      </w:r>
    </w:p>
    <w:p w14:paraId="2F3EE2CB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按照新党办发【2017】47号 自治区党委办公厅 自治区人民政府办公厅 印发《关于进一步加强和改进离退休干部工作的实施意见》的通知等相关文件要求，我单位要落实好离退休干部及离休干部遗孀春节慰问资金，老干部活动中心改造搬迁费，离退休干部报刊费，离退休干部党组织书记工作补贴，老干部半年经济社会发展通报会及观摩会经费，老干部全年通报会等费工作，全年支出共计25.3206万元。</w:t>
      </w:r>
    </w:p>
    <w:p w14:paraId="4054807E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1B26D58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0ED8BB3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44.2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25.33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当年财政拨款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4F78B0E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616D3B5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44.2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25.33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25.3206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99.96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eastAsia="FangSong_GB2312"/>
          <w:sz w:val="32"/>
          <w:szCs w:val="32"/>
          <w:lang w:val="en-US" w:eastAsia="zh-CN"/>
        </w:rPr>
        <w:t>主要用于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离退休干部及离休干部遗孀春节慰问资金，老干部活动中心改造搬迁费，离退休干部报刊费，离退休干部党组织书记工作补贴，老干部半年经济社会发展通报会及观摩会经费，老干部全年通报会等费用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60F784EA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311FA4D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黑体" w:cs="Times New Roman"/>
          <w:b w:val="0"/>
          <w:bCs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  <w:r>
        <w:rPr>
          <w:rFonts w:hint="eastAsia" w:eastAsia="仿宋_GB2312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FangSong_GB2312" w:cs="Times New Roman"/>
          <w:sz w:val="32"/>
          <w:szCs w:val="32"/>
          <w:lang w:val="en-US" w:eastAsia="zh-CN"/>
        </w:rPr>
        <w:t>1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FangSong_GB2312" w:cs="Times New Roman"/>
          <w:sz w:val="32"/>
          <w:szCs w:val="32"/>
          <w:lang w:val="en-US" w:eastAsia="zh-CN"/>
        </w:rPr>
        <w:t>落实好离退休干部政治生活待遇；2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FangSong_GB2312" w:cs="Times New Roman"/>
          <w:sz w:val="32"/>
          <w:szCs w:val="32"/>
          <w:lang w:val="en-US" w:eastAsia="zh-CN"/>
        </w:rPr>
        <w:t>提高离退休干部生活水平；3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FangSong_GB2312" w:cs="Times New Roman"/>
          <w:sz w:val="32"/>
          <w:szCs w:val="32"/>
          <w:lang w:val="en-US" w:eastAsia="zh-CN"/>
        </w:rPr>
        <w:t>满足离退休干部生活需求。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新党办发</w:t>
      </w:r>
      <w:r>
        <w:rPr>
          <w:rStyle w:val="15"/>
          <w:rFonts w:hint="default" w:ascii="Times New Roman" w:hAnsi="Times New Roman" w:eastAsia="黑体" w:cs="Times New Roman"/>
          <w:b w:val="0"/>
          <w:bCs/>
          <w:spacing w:val="-4"/>
          <w:sz w:val="32"/>
          <w:szCs w:val="32"/>
          <w:highlight w:val="none"/>
        </w:rPr>
        <w:t xml:space="preserve">【2017】47号 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自治区党委办公厅 自治区人民政府办公厅 印发《关于进一步加强和改进离退休干部工作的实施意见》的通知等相关文件要求，离退休干部及离休干部遗孀春节慰问资金，老干部活动中心改造搬迁费，离退休干部报刊费，离退休干部党组织书记工作补贴，老干部半年经济社会发展通报会及观摩会经费，老干部全年通报会等费用，共计25.33万元。</w:t>
      </w:r>
    </w:p>
    <w:p w14:paraId="13449C81">
      <w:pPr>
        <w:spacing w:line="56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  <w:r>
        <w:rPr>
          <w:rFonts w:hint="eastAsia" w:eastAsia="仿宋_GB2312" w:cs="Times New Roman"/>
          <w:sz w:val="32"/>
          <w:szCs w:val="32"/>
          <w:lang w:eastAsia="zh-CN"/>
        </w:rPr>
        <w:t>：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第一季度主要完成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支付离退休干部及离休干部遗孀春节慰问资金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老干部活动中心改造搬迁费；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第二季度完成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离退休干部报刊费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离退休干部党组织书记工作补贴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老干部半年经济社会发展通报会及观摩会；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第三季度完成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老干部宣讲团专题宣讲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；第四季度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计划支付老干部全年通报会</w:t>
      </w:r>
      <w:r>
        <w:rPr>
          <w:rFonts w:hint="eastAsia" w:eastAsia="FangSong_GB2312" w:cs="Times New Roman"/>
          <w:sz w:val="32"/>
          <w:szCs w:val="32"/>
          <w:lang w:val="en-US" w:eastAsia="zh-CN"/>
        </w:rPr>
        <w:t>。</w:t>
      </w:r>
    </w:p>
    <w:p w14:paraId="4956B17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49BE28A5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4405DF8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76907A1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7410EB3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1C82EE1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219E732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19FD2CB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0F40554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16473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33A02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通过对项目预算执行情况及各项绩效目标达成程度的系统性分析，全面、客观地评估项目在预定周期内的实施效果，包括社会效益以及可持续性等多维度指标，为项目后续的改进与优化提供科学依据。</w:t>
      </w:r>
    </w:p>
    <w:p w14:paraId="31F03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39AC7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3F1BE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0510A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798B7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2244E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75984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1F946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53C92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4D03161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46AB1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本项目预算绩效评价报告的评价对象是[老年活动经费（年初本级）]及其预算执行情况。该项目由[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中共特克斯县委老干部局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]负责实施，旨在[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新党办发【2017】47号 自治区党委办公厅 自治区人民政府办公厅 印发《关于进一步加强和改进离退休干部工作的实施意见》的通知等相关文件要求，离退休干部及离休干部遗孀春节慰问资金，老干部活动中心改造搬迁费，离退休干部报刊费，离退休干部党组织书记工作补贴，老干部半年经济社会发展通报会及观摩会经费，老干部全年通报会等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]。项目预算涵盖从[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2024年1月1日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期]至[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2024年12月31日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]的全部资金投入与支出，涉及资金总额为[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25.3206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]万元。</w:t>
      </w:r>
    </w:p>
    <w:p w14:paraId="6E35594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0D41A39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75230DBC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6D472EE3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6CA046A2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6E8570FF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影响：考察项目对社会等方面的综合影响。</w:t>
      </w:r>
    </w:p>
    <w:p w14:paraId="06E66765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7FDE11E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79F10A5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0AE022AA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45FD067A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645D292B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5B3F446F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53D65CC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537BA3BF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5DBDBBA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3587BEA0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A44A982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  <w:r>
        <w:rPr>
          <w:rFonts w:eastAsia="FangSong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</w:t>
      </w:r>
      <w:r>
        <w:rPr>
          <w:rFonts w:hint="eastAsia"/>
          <w:color w:val="000000"/>
          <w:spacing w:val="17"/>
          <w:sz w:val="32"/>
          <w:szCs w:val="32"/>
          <w:lang w:eastAsia="zh-CN"/>
        </w:rPr>
        <w:t>。</w:t>
      </w:r>
    </w:p>
    <w:p w14:paraId="59431CA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26107090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4366430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629C66B8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具体评价指标体系详情见附件1</w:t>
      </w:r>
    </w:p>
    <w:p w14:paraId="08F1741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0FC4E626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2D3EE1AB">
      <w:pPr>
        <w:spacing w:line="560" w:lineRule="exact"/>
        <w:ind w:firstLine="708" w:firstLineChars="200"/>
        <w:rPr>
          <w:rFonts w:eastAsia="FangSong_GB2312"/>
          <w:color w:val="000000"/>
          <w:spacing w:val="17"/>
          <w:sz w:val="32"/>
          <w:szCs w:val="32"/>
        </w:rPr>
      </w:pPr>
      <w:r>
        <w:rPr>
          <w:rFonts w:eastAsia="FangSong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79ACD863">
      <w:pPr>
        <w:spacing w:line="560" w:lineRule="exact"/>
        <w:ind w:firstLine="708" w:firstLineChars="200"/>
        <w:rPr>
          <w:rFonts w:eastAsia="FangSong_GB2312"/>
          <w:color w:val="000000"/>
          <w:spacing w:val="17"/>
          <w:sz w:val="32"/>
          <w:szCs w:val="32"/>
        </w:rPr>
      </w:pPr>
      <w:r>
        <w:rPr>
          <w:rFonts w:eastAsia="FangSong_GB2312"/>
          <w:color w:val="000000"/>
          <w:spacing w:val="17"/>
          <w:sz w:val="32"/>
          <w:szCs w:val="32"/>
        </w:rPr>
        <w:t>（1）比较法</w:t>
      </w:r>
    </w:p>
    <w:p w14:paraId="1AD45B98">
      <w:pPr>
        <w:spacing w:line="560" w:lineRule="exact"/>
        <w:ind w:firstLine="708" w:firstLineChars="200"/>
        <w:rPr>
          <w:rFonts w:eastAsia="FangSong_GB2312"/>
          <w:color w:val="000000"/>
          <w:spacing w:val="17"/>
          <w:sz w:val="32"/>
          <w:szCs w:val="32"/>
        </w:rPr>
      </w:pPr>
      <w:r>
        <w:rPr>
          <w:rFonts w:eastAsia="FangSong_GB2312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eastAsia="FangSong_GB2312"/>
          <w:sz w:val="32"/>
          <w:szCs w:val="32"/>
        </w:rPr>
        <w:t>项目</w:t>
      </w:r>
      <w:r>
        <w:rPr>
          <w:rFonts w:eastAsia="FangSong_GB2312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 w14:paraId="0FAFC544">
      <w:pPr>
        <w:spacing w:line="560" w:lineRule="exact"/>
        <w:ind w:firstLine="708" w:firstLineChars="200"/>
        <w:rPr>
          <w:rFonts w:eastAsia="FangSong_GB2312"/>
          <w:color w:val="000000"/>
          <w:spacing w:val="17"/>
          <w:sz w:val="32"/>
          <w:szCs w:val="32"/>
        </w:rPr>
      </w:pPr>
      <w:r>
        <w:rPr>
          <w:rFonts w:eastAsia="FangSong_GB2312"/>
          <w:color w:val="000000"/>
          <w:spacing w:val="17"/>
          <w:sz w:val="32"/>
          <w:szCs w:val="32"/>
        </w:rPr>
        <w:t>（2）因素分析法</w:t>
      </w:r>
    </w:p>
    <w:p w14:paraId="744DC74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green"/>
        </w:rPr>
      </w:pPr>
      <w:r>
        <w:rPr>
          <w:rFonts w:eastAsia="FangSong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eastAsia="FangSong_GB2312"/>
          <w:sz w:val="32"/>
          <w:szCs w:val="32"/>
        </w:rPr>
        <w:t>项目</w:t>
      </w:r>
      <w:r>
        <w:rPr>
          <w:rFonts w:eastAsia="FangSong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 w14:paraId="5FE9B9C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4284E81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行业</w:t>
      </w:r>
      <w:r>
        <w:rPr>
          <w:rFonts w:hint="default" w:ascii="Times New Roman" w:hAnsi="Times New Roman" w:eastAsia="仿宋_GB2312" w:cs="Times New Roman"/>
          <w:b w:val="0"/>
          <w:bCs w:val="0"/>
        </w:rPr>
        <w:t>标准。</w:t>
      </w:r>
    </w:p>
    <w:p w14:paraId="678EC1F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</w:rPr>
        <w:t>计划标准。指以预先制定的目标、计划、预算、定额等作为评价标准。</w:t>
      </w:r>
    </w:p>
    <w:p w14:paraId="5DD381C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</w:rPr>
        <w:t>行业标准。指参照国家公布的行业指标数据制定的评价标准。</w:t>
      </w:r>
    </w:p>
    <w:p w14:paraId="1968835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</w:rPr>
        <w:t>历史标准。指参照历史数据制定的评价标准，为体现绩效改进的原则，在可实现的条件下应当确定相对较高的评价标准。</w:t>
      </w:r>
    </w:p>
    <w:p w14:paraId="6F26B52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</w:rPr>
        <w:t>财政部门和预算部门确认或认可的其他标准。</w:t>
      </w:r>
    </w:p>
    <w:p w14:paraId="58F8A889">
      <w:pPr>
        <w:pStyle w:val="9"/>
        <w:numPr>
          <w:ilvl w:val="0"/>
          <w:numId w:val="0"/>
        </w:numPr>
        <w:spacing w:before="0" w:after="0" w:line="560" w:lineRule="exact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eastAsia" w:ascii="Times New Roman" w:hAnsi="Times New Roman" w:eastAsia="楷体" w:cs="Times New Roman"/>
          <w:color w:val="000000"/>
          <w:spacing w:val="17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000000"/>
          <w:spacing w:val="17"/>
          <w:lang w:val="en-US" w:eastAsia="zh-CN"/>
        </w:rPr>
        <w:t>三</w:t>
      </w:r>
      <w:r>
        <w:rPr>
          <w:rFonts w:hint="eastAsia" w:ascii="Times New Roman" w:hAnsi="Times New Roman" w:eastAsia="楷体" w:cs="Times New Roman"/>
          <w:color w:val="000000"/>
          <w:spacing w:val="17"/>
          <w:lang w:eastAsia="zh-CN"/>
        </w:rPr>
        <w:t>）</w:t>
      </w: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08216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30899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5C5B6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6DC8A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261CF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245C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4279A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71123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120F9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1E325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5ADDE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6CDC3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6E444FC6"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0C2BECB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6818656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本项目的综合评价基于对项目各方面绩效的深入分析与评估。从项目目标的达成情况来看，[新党办发【2017】47号 自治区党委办公厅 自治区人民政府办公厅 印发《关于进一步加强和改进离退休干部工作的实施意见》的通知等相关文件要求，离退休干部及离休干部遗孀春节慰问资金，老干部活动中心改造搬迁，离退休干部报刊，离退休干部党组织书记工作补贴，老干部半年经济社会发展通报会及观摩会经，老干部全年通报会等]方面表现出色，达到了预期的标准与要求。同时，项目也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[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为提高全县离退休干部生活水平，满足生活需求、确保政治待遇及生活待遇。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]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[我单位要落实好离退休干部及离休干部遗孀春节慰问资金，老干部活动中心改造搬迁，离退休干部报刊费，离退休干部党组织书记工作补贴，老干部半年经济社会发展通报会及观摩会经费，老干部全年通报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]等。</w:t>
      </w:r>
    </w:p>
    <w:p w14:paraId="56ACCFF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2544DC2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FangSong_GB2312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 xml:space="preserve">总得分为 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97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>分，属于“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 xml:space="preserve">优”。其中，项目决策类指标权重为20分，得分为 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37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92.5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宋体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>%。</w:t>
      </w:r>
      <w:r>
        <w:rPr>
          <w:rFonts w:hint="eastAsia" w:ascii="Times New Roman" w:hAnsi="Times New Roman" w:eastAsia="FangSong_GB2312"/>
          <w:b w:val="0"/>
          <w:bCs w:val="0"/>
        </w:rPr>
        <w:t>具体打分情况详见：</w:t>
      </w:r>
      <w:r>
        <w:rPr>
          <w:rFonts w:hint="eastAsia" w:ascii="Times New Roman" w:hAnsi="Times New Roman" w:eastAsia="FangSong_GB2312"/>
          <w:b w:val="0"/>
          <w:bCs w:val="0"/>
          <w:highlight w:val="none"/>
        </w:rPr>
        <w:t>附件1综合评分表。</w:t>
      </w:r>
    </w:p>
    <w:p w14:paraId="48954E4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BB01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0A8D5F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EBC919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F953DF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3AC4C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001C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0C8C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31D0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10013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90DD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D673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3064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225E2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6F8A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BEFC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FD8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37</w:t>
            </w:r>
          </w:p>
        </w:tc>
      </w:tr>
      <w:tr w14:paraId="4992F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68D4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7602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6F21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3AB22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429D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B8C9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457C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97</w:t>
            </w:r>
          </w:p>
        </w:tc>
      </w:tr>
    </w:tbl>
    <w:p w14:paraId="6959CDE2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201C757F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1C70C895">
      <w:pPr>
        <w:spacing w:line="600" w:lineRule="exact"/>
        <w:ind w:firstLine="600" w:firstLineChars="200"/>
        <w:outlineLvl w:val="0"/>
        <w:rPr>
          <w:rFonts w:ascii="FangSong_GB2312" w:hAnsi="FangSong_GB2312" w:eastAsia="FangSong_GB2312" w:cs="FangSong_GB2312"/>
          <w:sz w:val="30"/>
          <w:szCs w:val="30"/>
          <w:highlight w:val="yellow"/>
        </w:rPr>
      </w:pPr>
      <w:r>
        <w:rPr>
          <w:rFonts w:hint="eastAsia" w:ascii="FangSong_GB2312" w:hAnsi="FangSong_GB2312" w:eastAsia="FangSong_GB2312" w:cs="FangSong_GB2312"/>
          <w:sz w:val="30"/>
          <w:szCs w:val="30"/>
        </w:rPr>
        <w:t>项目决策类指标包括项目立项、绩效目标和资金投入三方面的内容</w:t>
      </w:r>
      <w:r>
        <w:rPr>
          <w:rFonts w:hint="eastAsia" w:ascii="FangSong_GB2312" w:hAnsi="FangSong_GB2312" w:eastAsia="FangSong_GB2312" w:cs="FangSong_GB2312"/>
          <w:sz w:val="30"/>
          <w:szCs w:val="30"/>
          <w:highlight w:val="none"/>
        </w:rPr>
        <w:t>，由</w:t>
      </w:r>
      <w:r>
        <w:rPr>
          <w:rFonts w:hint="eastAsia" w:ascii="FangSong_GB2312" w:hAnsi="FangSong_GB2312" w:eastAsia="FangSong_GB2312" w:cs="FangSong_GB2312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FangSong_GB2312" w:hAnsi="FangSong_GB2312" w:eastAsia="FangSong_GB2312" w:cs="FangSong_GB2312"/>
          <w:sz w:val="30"/>
          <w:szCs w:val="30"/>
          <w:highlight w:val="none"/>
        </w:rPr>
        <w:t>个三级指标构成，权重分值为20分，实际得分</w:t>
      </w:r>
      <w:r>
        <w:rPr>
          <w:rFonts w:hint="eastAsia" w:ascii="FangSong_GB2312" w:hAnsi="FangSong_GB2312" w:cs="FangSong_GB2312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FangSong_GB2312" w:hAnsi="FangSong_GB2312" w:eastAsia="FangSong_GB2312" w:cs="FangSong_GB2312"/>
          <w:sz w:val="30"/>
          <w:szCs w:val="30"/>
          <w:highlight w:val="none"/>
        </w:rPr>
        <w:t>分，得分率为</w:t>
      </w:r>
      <w:r>
        <w:rPr>
          <w:rFonts w:hint="eastAsia" w:ascii="FangSong_GB2312" w:hAnsi="FangSong_GB2312" w:cs="FangSong_GB2312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FangSong_GB2312" w:hAnsi="FangSong_GB2312" w:eastAsia="FangSong_GB2312" w:cs="FangSong_GB2312"/>
          <w:sz w:val="30"/>
          <w:szCs w:val="30"/>
          <w:highlight w:val="none"/>
        </w:rPr>
        <w:t>%。</w:t>
      </w:r>
    </w:p>
    <w:p w14:paraId="2C67AD29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27F5A81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29CA029F">
      <w:pPr>
        <w:spacing w:line="600" w:lineRule="exact"/>
        <w:ind w:firstLine="640" w:firstLineChars="200"/>
        <w:outlineLvl w:val="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项目立项依据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为新党办发【2017】47号 自治区党委办公厅，自治区人民政府办公厅印发《关于进一步加强和改进离退休干部工作的意见》的通知。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5456C73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3F0B5B2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决策，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障了程序的规范性。</w:t>
      </w:r>
    </w:p>
    <w:p w14:paraId="7FD1180D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638AD18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5C3FFF6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68D8C5F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7903CE3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72C918D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31EE503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6EAEE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6664BC9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327B1E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41576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15500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2AE9C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3A548060">
      <w:pPr>
        <w:pStyle w:val="9"/>
        <w:numPr>
          <w:ilvl w:val="0"/>
          <w:numId w:val="2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6A2D4C12">
      <w:pPr>
        <w:spacing w:line="600" w:lineRule="exact"/>
        <w:ind w:firstLine="640" w:firstLineChars="200"/>
        <w:outlineLvl w:val="0"/>
        <w:rPr>
          <w:rFonts w:ascii="FangSong_GB2312" w:hAnsi="FangSong_GB2312" w:eastAsia="FangSong_GB2312" w:cs="FangSong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项目过程类指标包括资金管理和组织实施两方面的内容，由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11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个三级指</w:t>
      </w:r>
      <w:r>
        <w:rPr>
          <w:rFonts w:hint="eastAsia" w:ascii="FangSong_GB2312" w:hAnsi="FangSong_GB2312" w:eastAsia="FangSong_GB2312" w:cs="FangSong_GB2312"/>
          <w:sz w:val="32"/>
          <w:szCs w:val="32"/>
          <w:highlight w:val="none"/>
        </w:rPr>
        <w:t>标构成，权重分值为</w:t>
      </w:r>
      <w:r>
        <w:rPr>
          <w:rFonts w:hint="eastAsia" w:ascii="FangSong_GB2312" w:hAnsi="FangSong_GB2312" w:eastAsia="FangSong_GB2312" w:cs="FangSong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FangSong_GB2312" w:hAnsi="FangSong_GB2312" w:eastAsia="FangSong_GB2312" w:cs="FangSong_GB2312"/>
          <w:sz w:val="32"/>
          <w:szCs w:val="32"/>
          <w:highlight w:val="none"/>
        </w:rPr>
        <w:t>分，实际得分</w:t>
      </w:r>
      <w:r>
        <w:rPr>
          <w:rFonts w:hint="eastAsia" w:ascii="FangSong_GB2312" w:hAnsi="FangSong_GB2312" w:cs="FangSong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FangSong_GB2312" w:hAnsi="FangSong_GB2312" w:eastAsia="FangSong_GB2312" w:cs="FangSong_GB2312"/>
          <w:sz w:val="32"/>
          <w:szCs w:val="32"/>
          <w:highlight w:val="none"/>
        </w:rPr>
        <w:t>分，得分率为</w:t>
      </w:r>
      <w:r>
        <w:rPr>
          <w:rFonts w:hint="eastAsia" w:ascii="FangSong_GB2312" w:hAnsi="FangSong_GB2312" w:cs="FangSong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FangSong_GB2312" w:hAnsi="FangSong_GB2312" w:eastAsia="FangSong_GB2312" w:cs="FangSong_GB2312"/>
          <w:sz w:val="32"/>
          <w:szCs w:val="32"/>
          <w:highlight w:val="none"/>
        </w:rPr>
        <w:t>%。</w:t>
      </w:r>
    </w:p>
    <w:p w14:paraId="3E25B02C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06D8A81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5BE561F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本项目总投资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25.33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万元，财政资金及时足额到位，到位率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%，预算资金按计划进度执行。</w:t>
      </w:r>
    </w:p>
    <w:p w14:paraId="46E8EA8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（2）预算执行率</w:t>
      </w:r>
    </w:p>
    <w:p w14:paraId="02DCBE6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预算编制较为详细，项目资金支出总体能够按照预算执行，预算资金支出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25.32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万元，预算执行率为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99.96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%。</w:t>
      </w:r>
    </w:p>
    <w:p w14:paraId="4F6B94F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28D28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64AF2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53824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16A2B860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2.组织实施</w:t>
      </w:r>
    </w:p>
    <w:p w14:paraId="27FAFC9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（1）管理制度健全性</w:t>
      </w:r>
    </w:p>
    <w:p w14:paraId="572B2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70F0D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14DD4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487A838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6A4947B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1D6CA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506C7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28002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488D5581">
      <w:pPr>
        <w:pStyle w:val="10"/>
        <w:numPr>
          <w:ilvl w:val="0"/>
          <w:numId w:val="2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eastAsia" w:eastAsia="楷体_GB2312" w:cs="Times New Roman"/>
          <w:b/>
          <w:bCs/>
          <w:sz w:val="32"/>
          <w:szCs w:val="32"/>
          <w:lang w:val="en-US" w:eastAsia="zh-CN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092F3CF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92.5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产出指标完成情况如下：</w:t>
      </w:r>
    </w:p>
    <w:p w14:paraId="23448A6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56D3A08A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FangSong_GB2312" w:hAnsi="FangSong_GB2312" w:cs="FangSong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慰问次数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≥1次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74BB4BC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慰问人数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≥85人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85人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719C97B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老干部通报会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≥2次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628D1B8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FangSong_GB2312" w:hAnsi="FangSong_GB2312" w:cs="FangSong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发放补贴人数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≥9人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9人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69CC54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2B23120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资金使用和规律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2D1379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1371FA6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资金发放及时性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465325C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7DD416AD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FangSong_GB2312" w:hAnsi="FangSong_GB2312" w:cs="FangSong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发放慰问金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≤500元/人/次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500元/人/次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6718816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发放补贴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300元/人/月，实际完成值：300元/人/月，指标完成率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77982B8C">
      <w:pPr>
        <w:pStyle w:val="10"/>
        <w:numPr>
          <w:ilvl w:val="0"/>
          <w:numId w:val="2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2533F3A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情况如下：</w:t>
      </w:r>
    </w:p>
    <w:p w14:paraId="5A33C89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68A4867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192DF561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FangSong_GB2312" w:hAnsi="FangSong_GB2312" w:cs="FangSong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指标1：提高老干部生活待遇，指标值：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效果显著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080F13A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：提高老干部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思想政治水平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效果显著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6A6342F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733AA78F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FangSong_GB2312" w:hAnsi="FangSong_GB2312" w:cs="FangSong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慰问人员满意度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≥95%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偏差原因：</w:t>
      </w:r>
      <w:r>
        <w:rPr>
          <w:rFonts w:hint="eastAsia" w:ascii="FangSong_GB2312" w:hAnsi="FangSong_GB2312" w:cs="FangSong_GB2312"/>
          <w:sz w:val="32"/>
          <w:szCs w:val="32"/>
          <w:lang w:val="en-US" w:eastAsia="zh-CN"/>
        </w:rPr>
        <w:t>无。</w:t>
      </w:r>
    </w:p>
    <w:p w14:paraId="6379EAD0">
      <w:pPr>
        <w:pStyle w:val="10"/>
        <w:numPr>
          <w:ilvl w:val="0"/>
          <w:numId w:val="2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1EDE0D9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老年活动经费（年初本级）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项目年初预算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44.2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万元，全年预算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25.33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万元，实际支出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25.32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99.96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项目指标总体完成率为99.96%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偏差率为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0.04%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偏差原因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一是预算绩效管理体系需要逐渐健全；二是预算编制的水平有待提高。，改进措施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进一步强化预算管理意识，预算编制前多与各单位做好沟通衔接，提高预算编制的科学性、合理性、准确性和可控性等问题。</w:t>
      </w:r>
    </w:p>
    <w:p w14:paraId="7960037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.主要经验及做法、存在的问题及原因分析</w:t>
      </w:r>
    </w:p>
    <w:p w14:paraId="6B2241C5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6B21977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55D0CE20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62C99C98">
      <w:pPr>
        <w:keepNext/>
        <w:keepLines/>
        <w:numPr>
          <w:ilvl w:val="0"/>
          <w:numId w:val="3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10E4829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3C42356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4B837F0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2C8D47E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769CD5C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3A77A6D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66F51F3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4B131EF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799BEA8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5AC4774C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sectPr>
      <w:footerReference r:id="rId3" w:type="default"/>
      <w:pgSz w:w="11906" w:h="16838"/>
      <w:pgMar w:top="1531" w:right="1984" w:bottom="1531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A87F19-15FE-4E45-827A-DD68C27B5D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39B5F96-716F-4C50-8D68-C7D926296A18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3" w:fontKey="{F26F7D26-DB4C-4160-BA17-53DF72BAC219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527021B-51A7-44E8-99DD-654D9F7D789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72D31FF2-A560-4423-AA8F-4366503E900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3B17D391-3EC9-4E28-844E-07E430296D1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5A6E1DA0-2B84-4781-B873-4BD72984614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8" w:fontKey="{99431955-8038-4F58-8AF5-7B34AF5E943A}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9" w:fontKey="{014C9005-7BDF-440F-AC20-E17EB4652C13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0" w:fontKey="{99E99F91-B424-46B3-BE60-5A32C79511B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1" w:fontKey="{CDF475E4-E688-485A-8562-1E7FE452FF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40A96D39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DA3664A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singleLevel"/>
    <w:tmpl w:val="CF092B8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ADCABA"/>
    <w:multiLevelType w:val="singleLevel"/>
    <w:tmpl w:val="59ADCAB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321E232D"/>
    <w:rsid w:val="6E523F28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Props1.xml><?xml version="1.0" encoding="utf-8"?>
<ds:datastoreItem xmlns:ds="http://schemas.openxmlformats.org/officeDocument/2006/customXml" ds:itemID="{8c176528-a64f-4a2b-acff-7319f55efc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4246</Words>
  <Characters>4360</Characters>
  <Lines>58</Lines>
  <Paragraphs>16</Paragraphs>
  <TotalTime>34</TotalTime>
  <ScaleCrop>false</ScaleCrop>
  <LinksUpToDate>false</LinksUpToDate>
  <CharactersWithSpaces>4376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2025-11-13T07:56:17Z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eyJoZGlkIjoiMzEwNjkzMWMxZWMzNzU0NmUyNzQ2NGY3YzlmZjBhZDUiLCJ1c2VySWQiOiI0OTMxMTE3MjUifQ==</vt:lpwstr>
  </property>
</Properties>
</file>