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D2302C9">
      <w:r>
        <w:br w:type="page"/>
      </w:r>
    </w:p>
    <w:p w14:paraId="1C0D0C7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1793369">
      <w:pPr>
        <w:spacing w:line="640" w:lineRule="exact"/>
        <w:ind w:firstLine="640"/>
        <w:jc w:val="both"/>
        <w:outlineLvl w:val="2"/>
      </w:pPr>
      <w:r>
        <w:rPr>
          <w:rFonts w:ascii="黑体" w:hAnsi="黑体" w:eastAsia="黑体"/>
          <w:sz w:val="32"/>
        </w:rPr>
        <w:t>一、主要职能</w:t>
      </w:r>
    </w:p>
    <w:p w14:paraId="6E8DE4BD">
      <w:pPr>
        <w:spacing w:line="580" w:lineRule="exact"/>
        <w:ind w:firstLine="640"/>
        <w:jc w:val="both"/>
      </w:pPr>
      <w:r>
        <w:rPr>
          <w:rFonts w:ascii="仿宋_GB2312" w:hAnsi="仿宋_GB2312" w:eastAsia="仿宋_GB2312"/>
          <w:sz w:val="32"/>
        </w:rPr>
        <w:t>（一）贯彻执行国家、自治区财政、税收、</w:t>
      </w:r>
      <w:r>
        <w:rPr>
          <w:rFonts w:hint="eastAsia" w:ascii="仿宋_GB2312" w:hAnsi="仿宋_GB2312" w:eastAsia="仿宋_GB2312"/>
          <w:sz w:val="32"/>
          <w:lang w:eastAsia="zh-CN"/>
        </w:rPr>
        <w:t>国有资产</w:t>
      </w:r>
      <w:r>
        <w:rPr>
          <w:rFonts w:ascii="仿宋_GB2312" w:hAnsi="仿宋_GB2312" w:eastAsia="仿宋_GB2312"/>
          <w:sz w:val="32"/>
        </w:rPr>
        <w:t>管理法规、制度和方针政策，结合本县实际，制定具体实施办法,指导全县财政工作</w:t>
      </w:r>
      <w:r>
        <w:rPr>
          <w:rFonts w:hint="eastAsia" w:ascii="仿宋_GB2312" w:hAnsi="仿宋_GB2312" w:eastAsia="仿宋_GB2312"/>
          <w:sz w:val="32"/>
          <w:lang w:eastAsia="zh-CN"/>
        </w:rPr>
        <w:t>；</w:t>
      </w:r>
      <w:r>
        <w:rPr>
          <w:rFonts w:ascii="仿宋_GB2312" w:hAnsi="仿宋_GB2312" w:eastAsia="仿宋_GB2312"/>
          <w:sz w:val="32"/>
        </w:rPr>
        <w:t>根据国家、自治区财政、预算、税收、财务、会计等方面的法规，制定具体实施办法并监督实施。</w:t>
      </w:r>
    </w:p>
    <w:p w14:paraId="7AE764CE">
      <w:pPr>
        <w:spacing w:line="580" w:lineRule="exact"/>
        <w:ind w:firstLine="640"/>
        <w:jc w:val="both"/>
      </w:pPr>
      <w:r>
        <w:rPr>
          <w:rFonts w:ascii="仿宋_GB2312" w:hAnsi="仿宋_GB2312" w:eastAsia="仿宋_GB2312"/>
          <w:sz w:val="32"/>
        </w:rPr>
        <w:t>（二）根据县国民经济和社会发展计划，制定中长期财政收支计划，负责财政收支综合平衡工作。</w:t>
      </w:r>
    </w:p>
    <w:p w14:paraId="00E1AC64">
      <w:pPr>
        <w:spacing w:line="580" w:lineRule="exact"/>
        <w:ind w:firstLine="640"/>
        <w:jc w:val="both"/>
      </w:pPr>
      <w:r>
        <w:rPr>
          <w:rFonts w:ascii="仿宋_GB2312" w:hAnsi="仿宋_GB2312" w:eastAsia="仿宋_GB2312"/>
          <w:sz w:val="32"/>
        </w:rPr>
        <w:t>（三）编制县本级预决算，代编全县预决算草案并组织执行，审查、编制、批复部门预算，受县人民政府委托向县人民代表大会报告预算及执行情况，向县人大常委会报告预算和</w:t>
      </w:r>
      <w:r>
        <w:rPr>
          <w:rFonts w:hint="eastAsia" w:ascii="仿宋_GB2312" w:hAnsi="仿宋_GB2312" w:eastAsia="仿宋_GB2312"/>
          <w:sz w:val="32"/>
          <w:lang w:eastAsia="zh-CN"/>
        </w:rPr>
        <w:t>决算</w:t>
      </w:r>
      <w:r>
        <w:rPr>
          <w:rFonts w:ascii="仿宋_GB2312" w:hAnsi="仿宋_GB2312" w:eastAsia="仿宋_GB2312"/>
          <w:sz w:val="32"/>
        </w:rPr>
        <w:t>事项。</w:t>
      </w:r>
    </w:p>
    <w:p w14:paraId="36846B06">
      <w:pPr>
        <w:spacing w:line="580" w:lineRule="exact"/>
        <w:ind w:firstLine="640"/>
        <w:jc w:val="both"/>
      </w:pPr>
      <w:r>
        <w:rPr>
          <w:rFonts w:ascii="仿宋_GB2312" w:hAnsi="仿宋_GB2312" w:eastAsia="仿宋_GB2312"/>
          <w:sz w:val="32"/>
        </w:rPr>
        <w:t>（四）参与全县宏观经济决策和管理，参与基本建设投资、劳动工资、物价、经济贸易、外汇、科技、教育、住房和社会保障制度改革；会同有关部门完善本县社会保障资金财务制度的管理办法</w:t>
      </w:r>
      <w:r>
        <w:rPr>
          <w:rFonts w:hint="eastAsia" w:ascii="仿宋_GB2312" w:hAnsi="仿宋_GB2312" w:eastAsia="仿宋_GB2312"/>
          <w:sz w:val="32"/>
          <w:lang w:eastAsia="zh-CN"/>
        </w:rPr>
        <w:t>；</w:t>
      </w:r>
      <w:r>
        <w:rPr>
          <w:rFonts w:ascii="仿宋_GB2312" w:hAnsi="仿宋_GB2312" w:eastAsia="仿宋_GB2312"/>
          <w:sz w:val="32"/>
        </w:rPr>
        <w:t>执行社会保障资金财务制度、基本建设财务制度；</w:t>
      </w:r>
      <w:r>
        <w:rPr>
          <w:rFonts w:hint="eastAsia" w:ascii="仿宋_GB2312" w:hAnsi="仿宋_GB2312" w:eastAsia="仿宋_GB2312"/>
          <w:sz w:val="32"/>
          <w:lang w:eastAsia="zh-CN"/>
        </w:rPr>
        <w:t>制定</w:t>
      </w:r>
      <w:r>
        <w:rPr>
          <w:rFonts w:ascii="仿宋_GB2312" w:hAnsi="仿宋_GB2312" w:eastAsia="仿宋_GB2312"/>
          <w:sz w:val="32"/>
        </w:rPr>
        <w:t>政府采购办法，负责组织实施并指导、监督、检查全县政府采购工作。</w:t>
      </w:r>
    </w:p>
    <w:p w14:paraId="7C8C5941">
      <w:pPr>
        <w:spacing w:line="580" w:lineRule="exact"/>
        <w:ind w:firstLine="640"/>
        <w:jc w:val="both"/>
      </w:pPr>
      <w:r>
        <w:rPr>
          <w:rFonts w:ascii="仿宋_GB2312" w:hAnsi="仿宋_GB2312" w:eastAsia="仿宋_GB2312"/>
          <w:sz w:val="32"/>
        </w:rPr>
        <w:t>（五）构建农村公共财政体系，提升乡镇财政对基层政权的保障能力，管理和监督全县各乡镇财政收入和支出，组织和监督乡镇财政预算执行，代表政府管理、监督资金拨付使用工作。</w:t>
      </w:r>
    </w:p>
    <w:p w14:paraId="51597A84">
      <w:pPr>
        <w:spacing w:line="580" w:lineRule="exact"/>
        <w:ind w:firstLine="640"/>
        <w:jc w:val="both"/>
      </w:pPr>
      <w:r>
        <w:rPr>
          <w:rFonts w:ascii="仿宋_GB2312" w:hAnsi="仿宋_GB2312" w:eastAsia="仿宋_GB2312"/>
          <w:sz w:val="32"/>
        </w:rPr>
        <w:t>（六）管理和监督全县各项财政收入和支出，组织和监督财政预算执行；代表政府管理、监督地方国库资金的缴拨使用工作</w:t>
      </w:r>
      <w:r>
        <w:rPr>
          <w:rFonts w:hint="eastAsia" w:ascii="仿宋_GB2312" w:hAnsi="仿宋_GB2312" w:eastAsia="仿宋_GB2312"/>
          <w:sz w:val="32"/>
          <w:lang w:eastAsia="zh-CN"/>
        </w:rPr>
        <w:t>；</w:t>
      </w:r>
      <w:r>
        <w:rPr>
          <w:rFonts w:ascii="仿宋_GB2312" w:hAnsi="仿宋_GB2312" w:eastAsia="仿宋_GB2312"/>
          <w:sz w:val="32"/>
        </w:rPr>
        <w:t>负责预算外资金收支计划的核定及预算外资金财政专户管理工作；会同物价部门审查批准行政事业性收费项目并参与标准的制定。</w:t>
      </w:r>
    </w:p>
    <w:p w14:paraId="49EAECD1">
      <w:pPr>
        <w:spacing w:line="580" w:lineRule="exact"/>
        <w:ind w:firstLine="640"/>
        <w:jc w:val="both"/>
      </w:pPr>
      <w:r>
        <w:rPr>
          <w:rFonts w:ascii="仿宋_GB2312" w:hAnsi="仿宋_GB2312" w:eastAsia="仿宋_GB2312"/>
          <w:sz w:val="32"/>
        </w:rPr>
        <w:t>（七）管理县农业、行政、社会保障、文化教育等部门事业性收费项目并参与标准的制定。</w:t>
      </w:r>
    </w:p>
    <w:p w14:paraId="1E9F89FA">
      <w:pPr>
        <w:spacing w:line="580" w:lineRule="exact"/>
        <w:ind w:firstLine="640"/>
        <w:jc w:val="both"/>
      </w:pPr>
      <w:r>
        <w:rPr>
          <w:rFonts w:ascii="仿宋_GB2312" w:hAnsi="仿宋_GB2312" w:eastAsia="仿宋_GB2312"/>
          <w:sz w:val="32"/>
        </w:rPr>
        <w:t>（八）参与研究经济体制改革和企业改革，提出</w:t>
      </w:r>
      <w:r>
        <w:rPr>
          <w:rFonts w:hint="eastAsia" w:ascii="仿宋_GB2312" w:hAnsi="仿宋_GB2312" w:eastAsia="仿宋_GB2312"/>
          <w:sz w:val="32"/>
          <w:lang w:eastAsia="zh-CN"/>
        </w:rPr>
        <w:t>经济</w:t>
      </w:r>
      <w:r>
        <w:rPr>
          <w:rFonts w:ascii="仿宋_GB2312" w:hAnsi="仿宋_GB2312" w:eastAsia="仿宋_GB2312"/>
          <w:sz w:val="32"/>
        </w:rPr>
        <w:t>社会发展意见和建议，配合实施经济体制改革和企业改革的各项措施。</w:t>
      </w:r>
    </w:p>
    <w:p w14:paraId="70FA6BC1">
      <w:pPr>
        <w:spacing w:line="580" w:lineRule="exact"/>
        <w:ind w:firstLine="640"/>
        <w:jc w:val="both"/>
      </w:pPr>
      <w:r>
        <w:rPr>
          <w:rFonts w:ascii="仿宋_GB2312" w:hAnsi="仿宋_GB2312" w:eastAsia="仿宋_GB2312"/>
          <w:sz w:val="32"/>
        </w:rPr>
        <w:t>（九）管理和指导全县会计工作、加强会计监督，规范会计行为，保障会计资料完整，组织执行《企业会计准则》《事业</w:t>
      </w:r>
      <w:r>
        <w:rPr>
          <w:rFonts w:hint="eastAsia" w:ascii="仿宋_GB2312" w:hAnsi="仿宋_GB2312" w:eastAsia="仿宋_GB2312"/>
          <w:sz w:val="32"/>
          <w:lang w:eastAsia="zh-CN"/>
        </w:rPr>
        <w:t>单位</w:t>
      </w:r>
      <w:r>
        <w:rPr>
          <w:rFonts w:ascii="仿宋_GB2312" w:hAnsi="仿宋_GB2312" w:eastAsia="仿宋_GB2312"/>
          <w:sz w:val="32"/>
        </w:rPr>
        <w:t>会计准则》和分行业会计制度；组织和管理会计人员的业务培训、考试、考核工作。</w:t>
      </w:r>
    </w:p>
    <w:p w14:paraId="67ECD8BD">
      <w:pPr>
        <w:spacing w:line="580" w:lineRule="exact"/>
        <w:ind w:firstLine="640"/>
        <w:jc w:val="both"/>
      </w:pPr>
      <w:r>
        <w:rPr>
          <w:rFonts w:ascii="仿宋_GB2312" w:hAnsi="仿宋_GB2312" w:eastAsia="仿宋_GB2312"/>
          <w:sz w:val="32"/>
        </w:rPr>
        <w:t>（十）承办县人民政府交办的其他工作。</w:t>
      </w:r>
    </w:p>
    <w:p w14:paraId="2980B0E8">
      <w:pPr>
        <w:spacing w:line="640" w:lineRule="exact"/>
        <w:ind w:firstLine="640"/>
        <w:jc w:val="both"/>
        <w:outlineLvl w:val="2"/>
      </w:pPr>
      <w:r>
        <w:rPr>
          <w:rFonts w:ascii="黑体" w:hAnsi="黑体" w:eastAsia="黑体"/>
          <w:sz w:val="32"/>
        </w:rPr>
        <w:t>二、机构设置及人员情况</w:t>
      </w:r>
    </w:p>
    <w:p w14:paraId="1D3B855C">
      <w:pPr>
        <w:spacing w:line="580" w:lineRule="exact"/>
        <w:ind w:firstLine="640"/>
        <w:jc w:val="both"/>
      </w:pPr>
      <w:r>
        <w:rPr>
          <w:rFonts w:ascii="仿宋_GB2312" w:hAnsi="仿宋_GB2312" w:eastAsia="仿宋_GB2312"/>
          <w:sz w:val="32"/>
        </w:rPr>
        <w:t>特克斯县财政局2024年度，实有人数86人，其中：在职人员56人，增加2人；离休人员0人，增加0人；退休人员30人,增加2人。</w:t>
      </w:r>
    </w:p>
    <w:p w14:paraId="6939F60C">
      <w:pPr>
        <w:spacing w:line="580" w:lineRule="exact"/>
        <w:ind w:firstLine="640"/>
        <w:jc w:val="both"/>
      </w:pPr>
      <w:r>
        <w:rPr>
          <w:rFonts w:ascii="仿宋_GB2312" w:hAnsi="仿宋_GB2312" w:eastAsia="仿宋_GB2312"/>
          <w:sz w:val="32"/>
        </w:rPr>
        <w:t>特克斯县财政局无下属预算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，下设10个科室，分别是：办公室、预算科、国库科、综合科、文行科、经建科、社保科、农业农村科、债务科、国有资产监督管理办公室。</w:t>
      </w:r>
    </w:p>
    <w:p w14:paraId="304E9AB6">
      <w:r>
        <w:br w:type="page"/>
      </w:r>
    </w:p>
    <w:p w14:paraId="65704896">
      <w:pPr>
        <w:spacing w:line="240" w:lineRule="auto"/>
        <w:jc w:val="center"/>
        <w:outlineLvl w:val="1"/>
      </w:pPr>
      <w:r>
        <w:rPr>
          <w:rFonts w:ascii="黑体" w:hAnsi="黑体" w:eastAsia="黑体"/>
          <w:sz w:val="32"/>
        </w:rPr>
        <w:t>第二部分 部门决算情况说明</w:t>
      </w:r>
    </w:p>
    <w:p w14:paraId="55C415E9">
      <w:pPr>
        <w:spacing w:line="640" w:lineRule="exact"/>
        <w:ind w:firstLine="640"/>
        <w:jc w:val="both"/>
        <w:outlineLvl w:val="2"/>
      </w:pPr>
      <w:r>
        <w:rPr>
          <w:rFonts w:ascii="黑体" w:hAnsi="黑体" w:eastAsia="黑体"/>
          <w:sz w:val="32"/>
        </w:rPr>
        <w:t>一、收入支出决算总体情况说明</w:t>
      </w:r>
    </w:p>
    <w:p w14:paraId="0748BE7D">
      <w:pPr>
        <w:spacing w:line="580" w:lineRule="exact"/>
        <w:ind w:firstLine="640"/>
        <w:jc w:val="both"/>
      </w:pPr>
      <w:r>
        <w:rPr>
          <w:rFonts w:ascii="仿宋_GB2312" w:hAnsi="仿宋_GB2312" w:eastAsia="仿宋_GB2312"/>
          <w:b/>
          <w:sz w:val="32"/>
        </w:rPr>
        <w:t>2024年度收入总计5,439.10万元，</w:t>
      </w:r>
      <w:r>
        <w:rPr>
          <w:rFonts w:ascii="仿宋_GB2312" w:hAnsi="仿宋_GB2312" w:eastAsia="仿宋_GB2312"/>
          <w:b w:val="0"/>
          <w:sz w:val="32"/>
        </w:rPr>
        <w:t>其中：本年收入合计5,439.10万元，使用非财政拨款结余（含专用结余）0.00万元，年初结转和结余0.00万元。</w:t>
      </w:r>
    </w:p>
    <w:p w14:paraId="71ABA79E">
      <w:pPr>
        <w:spacing w:line="580" w:lineRule="exact"/>
        <w:ind w:firstLine="640"/>
        <w:jc w:val="both"/>
      </w:pPr>
      <w:r>
        <w:rPr>
          <w:rFonts w:ascii="仿宋_GB2312" w:hAnsi="仿宋_GB2312" w:eastAsia="仿宋_GB2312"/>
          <w:b/>
          <w:sz w:val="32"/>
        </w:rPr>
        <w:t>2024年度支出总计5,439.10万元，</w:t>
      </w:r>
      <w:r>
        <w:rPr>
          <w:rFonts w:ascii="仿宋_GB2312" w:hAnsi="仿宋_GB2312" w:eastAsia="仿宋_GB2312"/>
          <w:b w:val="0"/>
          <w:sz w:val="32"/>
        </w:rPr>
        <w:t>其中：本年支出合计5,439.10万元，结余分配0.00万元，年末结转和结余0.00万元。</w:t>
      </w:r>
    </w:p>
    <w:p w14:paraId="012AE381">
      <w:pPr>
        <w:spacing w:line="580" w:lineRule="exact"/>
        <w:ind w:firstLine="640"/>
        <w:jc w:val="both"/>
      </w:pPr>
      <w:r>
        <w:rPr>
          <w:rFonts w:ascii="仿宋_GB2312" w:hAnsi="仿宋_GB2312" w:eastAsia="仿宋_GB2312"/>
          <w:b w:val="0"/>
          <w:sz w:val="32"/>
        </w:rPr>
        <w:t>收入支出总体与上年相比，增加4,506.01万元，增长482.91%，主要原因是：本年在职人员增加，相关人员经费增加，增加2024年为提高人民生活品质对国有资产进行盘活发生的相关费用、国有粮食购销企业改变土地性质确权工作经费补助、2024年度行政事业</w:t>
      </w:r>
      <w:r>
        <w:rPr>
          <w:rFonts w:hint="eastAsia" w:ascii="仿宋_GB2312" w:hAnsi="仿宋_GB2312" w:eastAsia="仿宋_GB2312"/>
          <w:b w:val="0"/>
          <w:sz w:val="32"/>
          <w:lang w:eastAsia="zh-CN"/>
        </w:rPr>
        <w:t>单位</w:t>
      </w:r>
      <w:r>
        <w:rPr>
          <w:rFonts w:ascii="仿宋_GB2312" w:hAnsi="仿宋_GB2312" w:eastAsia="仿宋_GB2312"/>
          <w:b w:val="0"/>
          <w:sz w:val="32"/>
        </w:rPr>
        <w:t>财政网络信息化运行费用及专项经费等，资金较上年增加。</w:t>
      </w:r>
    </w:p>
    <w:p w14:paraId="244B7410">
      <w:pPr>
        <w:spacing w:line="640" w:lineRule="exact"/>
        <w:ind w:firstLine="640"/>
        <w:jc w:val="both"/>
        <w:outlineLvl w:val="2"/>
      </w:pPr>
      <w:r>
        <w:rPr>
          <w:rFonts w:ascii="黑体" w:hAnsi="黑体" w:eastAsia="黑体"/>
          <w:sz w:val="32"/>
        </w:rPr>
        <w:t>二、收入决算情况说明</w:t>
      </w:r>
    </w:p>
    <w:p w14:paraId="6369C898">
      <w:pPr>
        <w:spacing w:line="580" w:lineRule="exact"/>
        <w:ind w:firstLine="640"/>
        <w:jc w:val="both"/>
      </w:pPr>
      <w:r>
        <w:rPr>
          <w:rFonts w:ascii="仿宋_GB2312" w:hAnsi="仿宋_GB2312" w:eastAsia="仿宋_GB2312"/>
          <w:b/>
          <w:sz w:val="32"/>
        </w:rPr>
        <w:t>本年收入5,439.10万元，</w:t>
      </w:r>
      <w:r>
        <w:rPr>
          <w:rFonts w:ascii="仿宋_GB2312" w:hAnsi="仿宋_GB2312" w:eastAsia="仿宋_GB2312"/>
          <w:b w:val="0"/>
          <w:sz w:val="32"/>
        </w:rPr>
        <w:t>其中：财政拨款收入5,427.41万元，占99.79%；上级补助收入0.00万元，占0.00%；事业收入0.00万元，占0.00%；经营收入0.00万元，占0.00%；附属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上缴收入0.00万元，占0.00%；其他收入11.69万元，占0.21%。</w:t>
      </w:r>
    </w:p>
    <w:p w14:paraId="333A8ECA">
      <w:pPr>
        <w:spacing w:line="640" w:lineRule="exact"/>
        <w:ind w:firstLine="640"/>
        <w:jc w:val="both"/>
        <w:outlineLvl w:val="2"/>
      </w:pPr>
      <w:r>
        <w:rPr>
          <w:rFonts w:ascii="黑体" w:hAnsi="黑体" w:eastAsia="黑体"/>
          <w:sz w:val="32"/>
        </w:rPr>
        <w:t>三、支出决算情况说明</w:t>
      </w:r>
    </w:p>
    <w:p w14:paraId="221DC108">
      <w:pPr>
        <w:spacing w:line="580" w:lineRule="exact"/>
        <w:ind w:firstLine="640"/>
        <w:jc w:val="both"/>
      </w:pPr>
      <w:r>
        <w:rPr>
          <w:rFonts w:ascii="仿宋_GB2312" w:hAnsi="仿宋_GB2312" w:eastAsia="仿宋_GB2312"/>
          <w:b/>
          <w:sz w:val="32"/>
        </w:rPr>
        <w:t>本年支出5,439.10万元，</w:t>
      </w:r>
      <w:r>
        <w:rPr>
          <w:rFonts w:ascii="仿宋_GB2312" w:hAnsi="仿宋_GB2312" w:eastAsia="仿宋_GB2312"/>
          <w:b w:val="0"/>
          <w:sz w:val="32"/>
        </w:rPr>
        <w:t>其中：基本支出878.21万元，占16.15%；项目支出4,560.90万元，占83.85%；上缴上级支出0.00万元，占0.00%；经营支出0.00万元，占0.00%；对附属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FC1717D">
      <w:pPr>
        <w:spacing w:line="640" w:lineRule="exact"/>
        <w:ind w:firstLine="640"/>
        <w:jc w:val="both"/>
        <w:outlineLvl w:val="2"/>
      </w:pPr>
      <w:r>
        <w:rPr>
          <w:rFonts w:ascii="黑体" w:hAnsi="黑体" w:eastAsia="黑体"/>
          <w:sz w:val="32"/>
        </w:rPr>
        <w:t>四、财政拨款收入支出决算总体情况说明</w:t>
      </w:r>
    </w:p>
    <w:p w14:paraId="00740A98">
      <w:pPr>
        <w:spacing w:line="580" w:lineRule="exact"/>
        <w:ind w:firstLine="640"/>
        <w:jc w:val="both"/>
      </w:pPr>
      <w:r>
        <w:rPr>
          <w:rFonts w:ascii="仿宋_GB2312" w:hAnsi="仿宋_GB2312" w:eastAsia="仿宋_GB2312"/>
          <w:b/>
          <w:sz w:val="32"/>
        </w:rPr>
        <w:t>2024年度财政拨款收入总计5,427.41万元，</w:t>
      </w:r>
      <w:r>
        <w:rPr>
          <w:rFonts w:ascii="仿宋_GB2312" w:hAnsi="仿宋_GB2312" w:eastAsia="仿宋_GB2312"/>
          <w:b w:val="0"/>
          <w:sz w:val="32"/>
        </w:rPr>
        <w:t>其中：年初财政拨款结转和结余0.00万元，本年财政拨款收入5,427.41万元。</w:t>
      </w:r>
      <w:r>
        <w:rPr>
          <w:rFonts w:ascii="仿宋_GB2312" w:hAnsi="仿宋_GB2312" w:eastAsia="仿宋_GB2312"/>
          <w:b/>
          <w:sz w:val="32"/>
        </w:rPr>
        <w:t>财政拨款支出总计5,427.41万元，</w:t>
      </w:r>
      <w:r>
        <w:rPr>
          <w:rFonts w:ascii="仿宋_GB2312" w:hAnsi="仿宋_GB2312" w:eastAsia="仿宋_GB2312"/>
          <w:b w:val="0"/>
          <w:sz w:val="32"/>
        </w:rPr>
        <w:t>其中：年末财政拨款结转和结余0.00万元，本年财政拨款支出5,427.41万元。</w:t>
      </w:r>
    </w:p>
    <w:p w14:paraId="56A70E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4,509.32万元，增长491.16%，主要原因是：本年在职人员增加，相关人员经费增加，增加2024年为提高人民生活品质对国有资产进行盘活发生的相关费用、国有粮食购销企业改变土地性质确权工作经费补助、2024年度行政事业</w:t>
      </w:r>
      <w:r>
        <w:rPr>
          <w:rFonts w:hint="eastAsia" w:ascii="仿宋_GB2312" w:hAnsi="仿宋_GB2312" w:eastAsia="仿宋_GB2312"/>
          <w:b w:val="0"/>
          <w:sz w:val="32"/>
          <w:lang w:eastAsia="zh-CN"/>
        </w:rPr>
        <w:t>单位</w:t>
      </w:r>
      <w:r>
        <w:rPr>
          <w:rFonts w:ascii="仿宋_GB2312" w:hAnsi="仿宋_GB2312" w:eastAsia="仿宋_GB2312"/>
          <w:b w:val="0"/>
          <w:sz w:val="32"/>
        </w:rPr>
        <w:t>财政网络信息化运行费用及专项经费等，资金较上年增加。</w:t>
      </w:r>
      <w:r>
        <w:rPr>
          <w:rFonts w:ascii="仿宋_GB2312" w:hAnsi="仿宋_GB2312" w:eastAsia="仿宋_GB2312"/>
          <w:b/>
          <w:sz w:val="32"/>
        </w:rPr>
        <w:t>与年初预算相比，</w:t>
      </w:r>
      <w:r>
        <w:rPr>
          <w:rFonts w:ascii="仿宋_GB2312" w:hAnsi="仿宋_GB2312" w:eastAsia="仿宋_GB2312"/>
          <w:b w:val="0"/>
          <w:sz w:val="32"/>
        </w:rPr>
        <w:t>年初预算数1,555.83万元，决算数5,427.41万元，预决算差异率248.84%，主要原因是：年中追加2024年为提高人民生活品质对国有资产进行盘活发生的相关费用、国有粮食购销企业改变土地性质确权工作经费补助、2024年度行政事业</w:t>
      </w:r>
      <w:r>
        <w:rPr>
          <w:rFonts w:hint="eastAsia" w:ascii="仿宋_GB2312" w:hAnsi="仿宋_GB2312" w:eastAsia="仿宋_GB2312"/>
          <w:b w:val="0"/>
          <w:sz w:val="32"/>
          <w:lang w:eastAsia="zh-CN"/>
        </w:rPr>
        <w:t>单位</w:t>
      </w:r>
      <w:r>
        <w:rPr>
          <w:rFonts w:ascii="仿宋_GB2312" w:hAnsi="仿宋_GB2312" w:eastAsia="仿宋_GB2312"/>
          <w:b w:val="0"/>
          <w:sz w:val="32"/>
        </w:rPr>
        <w:t>财政网络信息化运行费用及专项经费等，导致预决算存在差异。</w:t>
      </w:r>
    </w:p>
    <w:p w14:paraId="51F0D501">
      <w:pPr>
        <w:spacing w:line="640" w:lineRule="exact"/>
        <w:ind w:firstLine="640"/>
        <w:jc w:val="both"/>
        <w:outlineLvl w:val="2"/>
      </w:pPr>
      <w:r>
        <w:rPr>
          <w:rFonts w:ascii="黑体" w:hAnsi="黑体" w:eastAsia="黑体"/>
          <w:sz w:val="32"/>
        </w:rPr>
        <w:t>五、一般公共预算财政拨款支出决算情况说明</w:t>
      </w:r>
    </w:p>
    <w:p w14:paraId="251D51DF">
      <w:pPr>
        <w:spacing w:line="640" w:lineRule="exact"/>
        <w:ind w:firstLine="640"/>
        <w:jc w:val="both"/>
        <w:outlineLvl w:val="3"/>
      </w:pPr>
      <w:r>
        <w:rPr>
          <w:rFonts w:ascii="楷体_GB2312" w:hAnsi="楷体_GB2312" w:eastAsia="楷体_GB2312"/>
          <w:b/>
          <w:sz w:val="32"/>
        </w:rPr>
        <w:t>（一）一般公共预算财政拨款支出决算总体情况</w:t>
      </w:r>
    </w:p>
    <w:p w14:paraId="153C80BA">
      <w:pPr>
        <w:spacing w:line="580" w:lineRule="exact"/>
        <w:ind w:firstLine="640"/>
        <w:jc w:val="both"/>
      </w:pPr>
      <w:r>
        <w:rPr>
          <w:rFonts w:ascii="仿宋_GB2312" w:hAnsi="仿宋_GB2312" w:eastAsia="仿宋_GB2312"/>
          <w:b/>
          <w:sz w:val="32"/>
        </w:rPr>
        <w:t>2024年度一般公共预算财政拨款支出5,427.41万元，</w:t>
      </w:r>
      <w:r>
        <w:rPr>
          <w:rFonts w:ascii="仿宋_GB2312" w:hAnsi="仿宋_GB2312" w:eastAsia="仿宋_GB2312"/>
          <w:b w:val="0"/>
          <w:sz w:val="32"/>
        </w:rPr>
        <w:t>占本年支出合计的99.79%。</w:t>
      </w:r>
      <w:r>
        <w:rPr>
          <w:rFonts w:ascii="仿宋_GB2312" w:hAnsi="仿宋_GB2312" w:eastAsia="仿宋_GB2312"/>
          <w:b/>
          <w:sz w:val="32"/>
        </w:rPr>
        <w:t>与上年相比，</w:t>
      </w:r>
      <w:r>
        <w:rPr>
          <w:rFonts w:ascii="仿宋_GB2312" w:hAnsi="仿宋_GB2312" w:eastAsia="仿宋_GB2312"/>
          <w:b w:val="0"/>
          <w:sz w:val="32"/>
        </w:rPr>
        <w:t>增加4,509.32万元，增长491.16%，主要原因是：本年在职人员增加，相关人员经费增加，增加2024年为提高人民生活品质对国有资产进行盘活发生的相关费用、国有粮食购销企业改变土地性质确权工作经费补助、2024年度行政事业</w:t>
      </w:r>
      <w:r>
        <w:rPr>
          <w:rFonts w:hint="eastAsia" w:ascii="仿宋_GB2312" w:hAnsi="仿宋_GB2312" w:eastAsia="仿宋_GB2312"/>
          <w:b w:val="0"/>
          <w:sz w:val="32"/>
          <w:lang w:eastAsia="zh-CN"/>
        </w:rPr>
        <w:t>单位</w:t>
      </w:r>
      <w:r>
        <w:rPr>
          <w:rFonts w:ascii="仿宋_GB2312" w:hAnsi="仿宋_GB2312" w:eastAsia="仿宋_GB2312"/>
          <w:b w:val="0"/>
          <w:sz w:val="32"/>
        </w:rPr>
        <w:t>财政网络信息化运行费用及专项经费等，资金较上年增加。</w:t>
      </w:r>
      <w:r>
        <w:rPr>
          <w:rFonts w:ascii="仿宋_GB2312" w:hAnsi="仿宋_GB2312" w:eastAsia="仿宋_GB2312"/>
          <w:b/>
          <w:sz w:val="32"/>
        </w:rPr>
        <w:t>与年初预算相比,</w:t>
      </w:r>
      <w:r>
        <w:rPr>
          <w:rFonts w:ascii="仿宋_GB2312" w:hAnsi="仿宋_GB2312" w:eastAsia="仿宋_GB2312"/>
          <w:b w:val="0"/>
          <w:sz w:val="32"/>
        </w:rPr>
        <w:t>年初预算数1,555.83万元，决算数5,427.41万元，预决算差异率248.84%，主要原因是：年中追加2024年为提高人民生活品质对国有资产进行盘活发生的相关费用、国有粮食购销企业改变土地性质确权工作经费补助、2024年度行政事业</w:t>
      </w:r>
      <w:r>
        <w:rPr>
          <w:rFonts w:hint="eastAsia" w:ascii="仿宋_GB2312" w:hAnsi="仿宋_GB2312" w:eastAsia="仿宋_GB2312"/>
          <w:b w:val="0"/>
          <w:sz w:val="32"/>
          <w:lang w:eastAsia="zh-CN"/>
        </w:rPr>
        <w:t>单位</w:t>
      </w:r>
      <w:r>
        <w:rPr>
          <w:rFonts w:ascii="仿宋_GB2312" w:hAnsi="仿宋_GB2312" w:eastAsia="仿宋_GB2312"/>
          <w:b w:val="0"/>
          <w:sz w:val="32"/>
        </w:rPr>
        <w:t>财政网络信息化运行费用及专项经费等，导致预决算存在差异。</w:t>
      </w:r>
    </w:p>
    <w:p w14:paraId="53A75208">
      <w:pPr>
        <w:spacing w:line="640" w:lineRule="exact"/>
        <w:ind w:firstLine="640"/>
        <w:jc w:val="both"/>
        <w:outlineLvl w:val="3"/>
      </w:pPr>
      <w:r>
        <w:rPr>
          <w:rFonts w:ascii="楷体_GB2312" w:hAnsi="楷体_GB2312" w:eastAsia="楷体_GB2312"/>
          <w:b/>
          <w:sz w:val="32"/>
        </w:rPr>
        <w:t>（二）一般公共预算财政拨款支出决算结构情况</w:t>
      </w:r>
    </w:p>
    <w:p w14:paraId="15692DB0">
      <w:pPr>
        <w:spacing w:line="580" w:lineRule="exact"/>
        <w:ind w:firstLine="640"/>
        <w:jc w:val="both"/>
      </w:pPr>
      <w:r>
        <w:rPr>
          <w:rFonts w:ascii="仿宋_GB2312" w:hAnsi="仿宋_GB2312" w:eastAsia="仿宋_GB2312"/>
          <w:b w:val="0"/>
          <w:sz w:val="32"/>
        </w:rPr>
        <w:t>1.一般公共服务支出(类)739.42万元,占13.62%。</w:t>
      </w:r>
    </w:p>
    <w:p w14:paraId="3893DD5E">
      <w:pPr>
        <w:spacing w:line="580" w:lineRule="exact"/>
        <w:ind w:firstLine="640"/>
        <w:jc w:val="both"/>
      </w:pPr>
      <w:r>
        <w:rPr>
          <w:rFonts w:ascii="仿宋_GB2312" w:hAnsi="仿宋_GB2312" w:eastAsia="仿宋_GB2312"/>
          <w:b w:val="0"/>
          <w:sz w:val="32"/>
        </w:rPr>
        <w:t>2.文化旅游体育与传媒支出(类)2,905.91万元,占53.54%。</w:t>
      </w:r>
    </w:p>
    <w:p w14:paraId="68AE2DD3">
      <w:pPr>
        <w:spacing w:line="580" w:lineRule="exact"/>
        <w:ind w:firstLine="640"/>
        <w:jc w:val="both"/>
      </w:pPr>
      <w:r>
        <w:rPr>
          <w:rFonts w:ascii="仿宋_GB2312" w:hAnsi="仿宋_GB2312" w:eastAsia="仿宋_GB2312"/>
          <w:b w:val="0"/>
          <w:sz w:val="32"/>
        </w:rPr>
        <w:t>3.社会保障和就业支出(类)103.29万元,占1.90%。</w:t>
      </w:r>
    </w:p>
    <w:p w14:paraId="677F4BE0">
      <w:pPr>
        <w:spacing w:line="580" w:lineRule="exact"/>
        <w:ind w:firstLine="640"/>
        <w:jc w:val="both"/>
      </w:pPr>
      <w:r>
        <w:rPr>
          <w:rFonts w:ascii="仿宋_GB2312" w:hAnsi="仿宋_GB2312" w:eastAsia="仿宋_GB2312"/>
          <w:b w:val="0"/>
          <w:sz w:val="32"/>
        </w:rPr>
        <w:t>4.卫生健康支出(类)36.34万元,占0.67%。</w:t>
      </w:r>
    </w:p>
    <w:p w14:paraId="1D09D202">
      <w:pPr>
        <w:spacing w:line="580" w:lineRule="exact"/>
        <w:ind w:firstLine="640"/>
        <w:jc w:val="both"/>
      </w:pPr>
      <w:r>
        <w:rPr>
          <w:rFonts w:ascii="仿宋_GB2312" w:hAnsi="仿宋_GB2312" w:eastAsia="仿宋_GB2312"/>
          <w:b w:val="0"/>
          <w:sz w:val="32"/>
        </w:rPr>
        <w:t>5.节能环保支出(类)1,563.00万元,占28.80%。</w:t>
      </w:r>
    </w:p>
    <w:p w14:paraId="7DCAAB65">
      <w:pPr>
        <w:spacing w:line="580" w:lineRule="exact"/>
        <w:ind w:firstLine="640"/>
        <w:jc w:val="both"/>
      </w:pPr>
      <w:r>
        <w:rPr>
          <w:rFonts w:ascii="仿宋_GB2312" w:hAnsi="仿宋_GB2312" w:eastAsia="仿宋_GB2312"/>
          <w:b w:val="0"/>
          <w:sz w:val="32"/>
        </w:rPr>
        <w:t>6.金融支出(类)13.17万元,占0.24%。</w:t>
      </w:r>
    </w:p>
    <w:p w14:paraId="28D13CAE">
      <w:pPr>
        <w:spacing w:line="580" w:lineRule="exact"/>
        <w:ind w:firstLine="640"/>
        <w:jc w:val="both"/>
      </w:pPr>
      <w:r>
        <w:rPr>
          <w:rFonts w:ascii="仿宋_GB2312" w:hAnsi="仿宋_GB2312" w:eastAsia="仿宋_GB2312"/>
          <w:b w:val="0"/>
          <w:sz w:val="32"/>
        </w:rPr>
        <w:t>7.住房保障支出(类)66.29万元,占1.22%。</w:t>
      </w:r>
    </w:p>
    <w:p w14:paraId="05AE1ACC">
      <w:pPr>
        <w:spacing w:line="640" w:lineRule="exact"/>
        <w:ind w:firstLine="640"/>
        <w:jc w:val="both"/>
        <w:outlineLvl w:val="3"/>
      </w:pPr>
      <w:r>
        <w:rPr>
          <w:rFonts w:ascii="楷体_GB2312" w:hAnsi="楷体_GB2312" w:eastAsia="楷体_GB2312"/>
          <w:b/>
          <w:sz w:val="32"/>
        </w:rPr>
        <w:t>（三）一般公共预算财政拨款支出决算具体情况</w:t>
      </w:r>
    </w:p>
    <w:p w14:paraId="406188EC">
      <w:pPr>
        <w:spacing w:line="580" w:lineRule="exact"/>
        <w:ind w:firstLine="640"/>
        <w:jc w:val="both"/>
      </w:pPr>
      <w:r>
        <w:rPr>
          <w:rFonts w:ascii="仿宋_GB2312" w:hAnsi="仿宋_GB2312" w:eastAsia="仿宋_GB2312"/>
          <w:b w:val="0"/>
          <w:sz w:val="32"/>
        </w:rPr>
        <w:t>1.一般公共服务支出(类)财政事务(款)行政运行(项):支出决算数为660.59万元，比上年决算增加34.82万元，增长5.56%,主要原因是：本年新增在职人员，在职人员工资调增，人员经费增加；本年补发人员基础绩效。</w:t>
      </w:r>
    </w:p>
    <w:p w14:paraId="2F16249E">
      <w:pPr>
        <w:spacing w:line="580" w:lineRule="exact"/>
        <w:ind w:firstLine="640"/>
        <w:jc w:val="both"/>
      </w:pPr>
      <w:r>
        <w:rPr>
          <w:rFonts w:ascii="仿宋_GB2312" w:hAnsi="仿宋_GB2312" w:eastAsia="仿宋_GB2312"/>
          <w:b w:val="0"/>
          <w:sz w:val="32"/>
        </w:rPr>
        <w:t>2.一般公共服务支出(类)财政事务(款)信息化建设(项):支出决算数为77.23万元，比上年决算增加40.69万元，增长111.36%,主要原因是：本年度增加财政财税库银税收收入电子缴库横向联网及收入分析系统运维服务费用、预算管理一体化系统代码级运维技术支持服务费用、财政综合办公平台软件服务费用及政府采购信息化服务平台运行服务费用，导致经费增加。</w:t>
      </w:r>
    </w:p>
    <w:p w14:paraId="6455702E">
      <w:pPr>
        <w:spacing w:line="580" w:lineRule="exact"/>
        <w:ind w:firstLine="640"/>
        <w:jc w:val="both"/>
      </w:pPr>
      <w:r>
        <w:rPr>
          <w:rFonts w:ascii="仿宋_GB2312" w:hAnsi="仿宋_GB2312" w:eastAsia="仿宋_GB2312"/>
          <w:b w:val="0"/>
          <w:sz w:val="32"/>
        </w:rPr>
        <w:t>3.一般公共服务支出(类)财政事务(款)财政委托业务支出(项):支出决算数为1.60万元，比上年决算减少67.76万元，下降97.69%,主要原因是：本年度财政项目投资评审费用未拨付，相应的财政委托业务支出减少。</w:t>
      </w:r>
    </w:p>
    <w:p w14:paraId="5B613448">
      <w:pPr>
        <w:spacing w:line="580" w:lineRule="exact"/>
        <w:ind w:firstLine="640"/>
        <w:jc w:val="both"/>
      </w:pPr>
      <w:r>
        <w:rPr>
          <w:rFonts w:ascii="仿宋_GB2312" w:hAnsi="仿宋_GB2312" w:eastAsia="仿宋_GB2312"/>
          <w:b w:val="0"/>
          <w:sz w:val="32"/>
        </w:rPr>
        <w:t>4.文化旅游体育与传媒支出(类)文物(款)历史名城与古迹(项):支出决算数为2,905.91万元，比上年决算增加2,905.91万元，增长100.00%,主要原因是：本年度增加2024年为提高人民生活品质对国有资产进行盘活发生的相关费用。</w:t>
      </w:r>
    </w:p>
    <w:p w14:paraId="284ED62D">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基本养老保险缴费支出(项):支出决算数为87.40万元，比上年决算增加21.37万元，增长32.36%,主要原因是：本年在职人员、聘用人员增加，在职人员工资基数调增，养老缴费基数上涨，相应支出增加。</w:t>
      </w:r>
    </w:p>
    <w:p w14:paraId="72126CAA">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职业年金缴费支出(项):支出决算数为15.03万元，比上年决算减少10.30万元，下降40.66%,主要原因是：本年新增退休人员较上年减少，相应职业年金缴费较上年减少。</w:t>
      </w:r>
    </w:p>
    <w:p w14:paraId="7D45E646">
      <w:pPr>
        <w:spacing w:line="580" w:lineRule="exact"/>
        <w:ind w:firstLine="640"/>
        <w:jc w:val="both"/>
      </w:pPr>
      <w:r>
        <w:rPr>
          <w:rFonts w:ascii="仿宋_GB2312" w:hAnsi="仿宋_GB2312" w:eastAsia="仿宋_GB2312"/>
          <w:b w:val="0"/>
          <w:sz w:val="32"/>
        </w:rPr>
        <w:t>7.社会保障和就业支出(类)抚恤(款)死亡抚恤(项):支出决算数为0.86万元，比上年决算减少0.29万元，下降25.22%,主要原因是：本年度遗属人员1人按政策要求下半年不再享受遗属生活补助，相应死亡抚恤支出较上年减少。</w:t>
      </w:r>
    </w:p>
    <w:p w14:paraId="4F7140DE">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医疗(项):支出决算数为35.02万元，比上年决算增加0.37万元，增长1.07%,主要原因是：本年在职人员工资基数调增，医疗缴费基数上涨，相应支出增加。</w:t>
      </w:r>
    </w:p>
    <w:p w14:paraId="1A4707E1">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医疗(款)公务员医疗补助(项):支出决算数为0.66万元，比上年决算减少0.03万元，下降4.35%,主要原因是：本年在职人员调入、退休，人员职级不同，缴费基数不同，导致公务员医疗补助较上年减少。</w:t>
      </w:r>
    </w:p>
    <w:p w14:paraId="4C7A7FFB">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医疗支出(项):支出决算数为0.66万元，比上年决算减少0.27万元，下降29.03%,主要原因是：本年在职人员调入、退休，人员职级不同，缴费基数不同，导致</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医疗支出较上年减少。</w:t>
      </w:r>
    </w:p>
    <w:p w14:paraId="3EADE5FC">
      <w:pPr>
        <w:spacing w:line="580" w:lineRule="exact"/>
        <w:ind w:firstLine="640"/>
        <w:jc w:val="both"/>
      </w:pPr>
      <w:r>
        <w:rPr>
          <w:rFonts w:ascii="仿宋_GB2312" w:hAnsi="仿宋_GB2312" w:eastAsia="仿宋_GB2312"/>
          <w:b w:val="0"/>
          <w:sz w:val="32"/>
        </w:rPr>
        <w:t>11.节能环保支出(类)自然生态保护(款)其他自然生态保护支出(项):支出决算数为1,563.00万元，比上年决算增加1,563.00万元，增长100.00%,主要原因是：本年度增加国有粮食购销企业改变土地性质确权工作经费补助。</w:t>
      </w:r>
    </w:p>
    <w:p w14:paraId="08A96A7A">
      <w:pPr>
        <w:spacing w:line="580" w:lineRule="exact"/>
        <w:ind w:firstLine="640"/>
        <w:jc w:val="both"/>
      </w:pPr>
      <w:r>
        <w:rPr>
          <w:rFonts w:ascii="仿宋_GB2312" w:hAnsi="仿宋_GB2312" w:eastAsia="仿宋_GB2312"/>
          <w:b w:val="0"/>
          <w:sz w:val="32"/>
        </w:rPr>
        <w:t>12.金融支出(类)金融发展支出(款)利息费用补贴支出(项):支出决算数为13.17万元，比上年决算增加13.17万元，增长100.00%,主要原因是：本年度增加2023年第三季度个体工商户小额信贷贴息资金、2023年第4季度个体工商户小额信贷贴息资金。</w:t>
      </w:r>
    </w:p>
    <w:p w14:paraId="5F4F4B8E">
      <w:pPr>
        <w:spacing w:line="580" w:lineRule="exact"/>
        <w:ind w:firstLine="640"/>
        <w:jc w:val="both"/>
      </w:pPr>
      <w:r>
        <w:rPr>
          <w:rFonts w:ascii="仿宋_GB2312" w:hAnsi="仿宋_GB2312" w:eastAsia="仿宋_GB2312"/>
          <w:b w:val="0"/>
          <w:sz w:val="32"/>
        </w:rPr>
        <w:t>13.住房保障支出(类)住房改革支出(款)住房公积金(项):支出决算数为66.29万元，比上年决算增加8.66万元，增长15.03%,主要原因是：本年人员增加，在职人员工资基数调增，公积金缴费基数上涨，相应支出增加。</w:t>
      </w:r>
    </w:p>
    <w:p w14:paraId="72E7C2D5">
      <w:pPr>
        <w:spacing w:line="640" w:lineRule="exact"/>
        <w:ind w:firstLine="640"/>
        <w:jc w:val="both"/>
        <w:outlineLvl w:val="2"/>
      </w:pPr>
      <w:r>
        <w:rPr>
          <w:rFonts w:ascii="黑体" w:hAnsi="黑体" w:eastAsia="黑体"/>
          <w:sz w:val="32"/>
        </w:rPr>
        <w:t>六、一般公共预算财政拨款基本支出决算情况说明</w:t>
      </w:r>
    </w:p>
    <w:p w14:paraId="7A4D3605">
      <w:pPr>
        <w:spacing w:line="580" w:lineRule="exact"/>
        <w:ind w:firstLine="640"/>
        <w:jc w:val="both"/>
      </w:pPr>
      <w:r>
        <w:rPr>
          <w:rFonts w:ascii="仿宋_GB2312" w:hAnsi="仿宋_GB2312" w:eastAsia="仿宋_GB2312"/>
          <w:b w:val="0"/>
          <w:sz w:val="32"/>
        </w:rPr>
        <w:t>2024年度一般公共预算财政拨款基本支出866.51万元，其中：</w:t>
      </w:r>
      <w:r>
        <w:rPr>
          <w:rFonts w:ascii="仿宋_GB2312" w:hAnsi="仿宋_GB2312" w:eastAsia="仿宋_GB2312"/>
          <w:b/>
          <w:sz w:val="32"/>
        </w:rPr>
        <w:t>人员经费852.08万元，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w:t>
      </w:r>
    </w:p>
    <w:p w14:paraId="2506AB33">
      <w:pPr>
        <w:spacing w:line="580" w:lineRule="exact"/>
        <w:ind w:firstLine="640"/>
        <w:jc w:val="both"/>
      </w:pPr>
      <w:r>
        <w:rPr>
          <w:rFonts w:ascii="仿宋_GB2312" w:hAnsi="仿宋_GB2312" w:eastAsia="仿宋_GB2312"/>
          <w:b/>
          <w:sz w:val="32"/>
        </w:rPr>
        <w:t>公用经费14.43万元，</w:t>
      </w:r>
      <w:r>
        <w:rPr>
          <w:rFonts w:ascii="仿宋_GB2312" w:hAnsi="仿宋_GB2312" w:eastAsia="仿宋_GB2312"/>
          <w:b w:val="0"/>
          <w:sz w:val="32"/>
        </w:rPr>
        <w:t>包括：办公费、邮电费、差旅费、工会经费、公务用车运行维护费。</w:t>
      </w:r>
    </w:p>
    <w:p w14:paraId="1C9EFB56">
      <w:pPr>
        <w:spacing w:line="640" w:lineRule="exact"/>
        <w:ind w:firstLine="640"/>
        <w:jc w:val="both"/>
        <w:outlineLvl w:val="2"/>
      </w:pPr>
      <w:r>
        <w:rPr>
          <w:rFonts w:ascii="黑体" w:hAnsi="黑体" w:eastAsia="黑体"/>
          <w:sz w:val="32"/>
        </w:rPr>
        <w:t>七、政府性基金预算财政拨款收入支出决算情况说明</w:t>
      </w:r>
    </w:p>
    <w:p w14:paraId="576BC0C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DA9FF6D">
      <w:pPr>
        <w:spacing w:line="640" w:lineRule="exact"/>
        <w:ind w:firstLine="640"/>
        <w:jc w:val="both"/>
        <w:outlineLvl w:val="2"/>
      </w:pPr>
      <w:r>
        <w:rPr>
          <w:rFonts w:ascii="黑体" w:hAnsi="黑体" w:eastAsia="黑体"/>
          <w:sz w:val="32"/>
        </w:rPr>
        <w:t>八、国有资本经营预算财政拨款收入支出决算情况说明</w:t>
      </w:r>
    </w:p>
    <w:p w14:paraId="0AD7B16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F9F90BA">
      <w:pPr>
        <w:spacing w:line="640" w:lineRule="exact"/>
        <w:ind w:firstLine="640"/>
        <w:jc w:val="both"/>
        <w:outlineLvl w:val="2"/>
      </w:pPr>
      <w:r>
        <w:rPr>
          <w:rFonts w:ascii="黑体" w:hAnsi="黑体" w:eastAsia="黑体"/>
          <w:sz w:val="32"/>
        </w:rPr>
        <w:t>九、财政拨款“三公”经费支出决算情况说明</w:t>
      </w:r>
    </w:p>
    <w:p w14:paraId="1E949914">
      <w:pPr>
        <w:spacing w:line="580" w:lineRule="exact"/>
        <w:ind w:firstLine="640"/>
        <w:jc w:val="both"/>
      </w:pPr>
      <w:r>
        <w:rPr>
          <w:rFonts w:ascii="仿宋_GB2312" w:hAnsi="仿宋_GB2312" w:eastAsia="仿宋_GB2312"/>
          <w:b/>
          <w:sz w:val="32"/>
        </w:rPr>
        <w:t>2024年度财政拨款“三公”经费支出1.73万元，</w:t>
      </w:r>
      <w:r>
        <w:rPr>
          <w:rFonts w:ascii="仿宋_GB2312" w:hAnsi="仿宋_GB2312" w:eastAsia="仿宋_GB2312"/>
          <w:b w:val="0"/>
          <w:sz w:val="32"/>
        </w:rPr>
        <w:t>比上年减少0.12万元，下降6.49%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1.73万元，占100.00%，比上年减少0.12万元，下降6.49%，主要原因是：严格落实中央八项规定精神，厉行节约，减少公务用车运行维护费。公务接待费支出0.00万元，占0.00%，比上年增加0.00万元，增长0.00%，主要原因是：2023年与2024年均未安排公务接待费支出。</w:t>
      </w:r>
    </w:p>
    <w:p w14:paraId="4D077766">
      <w:pPr>
        <w:spacing w:line="580" w:lineRule="exact"/>
        <w:ind w:firstLine="640"/>
        <w:jc w:val="both"/>
      </w:pPr>
      <w:r>
        <w:rPr>
          <w:rFonts w:ascii="仿宋_GB2312" w:hAnsi="仿宋_GB2312" w:eastAsia="仿宋_GB2312"/>
          <w:b/>
          <w:sz w:val="32"/>
        </w:rPr>
        <w:t>具体情况如下：</w:t>
      </w:r>
    </w:p>
    <w:p w14:paraId="1ACA30A4">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AF24702">
      <w:pPr>
        <w:spacing w:line="580" w:lineRule="exact"/>
        <w:ind w:firstLine="640"/>
        <w:jc w:val="both"/>
      </w:pPr>
      <w:r>
        <w:rPr>
          <w:rFonts w:ascii="仿宋_GB2312" w:hAnsi="仿宋_GB2312" w:eastAsia="仿宋_GB2312"/>
          <w:b w:val="0"/>
          <w:sz w:val="32"/>
        </w:rPr>
        <w:t>公务用车购置及运行维护费1.73万元，其中：公务用车购置费0.00万元，公务用车运行维护费1.73万元。公务用车运行维护费开支内容包括车辆加油费、维修费、保险费、过路费等。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79672A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6DFE71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1.73万元，决算数1.73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1.73万元，决算数1.73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CDC9D77">
      <w:pPr>
        <w:spacing w:line="640" w:lineRule="exact"/>
        <w:ind w:firstLine="640"/>
        <w:jc w:val="both"/>
        <w:outlineLvl w:val="2"/>
      </w:pPr>
      <w:r>
        <w:rPr>
          <w:rFonts w:ascii="黑体" w:hAnsi="黑体" w:eastAsia="黑体"/>
          <w:sz w:val="32"/>
        </w:rPr>
        <w:t>十、其他重要事项的情况说明</w:t>
      </w:r>
    </w:p>
    <w:p w14:paraId="2B431E44">
      <w:pPr>
        <w:spacing w:line="640" w:lineRule="exact"/>
        <w:ind w:firstLine="640"/>
        <w:jc w:val="both"/>
        <w:outlineLvl w:val="3"/>
      </w:pPr>
      <w:r>
        <w:rPr>
          <w:rFonts w:ascii="楷体_GB2312" w:hAnsi="楷体_GB2312" w:eastAsia="楷体_GB2312"/>
          <w:b/>
          <w:sz w:val="32"/>
        </w:rPr>
        <w:t>（一）机关运行经费及公用经费支出情况</w:t>
      </w:r>
    </w:p>
    <w:p w14:paraId="36BEAC3E">
      <w:pPr>
        <w:spacing w:line="580" w:lineRule="exact"/>
        <w:ind w:firstLine="640"/>
        <w:jc w:val="both"/>
      </w:pPr>
      <w:r>
        <w:rPr>
          <w:rFonts w:ascii="仿宋_GB2312" w:hAnsi="仿宋_GB2312" w:eastAsia="仿宋_GB2312"/>
          <w:b w:val="0"/>
          <w:sz w:val="32"/>
        </w:rPr>
        <w:t>2024年度特克斯县财政局（行政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）机关运行经费支出14.43万元，比上年减少79.40万元，下降84.62%，主要原因是：严格控制公用经费，合理节约办公用品，减少不必要开支。本年减少委托业务费。</w:t>
      </w:r>
    </w:p>
    <w:p w14:paraId="08048BEA">
      <w:pPr>
        <w:spacing w:line="640" w:lineRule="exact"/>
        <w:ind w:firstLine="640"/>
        <w:jc w:val="both"/>
        <w:outlineLvl w:val="3"/>
      </w:pPr>
      <w:r>
        <w:rPr>
          <w:rFonts w:ascii="楷体_GB2312" w:hAnsi="楷体_GB2312" w:eastAsia="楷体_GB2312"/>
          <w:b/>
          <w:sz w:val="32"/>
        </w:rPr>
        <w:t>（二）政府采购情况</w:t>
      </w:r>
    </w:p>
    <w:p w14:paraId="56013485">
      <w:pPr>
        <w:spacing w:line="580" w:lineRule="exact"/>
        <w:ind w:firstLine="640"/>
        <w:jc w:val="both"/>
      </w:pPr>
      <w:r>
        <w:rPr>
          <w:rFonts w:ascii="仿宋_GB2312" w:hAnsi="仿宋_GB2312" w:eastAsia="仿宋_GB2312"/>
          <w:b w:val="0"/>
          <w:sz w:val="32"/>
        </w:rPr>
        <w:t>2024年度政府采购支出总额3.68万元，其中：政府采购货物支出1.20万元、政府采购工程支出0.00万元、政府采购服务支出2.48万元。</w:t>
      </w:r>
    </w:p>
    <w:p w14:paraId="138A8A6E">
      <w:pPr>
        <w:spacing w:line="580" w:lineRule="exact"/>
        <w:ind w:firstLine="640"/>
        <w:jc w:val="both"/>
      </w:pPr>
      <w:r>
        <w:rPr>
          <w:rFonts w:ascii="仿宋_GB2312" w:hAnsi="仿宋_GB2312" w:eastAsia="仿宋_GB2312"/>
          <w:b w:val="0"/>
          <w:sz w:val="32"/>
        </w:rPr>
        <w:t>授予中小企业合同金额2.48万元，占政府采购支出总额的67.39%，其中：授予小微企业合同金额1.26万元，占政府采购支出总额的34.24%。</w:t>
      </w:r>
    </w:p>
    <w:p w14:paraId="561B2E80">
      <w:pPr>
        <w:spacing w:line="640" w:lineRule="exact"/>
        <w:ind w:firstLine="640"/>
        <w:jc w:val="both"/>
        <w:outlineLvl w:val="3"/>
      </w:pPr>
      <w:r>
        <w:rPr>
          <w:rFonts w:ascii="楷体_GB2312" w:hAnsi="楷体_GB2312" w:eastAsia="楷体_GB2312"/>
          <w:b/>
          <w:sz w:val="32"/>
        </w:rPr>
        <w:t>（三）国有资产占用情况说明</w:t>
      </w:r>
    </w:p>
    <w:p w14:paraId="183852BD">
      <w:pPr>
        <w:spacing w:line="580" w:lineRule="exact"/>
        <w:ind w:firstLine="640"/>
        <w:jc w:val="both"/>
      </w:pPr>
      <w:r>
        <w:rPr>
          <w:rFonts w:ascii="仿宋_GB2312" w:hAnsi="仿宋_GB2312" w:eastAsia="仿宋_GB2312"/>
          <w:b w:val="0"/>
          <w:sz w:val="32"/>
        </w:rPr>
        <w:t>截至2024年12月31日，房屋0.00平方米，价值0.00万元。车辆1辆，价值17.68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7CE6862">
      <w:pPr>
        <w:spacing w:line="640" w:lineRule="exact"/>
        <w:ind w:firstLine="640"/>
        <w:jc w:val="both"/>
        <w:outlineLvl w:val="2"/>
      </w:pPr>
      <w:r>
        <w:rPr>
          <w:rFonts w:ascii="黑体" w:hAnsi="黑体" w:eastAsia="黑体"/>
          <w:sz w:val="32"/>
        </w:rPr>
        <w:t>十一、预算绩效的情况说明</w:t>
      </w:r>
    </w:p>
    <w:p w14:paraId="0C035F9C">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5,439.10万元，实际执行总额5,439.10万元；预算绩效评价项目6个，全年预算数4,576.91万元，全年执行数4,576.91万元。预算绩效管理取得的成效：2024年度特克斯县财政局严格推进“预算编制有目标、预算执行有监控、预算完成有评价、评价结果有应用”的全过程预算绩效管理新机制，不断将</w:t>
      </w:r>
      <w:r>
        <w:rPr>
          <w:rFonts w:hint="eastAsia" w:ascii="仿宋_GB2312" w:hAnsi="仿宋_GB2312" w:eastAsia="仿宋_GB2312"/>
          <w:b w:val="0"/>
          <w:sz w:val="32"/>
          <w:lang w:eastAsia="zh-CN"/>
        </w:rPr>
        <w:t>单位</w:t>
      </w:r>
      <w:r>
        <w:rPr>
          <w:rFonts w:ascii="仿宋_GB2312" w:hAnsi="仿宋_GB2312" w:eastAsia="仿宋_GB2312"/>
          <w:b w:val="0"/>
          <w:sz w:val="32"/>
        </w:rPr>
        <w:t>预算绩效管理工作向前推进，进一步强化预算支出的责任和效率，促进本</w:t>
      </w:r>
      <w:r>
        <w:rPr>
          <w:rFonts w:hint="eastAsia" w:ascii="仿宋_GB2312" w:hAnsi="仿宋_GB2312" w:eastAsia="仿宋_GB2312"/>
          <w:b w:val="0"/>
          <w:sz w:val="32"/>
          <w:lang w:eastAsia="zh-CN"/>
        </w:rPr>
        <w:t>单位</w:t>
      </w:r>
      <w:r>
        <w:rPr>
          <w:rFonts w:ascii="仿宋_GB2312" w:hAnsi="仿宋_GB2312" w:eastAsia="仿宋_GB2312"/>
          <w:b w:val="0"/>
          <w:sz w:val="32"/>
        </w:rPr>
        <w:t>重视预算支出绩效，提高财政资金使用效益。发现的问题及原因：预算执行存在偏差。对个别项目资金使用方面预算不够细致，出现实际支出数超出了预算申报数或出现项目资金结余数额多的情况，缺乏预算编制的科学性。预算管理在编制和实施中还存在编制不细、预算调整较多、追加预算比重较大等现象。下一步改进措施：一是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二是制定和完善基本支出、项目支出等各项支出标准,严格按项目进度执行预算,增强预算的约束力和严肃性。三是落实预算执行分析,及时了解预算执行差异,合理调整、纠正预算执行偏差，切实提高部门预算收支管理水平。尽可能地做到决算与预算相衔接。具体附整体支出绩效自评表，项目支出绩效自评表和评价报告。</w:t>
      </w:r>
    </w:p>
    <w:p w14:paraId="46C7F62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913550B">
        <w:tblPrEx>
          <w:tblCellMar>
            <w:top w:w="0" w:type="dxa"/>
            <w:left w:w="108" w:type="dxa"/>
            <w:bottom w:w="0" w:type="dxa"/>
            <w:right w:w="108" w:type="dxa"/>
          </w:tblCellMar>
        </w:tblPrEx>
        <w:tc>
          <w:tcPr>
            <w:tcW w:w="8840" w:type="dxa"/>
            <w:gridSpan w:val="8"/>
            <w:vAlign w:val="center"/>
          </w:tcPr>
          <w:p w14:paraId="1E0161B8">
            <w:pPr>
              <w:jc w:val="center"/>
            </w:pPr>
            <w:r>
              <w:rPr>
                <w:rFonts w:hint="eastAsia" w:ascii="宋体" w:hAnsi="宋体"/>
                <w:sz w:val="24"/>
                <w:lang w:eastAsia="zh-CN"/>
              </w:rPr>
              <w:t>单位</w:t>
            </w:r>
            <w:r>
              <w:rPr>
                <w:rFonts w:ascii="宋体" w:hAnsi="宋体" w:eastAsia="宋体"/>
                <w:sz w:val="24"/>
              </w:rPr>
              <w:t>整体支出绩效自评表</w:t>
            </w:r>
          </w:p>
        </w:tc>
      </w:tr>
      <w:tr w14:paraId="2ACAD4F5">
        <w:tblPrEx>
          <w:tblCellMar>
            <w:top w:w="0" w:type="dxa"/>
            <w:left w:w="108" w:type="dxa"/>
            <w:bottom w:w="0" w:type="dxa"/>
            <w:right w:w="108" w:type="dxa"/>
          </w:tblCellMar>
        </w:tblPrEx>
        <w:tc>
          <w:tcPr>
            <w:tcW w:w="8840" w:type="dxa"/>
            <w:gridSpan w:val="8"/>
            <w:vAlign w:val="center"/>
          </w:tcPr>
          <w:p w14:paraId="63909A03">
            <w:pPr>
              <w:jc w:val="center"/>
            </w:pPr>
            <w:r>
              <w:rPr>
                <w:rFonts w:ascii="宋体" w:hAnsi="宋体" w:eastAsia="宋体"/>
                <w:sz w:val="24"/>
              </w:rPr>
              <w:t>（2024年度）</w:t>
            </w:r>
          </w:p>
        </w:tc>
      </w:tr>
      <w:tr w14:paraId="06A1CB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52558">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47478">
            <w:pPr>
              <w:jc w:val="center"/>
            </w:pPr>
            <w:r>
              <w:rPr>
                <w:rFonts w:ascii="宋体" w:hAnsi="宋体" w:eastAsia="宋体"/>
                <w:sz w:val="16"/>
              </w:rPr>
              <w:t>特克斯县财政局</w:t>
            </w:r>
          </w:p>
        </w:tc>
      </w:tr>
      <w:tr w14:paraId="3033BE0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D71C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3464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4880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EE71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4255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5408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E3E9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97E52">
            <w:pPr>
              <w:jc w:val="center"/>
            </w:pPr>
            <w:r>
              <w:rPr>
                <w:rFonts w:ascii="宋体" w:hAnsi="宋体" w:eastAsia="宋体"/>
                <w:sz w:val="16"/>
              </w:rPr>
              <w:t>得分</w:t>
            </w:r>
          </w:p>
        </w:tc>
      </w:tr>
      <w:tr w14:paraId="5C2DF5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33DF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1F7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DF7A5">
            <w:pPr>
              <w:jc w:val="center"/>
            </w:pPr>
            <w:r>
              <w:rPr>
                <w:rFonts w:ascii="宋体" w:hAnsi="宋体" w:eastAsia="宋体"/>
                <w:sz w:val="16"/>
              </w:rPr>
              <w:t>905.83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662E1">
            <w:pPr>
              <w:jc w:val="center"/>
            </w:pPr>
            <w:r>
              <w:rPr>
                <w:rFonts w:ascii="宋体" w:hAnsi="宋体" w:eastAsia="宋体"/>
                <w:sz w:val="16"/>
              </w:rPr>
              <w:t>5,439.10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F3304">
            <w:pPr>
              <w:jc w:val="center"/>
            </w:pPr>
            <w:r>
              <w:rPr>
                <w:rFonts w:ascii="宋体" w:hAnsi="宋体" w:eastAsia="宋体"/>
                <w:sz w:val="16"/>
              </w:rPr>
              <w:t>5,439.10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E64C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7AD2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DF2B6">
            <w:pPr>
              <w:jc w:val="center"/>
            </w:pPr>
            <w:r>
              <w:rPr>
                <w:rFonts w:ascii="宋体" w:hAnsi="宋体" w:eastAsia="宋体"/>
                <w:sz w:val="16"/>
              </w:rPr>
              <w:t>10</w:t>
            </w:r>
          </w:p>
        </w:tc>
      </w:tr>
      <w:tr w14:paraId="1C389A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29350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B8E6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6C9B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25754">
            <w:pPr>
              <w:jc w:val="center"/>
            </w:pPr>
            <w:r>
              <w:rPr>
                <w:rFonts w:ascii="宋体" w:hAnsi="宋体" w:eastAsia="宋体"/>
                <w:sz w:val="16"/>
              </w:rPr>
              <w:t>13.17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322DF">
            <w:pPr>
              <w:jc w:val="center"/>
            </w:pPr>
            <w:r>
              <w:rPr>
                <w:rFonts w:ascii="宋体" w:hAnsi="宋体" w:eastAsia="宋体"/>
                <w:sz w:val="16"/>
              </w:rPr>
              <w:t>13.17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6A8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810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6ED4B">
            <w:pPr>
              <w:jc w:val="center"/>
            </w:pPr>
            <w:r>
              <w:rPr>
                <w:rFonts w:ascii="宋体" w:hAnsi="宋体" w:eastAsia="宋体"/>
                <w:sz w:val="16"/>
              </w:rPr>
              <w:t>-</w:t>
            </w:r>
          </w:p>
        </w:tc>
      </w:tr>
      <w:tr w14:paraId="722C95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E9BBB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8904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C747D">
            <w:pPr>
              <w:jc w:val="center"/>
            </w:pPr>
            <w:r>
              <w:rPr>
                <w:rFonts w:ascii="宋体" w:hAnsi="宋体" w:eastAsia="宋体"/>
                <w:sz w:val="16"/>
              </w:rPr>
              <w:t>890.83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9B53B">
            <w:pPr>
              <w:jc w:val="center"/>
            </w:pPr>
            <w:r>
              <w:rPr>
                <w:rFonts w:ascii="宋体" w:hAnsi="宋体" w:eastAsia="宋体"/>
                <w:sz w:val="16"/>
              </w:rPr>
              <w:t>5,414.24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4197E">
            <w:pPr>
              <w:jc w:val="center"/>
            </w:pPr>
            <w:r>
              <w:rPr>
                <w:rFonts w:ascii="宋体" w:hAnsi="宋体" w:eastAsia="宋体"/>
                <w:sz w:val="16"/>
              </w:rPr>
              <w:t>5,414.24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F57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E18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BE501">
            <w:pPr>
              <w:jc w:val="center"/>
            </w:pPr>
            <w:r>
              <w:rPr>
                <w:rFonts w:ascii="宋体" w:hAnsi="宋体" w:eastAsia="宋体"/>
                <w:sz w:val="16"/>
              </w:rPr>
              <w:t>-</w:t>
            </w:r>
          </w:p>
        </w:tc>
      </w:tr>
      <w:tr w14:paraId="1CA31B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E24E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A3DD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DDC86">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15F77">
            <w:pPr>
              <w:jc w:val="center"/>
            </w:pPr>
            <w:r>
              <w:rPr>
                <w:rFonts w:ascii="宋体" w:hAnsi="宋体" w:eastAsia="宋体"/>
                <w:sz w:val="16"/>
              </w:rPr>
              <w:t>11.69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5A919">
            <w:pPr>
              <w:jc w:val="center"/>
            </w:pPr>
            <w:r>
              <w:rPr>
                <w:rFonts w:ascii="宋体" w:hAnsi="宋体" w:eastAsia="宋体"/>
                <w:sz w:val="16"/>
              </w:rPr>
              <w:t>11.69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447A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2F7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C0F3F">
            <w:pPr>
              <w:jc w:val="center"/>
            </w:pPr>
            <w:r>
              <w:rPr>
                <w:rFonts w:ascii="宋体" w:hAnsi="宋体" w:eastAsia="宋体"/>
                <w:sz w:val="16"/>
              </w:rPr>
              <w:t>-</w:t>
            </w:r>
          </w:p>
        </w:tc>
      </w:tr>
      <w:tr w14:paraId="63778CE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7423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13B3C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252C0E">
            <w:pPr>
              <w:jc w:val="center"/>
            </w:pPr>
            <w:r>
              <w:rPr>
                <w:rFonts w:ascii="宋体" w:hAnsi="宋体" w:eastAsia="宋体"/>
                <w:sz w:val="16"/>
              </w:rPr>
              <w:t>实际完成情况</w:t>
            </w:r>
          </w:p>
        </w:tc>
      </w:tr>
      <w:tr w14:paraId="79A93F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02385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B11EC">
            <w:pPr>
              <w:jc w:val="both"/>
            </w:pPr>
            <w:r>
              <w:rPr>
                <w:rFonts w:ascii="宋体" w:hAnsi="宋体" w:eastAsia="宋体"/>
                <w:sz w:val="16"/>
              </w:rPr>
              <w:t>以习近平新时代中国特色社会主义思想为指导，认真贯彻落实党的二十大精神，2024年财政工作将继续紧紧围绕自治区、自治州党委、政府决策部署和县委、县政府中心工作，紧密结合工作实际，坚持稳中求进工作总基调，坚持新发展理念，坚持推动高质量发展，加力提效实施积极的财政政策。一是按照“量入为出，突出重点”的预算原则，以“增收、节支、防风险”为工作主线，全力培财源、抓收入，强化财政收入征管、确保财政收入质量统筹用好各类资金。二是继续加强财政预算绩效管理，</w:t>
            </w:r>
            <w:r>
              <w:rPr>
                <w:rFonts w:hint="eastAsia" w:ascii="宋体" w:hAnsi="宋体"/>
                <w:sz w:val="16"/>
                <w:lang w:eastAsia="zh-CN"/>
              </w:rPr>
              <w:t>增强</w:t>
            </w:r>
            <w:r>
              <w:rPr>
                <w:rFonts w:ascii="宋体" w:hAnsi="宋体" w:eastAsia="宋体"/>
                <w:sz w:val="16"/>
              </w:rPr>
              <w:t>预算绩效意识。形成“谁做事谁花钱、谁花钱谁担责”的制度，将财政资金预算管理绩效纳入机关建设和效能建设的考核范围，提</w:t>
            </w:r>
            <w:r>
              <w:rPr>
                <w:rFonts w:hint="eastAsia" w:ascii="宋体" w:hAnsi="宋体"/>
                <w:sz w:val="16"/>
                <w:lang w:eastAsia="zh-CN"/>
              </w:rPr>
              <w:t>高各单位</w:t>
            </w:r>
            <w:r>
              <w:rPr>
                <w:rFonts w:ascii="宋体" w:hAnsi="宋体" w:eastAsia="宋体"/>
                <w:sz w:val="16"/>
              </w:rPr>
              <w:t>对财政资金使用绩效的重视和开展绩效管理工作的自觉性和主动性。三是继续做好行政事业</w:t>
            </w:r>
            <w:r>
              <w:rPr>
                <w:rFonts w:hint="eastAsia" w:ascii="宋体" w:hAnsi="宋体"/>
                <w:sz w:val="16"/>
                <w:lang w:eastAsia="zh-CN"/>
              </w:rPr>
              <w:t>单位</w:t>
            </w:r>
            <w:r>
              <w:rPr>
                <w:rFonts w:ascii="宋体" w:hAnsi="宋体" w:eastAsia="宋体"/>
                <w:sz w:val="16"/>
              </w:rPr>
              <w:t>资产清查工作，摸清国有资产家底，保障资产安全，实现资产管理规范化，确保资产发挥效益。四是强化财政监督，进一步强化对预算</w:t>
            </w:r>
            <w:r>
              <w:rPr>
                <w:rFonts w:hint="eastAsia" w:ascii="宋体" w:hAnsi="宋体"/>
                <w:sz w:val="16"/>
                <w:lang w:eastAsia="zh-CN"/>
              </w:rPr>
              <w:t>单位</w:t>
            </w:r>
            <w:r>
              <w:rPr>
                <w:rFonts w:ascii="宋体" w:hAnsi="宋体" w:eastAsia="宋体"/>
                <w:sz w:val="16"/>
              </w:rPr>
              <w:t>及国有企业财务管理的监督检查，开展会计信息质量检查，加</w:t>
            </w:r>
            <w:r>
              <w:rPr>
                <w:rFonts w:hint="eastAsia" w:ascii="宋体" w:hAnsi="宋体"/>
                <w:sz w:val="16"/>
                <w:lang w:eastAsia="zh-CN"/>
              </w:rPr>
              <w:t>强对</w:t>
            </w:r>
            <w:r>
              <w:rPr>
                <w:rFonts w:ascii="宋体" w:hAnsi="宋体" w:eastAsia="宋体"/>
                <w:sz w:val="16"/>
              </w:rPr>
              <w:t>财务及会计行为的日常监督，确保财经法律法规得到依法贯彻。坚持以政领财、以财辅政，把旗帜鲜明讲政治从外在要求转化为内在主动，深度</w:t>
            </w:r>
            <w:r>
              <w:rPr>
                <w:rFonts w:hint="eastAsia" w:ascii="宋体" w:hAnsi="宋体"/>
                <w:sz w:val="16"/>
                <w:lang w:eastAsia="zh-CN"/>
              </w:rPr>
              <w:t>融入</w:t>
            </w:r>
            <w:r>
              <w:rPr>
                <w:rFonts w:ascii="宋体" w:hAnsi="宋体" w:eastAsia="宋体"/>
                <w:sz w:val="16"/>
              </w:rPr>
              <w:t>财政系统全面从严治党、预算收支管理、干部队伍建设等各方面。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0DB61D">
            <w:pPr>
              <w:jc w:val="both"/>
            </w:pPr>
            <w:r>
              <w:rPr>
                <w:rFonts w:ascii="宋体" w:hAnsi="宋体" w:eastAsia="宋体"/>
                <w:sz w:val="16"/>
              </w:rPr>
              <w:t>2024年，在县委、县政府的坚强领导下，财政部门坚持稳中求进工作总基调，加强组织收入，持续做大做强税源“底盘”，强化财政资源统筹，加大闲置资产盘活力度，优化支出结构，集中财力保障“三保”和重点支出，防范化解债务风险，狠抓预算执行管理，不断提升财政管理质效，各项财政工作取得了明显成效。一是强化法治思维，坚持依法理财。严格遵循各项法规政策。坚决遵守预算法及其实施条例、政府采购法、会计法等法律法规，严格落实行政事业</w:t>
            </w:r>
            <w:r>
              <w:rPr>
                <w:rFonts w:hint="eastAsia" w:ascii="宋体" w:hAnsi="宋体"/>
                <w:sz w:val="16"/>
                <w:lang w:eastAsia="zh-CN"/>
              </w:rPr>
              <w:t>单位</w:t>
            </w:r>
            <w:r>
              <w:rPr>
                <w:rFonts w:ascii="宋体" w:hAnsi="宋体" w:eastAsia="宋体"/>
                <w:sz w:val="16"/>
              </w:rPr>
              <w:t>资产管理、国库集中支付管理、银行账户管理等各项政策制度，依法开展财政工作。主动接受人大、审计监督，建设法治财政。开展财会监督行动，提升财会管理能力。二是积极组织收入，财政稳健运行。压实增收举措，全力以赴组织财政收入，确保各项增收举措落到实处。统筹协调，确保应收尽收。三是落实财政政策，促进经济发展。把握政策导向，积极争取上级资金。四是保基本兜底线，支持改善民生。兜牢“三保”底线，增进民生福祉。坚持“三保”在预算编制及执行中的优先地位。严格落实政府过紧日子要求。不断优化财政支出结构，大力压缩一般性支出，从严控制“三公”经费。支持城乡协调发展，有效推动乡村振兴建设。五是深化财政改革，加强财政监管。坚持深化以绩效为导向的预算管理制度改革，进一步提升财政管理质效。积极推进预算公开工作。有效落实预算管理一体化工作。通过将四本预算资金及</w:t>
            </w:r>
            <w:r>
              <w:rPr>
                <w:rFonts w:hint="eastAsia" w:ascii="宋体" w:hAnsi="宋体"/>
                <w:sz w:val="16"/>
                <w:lang w:eastAsia="zh-CN"/>
              </w:rPr>
              <w:t>单位</w:t>
            </w:r>
            <w:r>
              <w:rPr>
                <w:rFonts w:ascii="宋体" w:hAnsi="宋体" w:eastAsia="宋体"/>
                <w:sz w:val="16"/>
              </w:rPr>
              <w:t>自有资金全额纳入预算，预算绩效系统和财政一体化2.0系统、政采云系统、“一卡通”系统的有机结合，实现闭环监管，强化财政资金规范管理。持续深化国资国企改革。六是持续强化监管，化解风险隐患。持续做好宣传，强化金融监管。加强惠农惠民补贴资金监管。</w:t>
            </w:r>
          </w:p>
        </w:tc>
      </w:tr>
      <w:tr w14:paraId="5D430D8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83A6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89FC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2981A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E439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E2CE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90FD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90BF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B0369">
            <w:pPr>
              <w:jc w:val="center"/>
            </w:pPr>
            <w:r>
              <w:rPr>
                <w:rFonts w:ascii="宋体" w:hAnsi="宋体" w:eastAsia="宋体"/>
                <w:sz w:val="16"/>
              </w:rPr>
              <w:t>得分</w:t>
            </w:r>
          </w:p>
        </w:tc>
      </w:tr>
      <w:tr w14:paraId="299D24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B78E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A0D6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F96E4">
            <w:pPr>
              <w:jc w:val="center"/>
            </w:pPr>
            <w:r>
              <w:rPr>
                <w:rFonts w:ascii="宋体" w:hAnsi="宋体" w:eastAsia="宋体"/>
                <w:sz w:val="16"/>
              </w:rPr>
              <w:t>管理监督和规范会计行为</w:t>
            </w:r>
            <w:r>
              <w:rPr>
                <w:rFonts w:hint="eastAsia" w:ascii="宋体" w:hAnsi="宋体"/>
                <w:sz w:val="16"/>
                <w:lang w:eastAsia="zh-CN"/>
              </w:rPr>
              <w:t>单位</w:t>
            </w:r>
            <w:r>
              <w:rPr>
                <w:rFonts w:ascii="宋体" w:hAnsi="宋体" w:eastAsia="宋体"/>
                <w:sz w:val="16"/>
              </w:rPr>
              <w:t>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D9946">
            <w:pPr>
              <w:jc w:val="center"/>
            </w:pPr>
            <w:r>
              <w:rPr>
                <w:rFonts w:ascii="宋体" w:hAnsi="宋体" w:eastAsia="宋体"/>
                <w:sz w:val="16"/>
              </w:rPr>
              <w:t>&gt;=2家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895AB">
            <w:pPr>
              <w:jc w:val="center"/>
            </w:pPr>
            <w:r>
              <w:rPr>
                <w:rFonts w:ascii="宋体" w:hAnsi="宋体" w:eastAsia="宋体"/>
                <w:sz w:val="16"/>
              </w:rPr>
              <w:t>特克斯县财政局2024年工作思路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90CB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F6CF4">
            <w:pPr>
              <w:jc w:val="center"/>
            </w:pPr>
            <w:r>
              <w:rPr>
                <w:rFonts w:ascii="宋体" w:hAnsi="宋体" w:eastAsia="宋体"/>
                <w:sz w:val="16"/>
              </w:rPr>
              <w:t>3家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63A5D">
            <w:pPr>
              <w:jc w:val="center"/>
            </w:pPr>
            <w:r>
              <w:rPr>
                <w:rFonts w:ascii="宋体" w:hAnsi="宋体" w:eastAsia="宋体"/>
                <w:sz w:val="16"/>
              </w:rPr>
              <w:t>20</w:t>
            </w:r>
          </w:p>
        </w:tc>
      </w:tr>
      <w:tr w14:paraId="0A134A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046AB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88F9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8C7BE">
            <w:pPr>
              <w:jc w:val="center"/>
            </w:pPr>
            <w:r>
              <w:rPr>
                <w:rFonts w:ascii="宋体" w:hAnsi="宋体" w:eastAsia="宋体"/>
                <w:sz w:val="16"/>
              </w:rPr>
              <w:t>财政资金预算绩效管理</w:t>
            </w:r>
            <w:r>
              <w:rPr>
                <w:rFonts w:hint="eastAsia" w:ascii="宋体" w:hAnsi="宋体"/>
                <w:sz w:val="16"/>
                <w:lang w:eastAsia="zh-CN"/>
              </w:rPr>
              <w:t>单位</w:t>
            </w:r>
            <w:r>
              <w:rPr>
                <w:rFonts w:ascii="宋体" w:hAnsi="宋体" w:eastAsia="宋体"/>
                <w:sz w:val="16"/>
              </w:rPr>
              <w:t>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E7CE9">
            <w:pPr>
              <w:jc w:val="center"/>
            </w:pPr>
            <w:r>
              <w:rPr>
                <w:rFonts w:ascii="宋体" w:hAnsi="宋体" w:eastAsia="宋体"/>
                <w:sz w:val="16"/>
              </w:rPr>
              <w:t>=96家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846A3">
            <w:pPr>
              <w:jc w:val="center"/>
            </w:pPr>
            <w:r>
              <w:rPr>
                <w:rFonts w:ascii="宋体" w:hAnsi="宋体" w:eastAsia="宋体"/>
                <w:sz w:val="16"/>
              </w:rPr>
              <w:t>特克斯县财政局2024年工作思路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0F92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473C5">
            <w:pPr>
              <w:jc w:val="center"/>
            </w:pPr>
            <w:r>
              <w:rPr>
                <w:rFonts w:ascii="宋体" w:hAnsi="宋体" w:eastAsia="宋体"/>
                <w:sz w:val="16"/>
              </w:rPr>
              <w:t>96家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21AC8">
            <w:pPr>
              <w:jc w:val="center"/>
            </w:pPr>
            <w:r>
              <w:rPr>
                <w:rFonts w:ascii="宋体" w:hAnsi="宋体" w:eastAsia="宋体"/>
                <w:sz w:val="16"/>
              </w:rPr>
              <w:t>20</w:t>
            </w:r>
          </w:p>
        </w:tc>
      </w:tr>
      <w:tr w14:paraId="02EA00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D1D69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0D5A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3731B">
            <w:pPr>
              <w:jc w:val="center"/>
            </w:pPr>
            <w:r>
              <w:rPr>
                <w:rFonts w:ascii="宋体" w:hAnsi="宋体" w:eastAsia="宋体"/>
                <w:sz w:val="16"/>
              </w:rPr>
              <w:t>开展行政事业</w:t>
            </w:r>
            <w:r>
              <w:rPr>
                <w:rFonts w:hint="eastAsia" w:ascii="宋体" w:hAnsi="宋体"/>
                <w:sz w:val="16"/>
                <w:lang w:eastAsia="zh-CN"/>
              </w:rPr>
              <w:t>单位</w:t>
            </w:r>
            <w:r>
              <w:rPr>
                <w:rFonts w:ascii="宋体" w:hAnsi="宋体" w:eastAsia="宋体"/>
                <w:sz w:val="16"/>
              </w:rPr>
              <w:t>资产清查个数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B2A21">
            <w:pPr>
              <w:jc w:val="center"/>
            </w:pPr>
            <w:r>
              <w:rPr>
                <w:rFonts w:ascii="宋体" w:hAnsi="宋体" w:eastAsia="宋体"/>
                <w:sz w:val="16"/>
              </w:rPr>
              <w:t>&gt;=95个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05C2E">
            <w:pPr>
              <w:jc w:val="center"/>
            </w:pPr>
            <w:r>
              <w:rPr>
                <w:rFonts w:ascii="宋体" w:hAnsi="宋体" w:eastAsia="宋体"/>
                <w:sz w:val="16"/>
              </w:rPr>
              <w:t>特克斯县财政局2024年工作思路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E74E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B62D9">
            <w:pPr>
              <w:jc w:val="center"/>
            </w:pPr>
            <w:r>
              <w:rPr>
                <w:rFonts w:ascii="宋体" w:hAnsi="宋体" w:eastAsia="宋体"/>
                <w:sz w:val="16"/>
              </w:rPr>
              <w:t>95个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D29FA">
            <w:pPr>
              <w:jc w:val="center"/>
            </w:pPr>
            <w:r>
              <w:rPr>
                <w:rFonts w:ascii="宋体" w:hAnsi="宋体" w:eastAsia="宋体"/>
                <w:sz w:val="16"/>
              </w:rPr>
              <w:t>20</w:t>
            </w:r>
          </w:p>
        </w:tc>
      </w:tr>
      <w:tr w14:paraId="01B00A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15B8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7817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C1B76">
            <w:pPr>
              <w:jc w:val="center"/>
            </w:pPr>
            <w:r>
              <w:rPr>
                <w:rFonts w:ascii="宋体" w:hAnsi="宋体" w:eastAsia="宋体"/>
                <w:sz w:val="16"/>
              </w:rPr>
              <w:t>政府非税收入完成率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0C9E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502C3">
            <w:pPr>
              <w:jc w:val="center"/>
            </w:pPr>
            <w:r>
              <w:rPr>
                <w:rFonts w:ascii="宋体" w:hAnsi="宋体" w:eastAsia="宋体"/>
                <w:sz w:val="16"/>
              </w:rPr>
              <w:t>特克斯县财政局2024年工作思路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DB2C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A385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75418">
            <w:pPr>
              <w:jc w:val="center"/>
            </w:pPr>
            <w:r>
              <w:rPr>
                <w:rFonts w:ascii="宋体" w:hAnsi="宋体" w:eastAsia="宋体"/>
                <w:sz w:val="16"/>
              </w:rPr>
              <w:t>30</w:t>
            </w:r>
          </w:p>
        </w:tc>
      </w:tr>
    </w:tbl>
    <w:p w14:paraId="25EC7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472"/>
        <w:gridCol w:w="792"/>
      </w:tblGrid>
      <w:tr w14:paraId="673537B4">
        <w:tblPrEx>
          <w:tblCellMar>
            <w:top w:w="0" w:type="dxa"/>
            <w:left w:w="108" w:type="dxa"/>
            <w:bottom w:w="0" w:type="dxa"/>
            <w:right w:w="108" w:type="dxa"/>
          </w:tblCellMar>
        </w:tblPrEx>
        <w:tc>
          <w:tcPr>
            <w:tcW w:w="8848" w:type="dxa"/>
            <w:gridSpan w:val="14"/>
            <w:vAlign w:val="center"/>
          </w:tcPr>
          <w:p w14:paraId="26534FEF">
            <w:pPr>
              <w:jc w:val="center"/>
            </w:pPr>
            <w:r>
              <w:rPr>
                <w:rFonts w:ascii="宋体" w:hAnsi="宋体" w:eastAsia="宋体"/>
                <w:sz w:val="24"/>
              </w:rPr>
              <w:t>项目支出绩效自评表</w:t>
            </w:r>
          </w:p>
        </w:tc>
      </w:tr>
      <w:tr w14:paraId="3C21307E">
        <w:tblPrEx>
          <w:tblCellMar>
            <w:top w:w="0" w:type="dxa"/>
            <w:left w:w="108" w:type="dxa"/>
            <w:bottom w:w="0" w:type="dxa"/>
            <w:right w:w="108" w:type="dxa"/>
          </w:tblCellMar>
        </w:tblPrEx>
        <w:tc>
          <w:tcPr>
            <w:tcW w:w="8848" w:type="dxa"/>
            <w:gridSpan w:val="14"/>
            <w:vAlign w:val="center"/>
          </w:tcPr>
          <w:p w14:paraId="53722C90">
            <w:pPr>
              <w:jc w:val="center"/>
            </w:pPr>
            <w:r>
              <w:rPr>
                <w:rFonts w:ascii="宋体" w:hAnsi="宋体" w:eastAsia="宋体"/>
                <w:sz w:val="24"/>
              </w:rPr>
              <w:t>(2024年度)</w:t>
            </w:r>
          </w:p>
        </w:tc>
      </w:tr>
      <w:tr w14:paraId="741AA5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34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6D9C44">
            <w:pPr>
              <w:jc w:val="center"/>
            </w:pPr>
            <w:r>
              <w:rPr>
                <w:rFonts w:ascii="宋体" w:hAnsi="宋体" w:eastAsia="宋体"/>
                <w:sz w:val="16"/>
              </w:rPr>
              <w:t>其他收入资金</w:t>
            </w:r>
          </w:p>
        </w:tc>
      </w:tr>
      <w:tr w14:paraId="7A84B4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0E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90DC8">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D6C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455CD0">
            <w:pPr>
              <w:jc w:val="center"/>
            </w:pPr>
            <w:r>
              <w:rPr>
                <w:rFonts w:ascii="宋体" w:hAnsi="宋体" w:eastAsia="宋体"/>
                <w:sz w:val="16"/>
              </w:rPr>
              <w:t>特克斯县财政局</w:t>
            </w:r>
          </w:p>
        </w:tc>
      </w:tr>
      <w:tr w14:paraId="545304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624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8F3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91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102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90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EA333">
            <w:pPr>
              <w:jc w:val="center"/>
            </w:pPr>
            <w:r>
              <w:rPr>
                <w:rFonts w:ascii="宋体" w:hAnsi="宋体" w:eastAsia="宋体"/>
                <w:sz w:val="16"/>
              </w:rPr>
              <w:t>分值</w:t>
            </w:r>
          </w:p>
        </w:tc>
        <w:tc>
          <w:tcPr>
            <w:tcW w:w="11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A9E8">
            <w:pPr>
              <w:jc w:val="center"/>
            </w:pPr>
            <w:r>
              <w:rPr>
                <w:rFonts w:ascii="宋体" w:hAnsi="宋体" w:eastAsia="宋体"/>
                <w:sz w:val="16"/>
              </w:rPr>
              <w:t>执行率</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1D68082A">
            <w:pPr>
              <w:jc w:val="center"/>
            </w:pPr>
            <w:r>
              <w:rPr>
                <w:rFonts w:ascii="宋体" w:hAnsi="宋体" w:eastAsia="宋体"/>
                <w:sz w:val="16"/>
              </w:rPr>
              <w:t>得分</w:t>
            </w:r>
          </w:p>
        </w:tc>
      </w:tr>
      <w:tr w14:paraId="7D8D8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E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3A0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328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6DC1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EEB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0FDE">
            <w:pPr>
              <w:jc w:val="center"/>
            </w:pPr>
            <w:r>
              <w:rPr>
                <w:rFonts w:ascii="宋体" w:hAnsi="宋体" w:eastAsia="宋体"/>
                <w:sz w:val="16"/>
              </w:rPr>
              <w:t>10</w:t>
            </w:r>
          </w:p>
        </w:tc>
        <w:tc>
          <w:tcPr>
            <w:tcW w:w="11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BA239">
            <w:pPr>
              <w:jc w:val="center"/>
            </w:pPr>
            <w:r>
              <w:rPr>
                <w:rFonts w:ascii="宋体" w:hAnsi="宋体" w:eastAsia="宋体"/>
                <w:sz w:val="16"/>
              </w:rPr>
              <w:t>100.00%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00542C88">
            <w:pPr>
              <w:jc w:val="center"/>
            </w:pPr>
            <w:r>
              <w:rPr>
                <w:rFonts w:ascii="宋体" w:hAnsi="宋体" w:eastAsia="宋体"/>
                <w:sz w:val="16"/>
              </w:rPr>
              <w:t>10.00</w:t>
            </w:r>
          </w:p>
        </w:tc>
      </w:tr>
      <w:tr w14:paraId="0F5D2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130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07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DF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C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BC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FB366">
            <w:pPr>
              <w:jc w:val="center"/>
            </w:pPr>
            <w:r>
              <w:rPr>
                <w:rFonts w:ascii="宋体" w:hAnsi="宋体" w:eastAsia="宋体"/>
                <w:sz w:val="16"/>
              </w:rPr>
              <w:t>—</w:t>
            </w:r>
          </w:p>
        </w:tc>
        <w:tc>
          <w:tcPr>
            <w:tcW w:w="11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C55C6">
            <w:pPr>
              <w:jc w:val="center"/>
            </w:pPr>
            <w:r>
              <w:rPr>
                <w:rFonts w:ascii="宋体" w:hAnsi="宋体" w:eastAsia="宋体"/>
                <w:sz w:val="16"/>
              </w:rPr>
              <w:t>—</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D3260A6">
            <w:pPr>
              <w:jc w:val="center"/>
            </w:pPr>
            <w:r>
              <w:rPr>
                <w:rFonts w:ascii="宋体" w:hAnsi="宋体" w:eastAsia="宋体"/>
                <w:sz w:val="16"/>
              </w:rPr>
              <w:t>—</w:t>
            </w:r>
          </w:p>
        </w:tc>
      </w:tr>
      <w:tr w14:paraId="094C5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D6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B5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EAB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D3D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82DF">
            <w:pPr>
              <w:jc w:val="center"/>
              <w:rPr>
                <w:rFonts w:hint="default" w:eastAsia="宋体"/>
                <w:lang w:val="en-US" w:eastAsia="zh-CN"/>
              </w:rPr>
            </w:pPr>
            <w:r>
              <w:rPr>
                <w:rFonts w:ascii="宋体" w:hAnsi="宋体" w:eastAsia="宋体"/>
                <w:sz w:val="16"/>
              </w:rPr>
              <w:t>15</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05CCC">
            <w:pPr>
              <w:jc w:val="center"/>
            </w:pPr>
            <w:r>
              <w:rPr>
                <w:rFonts w:ascii="宋体" w:hAnsi="宋体" w:eastAsia="宋体"/>
                <w:sz w:val="16"/>
              </w:rPr>
              <w:t>—</w:t>
            </w:r>
          </w:p>
        </w:tc>
        <w:tc>
          <w:tcPr>
            <w:tcW w:w="11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3EB5">
            <w:pPr>
              <w:jc w:val="center"/>
            </w:pPr>
            <w:r>
              <w:rPr>
                <w:rFonts w:ascii="宋体" w:hAnsi="宋体" w:eastAsia="宋体"/>
                <w:sz w:val="16"/>
              </w:rPr>
              <w:t>—</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1F8EFC6D">
            <w:pPr>
              <w:jc w:val="center"/>
            </w:pPr>
            <w:r>
              <w:rPr>
                <w:rFonts w:ascii="宋体" w:hAnsi="宋体" w:eastAsia="宋体"/>
                <w:sz w:val="16"/>
              </w:rPr>
              <w:t>—</w:t>
            </w:r>
          </w:p>
        </w:tc>
      </w:tr>
      <w:tr w14:paraId="792B28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EF5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2F1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84DFF">
            <w:pPr>
              <w:jc w:val="center"/>
            </w:pPr>
            <w:r>
              <w:rPr>
                <w:rFonts w:ascii="宋体" w:hAnsi="宋体" w:eastAsia="宋体"/>
                <w:sz w:val="16"/>
              </w:rPr>
              <w:t>实际完成情况</w:t>
            </w:r>
          </w:p>
        </w:tc>
      </w:tr>
      <w:tr w14:paraId="00296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406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9F68B">
            <w:pPr>
              <w:jc w:val="both"/>
            </w:pPr>
            <w:r>
              <w:rPr>
                <w:rFonts w:ascii="宋体" w:hAnsi="宋体" w:eastAsia="宋体"/>
                <w:sz w:val="16"/>
              </w:rPr>
              <w:t>以习近平新时代中国特色社会主义思想为指导，认真贯彻落实党的二十大精神，2024年财政工作将继续紧紧围绕自治区、自治州党委、政府决策部署和县委、县政府中心工作，紧密结合工作实际，坚持稳中求进工作总基调，坚持新发展理念，坚持推动高质量发展，加力提效实施积极的财政政策。政府对企事业</w:t>
            </w:r>
            <w:r>
              <w:rPr>
                <w:rFonts w:hint="eastAsia" w:ascii="宋体" w:hAnsi="宋体"/>
                <w:sz w:val="16"/>
                <w:lang w:eastAsia="zh-CN"/>
              </w:rPr>
              <w:t>单位</w:t>
            </w:r>
            <w:r>
              <w:rPr>
                <w:rFonts w:ascii="宋体" w:hAnsi="宋体" w:eastAsia="宋体"/>
                <w:sz w:val="16"/>
              </w:rPr>
              <w:t>进行奖励是为了推动经济发展和促进企业创新，把慰问生活困难党员作为一项重要工作来抓，深入了解生活困难党员所思所盼所忧，让党员切实感受到党组织的关怀和温暖，激发大家爱党、爱国、爱职业的情怀，进一步增强党组织凝聚力和战斗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78A114">
            <w:pPr>
              <w:jc w:val="both"/>
            </w:pPr>
            <w:r>
              <w:rPr>
                <w:rFonts w:ascii="宋体" w:hAnsi="宋体" w:eastAsia="宋体"/>
                <w:sz w:val="16"/>
              </w:rPr>
              <w:t>一是保障</w:t>
            </w:r>
            <w:r>
              <w:rPr>
                <w:rFonts w:hint="eastAsia" w:ascii="宋体" w:hAnsi="宋体"/>
                <w:sz w:val="16"/>
                <w:lang w:eastAsia="zh-CN"/>
              </w:rPr>
              <w:t>单位</w:t>
            </w:r>
            <w:r>
              <w:rPr>
                <w:rFonts w:ascii="宋体" w:hAnsi="宋体" w:eastAsia="宋体"/>
                <w:sz w:val="16"/>
              </w:rPr>
              <w:t>正常运转，确保办公设备、设施正常运行，维持</w:t>
            </w:r>
            <w:r>
              <w:rPr>
                <w:rFonts w:hint="eastAsia" w:ascii="宋体" w:hAnsi="宋体"/>
                <w:sz w:val="16"/>
                <w:lang w:eastAsia="zh-CN"/>
              </w:rPr>
              <w:t>单位</w:t>
            </w:r>
            <w:r>
              <w:rPr>
                <w:rFonts w:ascii="宋体" w:hAnsi="宋体" w:eastAsia="宋体"/>
                <w:sz w:val="16"/>
              </w:rPr>
              <w:t>日常行政工作的有序开展。二是支持业务工作开展，为</w:t>
            </w:r>
            <w:r>
              <w:rPr>
                <w:rFonts w:hint="eastAsia" w:ascii="宋体" w:hAnsi="宋体"/>
                <w:sz w:val="16"/>
                <w:lang w:eastAsia="zh-CN"/>
              </w:rPr>
              <w:t>单位</w:t>
            </w:r>
            <w:r>
              <w:rPr>
                <w:rFonts w:ascii="宋体" w:hAnsi="宋体" w:eastAsia="宋体"/>
                <w:sz w:val="16"/>
              </w:rPr>
              <w:t>各项业务提供必要的经费支持，包括出差、培训，促进业务工作的顺利进行。三是让老干部、老党员感受到党的关怀。</w:t>
            </w:r>
          </w:p>
        </w:tc>
      </w:tr>
      <w:tr w14:paraId="7FAD64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83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DE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12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B0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8D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988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5A8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50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6FC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39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6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B99B">
            <w:pPr>
              <w:jc w:val="center"/>
            </w:pPr>
            <w:r>
              <w:rPr>
                <w:rFonts w:ascii="宋体" w:hAnsi="宋体" w:eastAsia="宋体"/>
                <w:sz w:val="16"/>
              </w:rPr>
              <w:t>赋分规则</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5588584">
            <w:pPr>
              <w:jc w:val="center"/>
            </w:pPr>
            <w:r>
              <w:rPr>
                <w:rFonts w:ascii="宋体" w:hAnsi="宋体" w:eastAsia="宋体"/>
                <w:sz w:val="16"/>
              </w:rPr>
              <w:t>佐证资料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B2FEFEC">
            <w:pPr>
              <w:jc w:val="center"/>
            </w:pPr>
            <w:r>
              <w:rPr>
                <w:rFonts w:ascii="宋体" w:hAnsi="宋体" w:eastAsia="宋体"/>
                <w:sz w:val="16"/>
              </w:rPr>
              <w:t>偏差原因分析及改进措施</w:t>
            </w:r>
          </w:p>
        </w:tc>
      </w:tr>
      <w:tr w14:paraId="2653D0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B5E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6E0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55E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7A38">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F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1ED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534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A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5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D33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32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F880">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8A87454">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49C5CF50">
            <w:pPr>
              <w:jc w:val="center"/>
            </w:pPr>
          </w:p>
        </w:tc>
      </w:tr>
      <w:tr w14:paraId="0C130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6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D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6A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9FD7">
            <w:pPr>
              <w:jc w:val="center"/>
            </w:pPr>
            <w:r>
              <w:rPr>
                <w:rFonts w:ascii="宋体" w:hAnsi="宋体" w:eastAsia="宋体"/>
                <w:sz w:val="16"/>
              </w:rPr>
              <w:t>保障慰问次数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7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04D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623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8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0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1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41A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4F58">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345F1B7">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3345EA8A">
            <w:pPr>
              <w:jc w:val="center"/>
            </w:pPr>
          </w:p>
        </w:tc>
      </w:tr>
      <w:tr w14:paraId="3192D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32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B8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2F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BD39">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0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EFD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D4D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4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0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4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6B6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81FD">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6E935A99">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170E97A4">
            <w:pPr>
              <w:jc w:val="center"/>
            </w:pPr>
          </w:p>
        </w:tc>
      </w:tr>
      <w:tr w14:paraId="4470A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14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B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DB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CA0D">
            <w:pPr>
              <w:jc w:val="center"/>
            </w:pPr>
            <w:r>
              <w:rPr>
                <w:rFonts w:ascii="宋体" w:hAnsi="宋体" w:eastAsia="宋体"/>
                <w:sz w:val="16"/>
              </w:rPr>
              <w:t>反映</w:t>
            </w:r>
            <w:r>
              <w:rPr>
                <w:rFonts w:hint="eastAsia" w:ascii="宋体" w:hAnsi="宋体"/>
                <w:sz w:val="16"/>
                <w:lang w:eastAsia="zh-CN"/>
              </w:rPr>
              <w:t>单位</w:t>
            </w:r>
            <w:r>
              <w:rPr>
                <w:rFonts w:ascii="宋体" w:hAnsi="宋体" w:eastAsia="宋体"/>
                <w:sz w:val="16"/>
              </w:rPr>
              <w:t>正常支付及时性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3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B9AE">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B492">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3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D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6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DC9C">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806D">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22464F1E">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2CE2A8C6">
            <w:pPr>
              <w:jc w:val="center"/>
            </w:pPr>
          </w:p>
        </w:tc>
      </w:tr>
      <w:tr w14:paraId="37F8E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997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D3A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449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10F4">
            <w:pPr>
              <w:jc w:val="center"/>
            </w:pPr>
            <w:r>
              <w:rPr>
                <w:rFonts w:ascii="宋体" w:hAnsi="宋体" w:eastAsia="宋体"/>
                <w:sz w:val="16"/>
              </w:rPr>
              <w:t>奖励慰问补助金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6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677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CD3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1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60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E9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E57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3439">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43B7A30A">
            <w:pPr>
              <w:jc w:val="center"/>
            </w:pPr>
            <w:r>
              <w:rPr>
                <w:rFonts w:ascii="宋体" w:hAnsi="宋体" w:eastAsia="宋体"/>
                <w:sz w:val="16"/>
              </w:rPr>
              <w:t>原始凭证</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C9DEC15">
            <w:pPr>
              <w:jc w:val="center"/>
            </w:pPr>
          </w:p>
        </w:tc>
      </w:tr>
      <w:tr w14:paraId="4A31B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A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1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2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2103">
            <w:pPr>
              <w:jc w:val="center"/>
            </w:pPr>
            <w:r>
              <w:rPr>
                <w:rFonts w:ascii="宋体" w:hAnsi="宋体" w:eastAsia="宋体"/>
                <w:sz w:val="16"/>
              </w:rPr>
              <w:t>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D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75B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4E4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9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4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B7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C71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1399">
            <w:pPr>
              <w:jc w:val="center"/>
            </w:pPr>
            <w:r>
              <w:rPr>
                <w:rFonts w:ascii="宋体" w:hAnsi="宋体" w:eastAsia="宋体"/>
                <w:sz w:val="16"/>
              </w:rPr>
              <w:t>按照完成比例赋分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40BF96D8">
            <w:pPr>
              <w:jc w:val="center"/>
            </w:pPr>
            <w:r>
              <w:rPr>
                <w:rFonts w:ascii="宋体" w:hAnsi="宋体" w:eastAsia="宋体"/>
                <w:sz w:val="16"/>
              </w:rPr>
              <w:t>原始凭证</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60F6CF38">
            <w:pPr>
              <w:jc w:val="center"/>
            </w:pPr>
          </w:p>
        </w:tc>
      </w:tr>
      <w:tr w14:paraId="554F6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8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3B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8B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4E19">
            <w:pPr>
              <w:jc w:val="center"/>
            </w:pPr>
            <w:r>
              <w:rPr>
                <w:rFonts w:hint="eastAsia" w:ascii="宋体" w:hAnsi="宋体"/>
                <w:sz w:val="16"/>
                <w:lang w:eastAsia="zh-CN"/>
              </w:rPr>
              <w:t>单位</w:t>
            </w:r>
            <w:r>
              <w:rPr>
                <w:rFonts w:ascii="宋体" w:hAnsi="宋体" w:eastAsia="宋体"/>
                <w:sz w:val="16"/>
              </w:rPr>
              <w:t>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9D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61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233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4D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8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27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D7EB">
            <w:pPr>
              <w:jc w:val="center"/>
            </w:pPr>
            <w:r>
              <w:rPr>
                <w:rFonts w:ascii="宋体" w:hAnsi="宋体" w:eastAsia="宋体"/>
                <w:sz w:val="16"/>
              </w:rPr>
              <w:t>按评判等级赋分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2D325507">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72ACC60A">
            <w:pPr>
              <w:jc w:val="center"/>
            </w:pPr>
          </w:p>
        </w:tc>
      </w:tr>
      <w:tr w14:paraId="79B81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E3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7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B4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041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0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C5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A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7C7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F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4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8A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C30D">
            <w:pPr>
              <w:jc w:val="center"/>
            </w:pPr>
            <w:r>
              <w:rPr>
                <w:rFonts w:ascii="宋体" w:hAnsi="宋体" w:eastAsia="宋体"/>
                <w:sz w:val="16"/>
              </w:rPr>
              <w:t>满意度赋分</w:t>
            </w:r>
          </w:p>
        </w:tc>
        <w:tc>
          <w:tcPr>
            <w:tcW w:w="472" w:type="dxa"/>
            <w:tcBorders>
              <w:top w:val="single" w:color="auto" w:sz="10" w:space="0"/>
              <w:left w:val="single" w:color="auto" w:sz="10" w:space="0"/>
              <w:bottom w:val="single" w:color="auto" w:sz="10" w:space="0"/>
              <w:right w:val="single" w:color="auto" w:sz="10" w:space="0"/>
              <w:insideV w:val="single" w:sz="10" w:space="0"/>
            </w:tcBorders>
            <w:vAlign w:val="center"/>
          </w:tcPr>
          <w:p w14:paraId="5396906D">
            <w:pPr>
              <w:jc w:val="center"/>
            </w:pPr>
            <w:r>
              <w:rPr>
                <w:rFonts w:ascii="宋体" w:hAnsi="宋体" w:eastAsia="宋体"/>
                <w:sz w:val="16"/>
              </w:rPr>
              <w:t>工作资料</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14:paraId="50608B46">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正常运转，维持</w:t>
            </w:r>
            <w:r>
              <w:rPr>
                <w:rFonts w:hint="eastAsia" w:ascii="宋体" w:hAnsi="宋体"/>
                <w:sz w:val="16"/>
                <w:lang w:eastAsia="zh-CN"/>
              </w:rPr>
              <w:t>单位</w:t>
            </w:r>
            <w:r>
              <w:rPr>
                <w:rFonts w:ascii="宋体" w:hAnsi="宋体" w:eastAsia="宋体"/>
                <w:sz w:val="16"/>
              </w:rPr>
              <w:t>日常行政工作有序开展；为</w:t>
            </w:r>
            <w:r>
              <w:rPr>
                <w:rFonts w:hint="eastAsia" w:ascii="宋体" w:hAnsi="宋体"/>
                <w:sz w:val="16"/>
                <w:lang w:eastAsia="zh-CN"/>
              </w:rPr>
              <w:t>单位</w:t>
            </w:r>
            <w:r>
              <w:rPr>
                <w:rFonts w:ascii="宋体" w:hAnsi="宋体" w:eastAsia="宋体"/>
                <w:sz w:val="16"/>
              </w:rPr>
              <w:t>各项业务活动提供必要的经费支持。</w:t>
            </w:r>
          </w:p>
        </w:tc>
      </w:tr>
      <w:tr w14:paraId="27BEDA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38CA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A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AAC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36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E4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7B5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789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01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BC015"/>
        </w:tc>
        <w:tc>
          <w:tcPr>
            <w:tcW w:w="472" w:type="dxa"/>
            <w:tcBorders>
              <w:top w:val="single" w:color="auto" w:sz="10" w:space="0"/>
              <w:left w:val="single" w:color="auto" w:sz="10" w:space="0"/>
              <w:bottom w:val="single" w:color="auto" w:sz="10" w:space="0"/>
              <w:right w:val="single" w:color="auto" w:sz="10" w:space="0"/>
              <w:insideV w:val="single" w:sz="10" w:space="0"/>
            </w:tcBorders>
          </w:tcPr>
          <w:p w14:paraId="64981B69"/>
        </w:tc>
        <w:tc>
          <w:tcPr>
            <w:tcW w:w="792" w:type="dxa"/>
            <w:tcBorders>
              <w:top w:val="single" w:color="auto" w:sz="10" w:space="0"/>
              <w:left w:val="single" w:color="auto" w:sz="10" w:space="0"/>
              <w:bottom w:val="single" w:color="auto" w:sz="10" w:space="0"/>
              <w:right w:val="single" w:color="auto" w:sz="10" w:space="0"/>
              <w:insideV w:val="single" w:sz="10" w:space="0"/>
            </w:tcBorders>
          </w:tcPr>
          <w:p w14:paraId="5FF29529"/>
        </w:tc>
      </w:tr>
    </w:tbl>
    <w:p w14:paraId="276480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FAA9C6D">
        <w:tblPrEx>
          <w:tblCellMar>
            <w:top w:w="0" w:type="dxa"/>
            <w:left w:w="108" w:type="dxa"/>
            <w:bottom w:w="0" w:type="dxa"/>
            <w:right w:w="108" w:type="dxa"/>
          </w:tblCellMar>
        </w:tblPrEx>
        <w:tc>
          <w:tcPr>
            <w:tcW w:w="8848" w:type="dxa"/>
            <w:gridSpan w:val="14"/>
            <w:vAlign w:val="center"/>
          </w:tcPr>
          <w:p w14:paraId="1FC8716F">
            <w:pPr>
              <w:jc w:val="center"/>
            </w:pPr>
            <w:r>
              <w:rPr>
                <w:rFonts w:ascii="宋体" w:hAnsi="宋体" w:eastAsia="宋体"/>
                <w:sz w:val="24"/>
              </w:rPr>
              <w:t>项目支出绩效自评表</w:t>
            </w:r>
          </w:p>
        </w:tc>
      </w:tr>
      <w:tr w14:paraId="670EEA09">
        <w:tblPrEx>
          <w:tblCellMar>
            <w:top w:w="0" w:type="dxa"/>
            <w:left w:w="108" w:type="dxa"/>
            <w:bottom w:w="0" w:type="dxa"/>
            <w:right w:w="108" w:type="dxa"/>
          </w:tblCellMar>
        </w:tblPrEx>
        <w:tc>
          <w:tcPr>
            <w:tcW w:w="8848" w:type="dxa"/>
            <w:gridSpan w:val="14"/>
            <w:vAlign w:val="center"/>
          </w:tcPr>
          <w:p w14:paraId="5F124D70">
            <w:pPr>
              <w:jc w:val="center"/>
            </w:pPr>
            <w:r>
              <w:rPr>
                <w:rFonts w:ascii="宋体" w:hAnsi="宋体" w:eastAsia="宋体"/>
                <w:sz w:val="24"/>
              </w:rPr>
              <w:t>(2024年度)</w:t>
            </w:r>
          </w:p>
        </w:tc>
      </w:tr>
      <w:tr w14:paraId="40CC36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73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06F981">
            <w:pPr>
              <w:jc w:val="center"/>
            </w:pPr>
            <w:r>
              <w:rPr>
                <w:rFonts w:ascii="宋体" w:hAnsi="宋体" w:eastAsia="宋体"/>
                <w:sz w:val="16"/>
              </w:rPr>
              <w:t>国有企业注册资本金（消化暂付款）</w:t>
            </w:r>
          </w:p>
        </w:tc>
      </w:tr>
      <w:tr w14:paraId="0B0FF2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76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FD9AA">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83A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01001">
            <w:pPr>
              <w:jc w:val="center"/>
            </w:pPr>
            <w:r>
              <w:rPr>
                <w:rFonts w:ascii="宋体" w:hAnsi="宋体" w:eastAsia="宋体"/>
                <w:sz w:val="16"/>
              </w:rPr>
              <w:t>特克斯县财政局</w:t>
            </w:r>
          </w:p>
        </w:tc>
      </w:tr>
      <w:tr w14:paraId="4C873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A71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234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CB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B7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5D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EE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B41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5BAB">
            <w:pPr>
              <w:jc w:val="center"/>
            </w:pPr>
            <w:r>
              <w:rPr>
                <w:rFonts w:ascii="宋体" w:hAnsi="宋体" w:eastAsia="宋体"/>
                <w:sz w:val="16"/>
              </w:rPr>
              <w:t>得分</w:t>
            </w:r>
          </w:p>
        </w:tc>
      </w:tr>
      <w:tr w14:paraId="04EBB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277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EB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5503">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AE37">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E6B29">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65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ABC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FE0D">
            <w:pPr>
              <w:jc w:val="center"/>
            </w:pPr>
            <w:r>
              <w:rPr>
                <w:rFonts w:ascii="宋体" w:hAnsi="宋体" w:eastAsia="宋体"/>
                <w:sz w:val="16"/>
              </w:rPr>
              <w:t>10.00</w:t>
            </w:r>
          </w:p>
        </w:tc>
      </w:tr>
      <w:tr w14:paraId="12621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5A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5C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BCDD2">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FBD0">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663C">
            <w:pPr>
              <w:jc w:val="center"/>
            </w:pPr>
            <w:r>
              <w:rPr>
                <w:rFonts w:ascii="宋体" w:hAnsi="宋体" w:eastAsia="宋体"/>
                <w:sz w:val="16"/>
              </w:rPr>
              <w:t>1,150.00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4C4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4D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E289">
            <w:pPr>
              <w:jc w:val="center"/>
            </w:pPr>
            <w:r>
              <w:rPr>
                <w:rFonts w:ascii="宋体" w:hAnsi="宋体" w:eastAsia="宋体"/>
                <w:sz w:val="16"/>
              </w:rPr>
              <w:t>—</w:t>
            </w:r>
          </w:p>
        </w:tc>
      </w:tr>
      <w:tr w14:paraId="10308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B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471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EE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2A9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037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346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D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7539">
            <w:pPr>
              <w:jc w:val="center"/>
            </w:pPr>
            <w:r>
              <w:rPr>
                <w:rFonts w:ascii="宋体" w:hAnsi="宋体" w:eastAsia="宋体"/>
                <w:sz w:val="16"/>
              </w:rPr>
              <w:t>—</w:t>
            </w:r>
          </w:p>
        </w:tc>
      </w:tr>
      <w:tr w14:paraId="6714D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FA9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793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003AA">
            <w:pPr>
              <w:jc w:val="center"/>
            </w:pPr>
            <w:r>
              <w:rPr>
                <w:rFonts w:ascii="宋体" w:hAnsi="宋体" w:eastAsia="宋体"/>
                <w:sz w:val="16"/>
              </w:rPr>
              <w:t>实际完成情况</w:t>
            </w:r>
          </w:p>
        </w:tc>
      </w:tr>
      <w:tr w14:paraId="13799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DA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3E1B2">
            <w:pPr>
              <w:jc w:val="both"/>
            </w:pPr>
            <w:r>
              <w:rPr>
                <w:rFonts w:ascii="宋体" w:hAnsi="宋体" w:eastAsia="宋体"/>
                <w:sz w:val="16"/>
              </w:rPr>
              <w:t>增强公司的经济实力和信用保障，加强对外承担经济责任和义务的能力，优化国有企业资本结构，增强国有企业融资能力，助力国有企业不断发展壮大。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84100">
            <w:pPr>
              <w:jc w:val="both"/>
            </w:pPr>
            <w:r>
              <w:rPr>
                <w:rFonts w:ascii="宋体" w:hAnsi="宋体" w:eastAsia="宋体"/>
                <w:sz w:val="16"/>
              </w:rPr>
              <w:t>一是增强企业资金实力，通过注入注册资本金，增加企业的自有资金，提高企业的资产规模和资金储备，使国有企业能够更好应对日常经营、投资项目和市场风险。二是优化企业资本结构，降低了企业的资产负债率，改善企业的财务状况，提高企业在金融市场的融资能力和信用评级，增强企业的融资渠道和融资成本优势。三是实现国有资本保值增值，确保国有资本的安全和有效运行，通过企业的发展壮大，提高国有资产的收益水平和价值，保障国有资产在市场竞争中不断增值。</w:t>
            </w:r>
          </w:p>
        </w:tc>
      </w:tr>
      <w:tr w14:paraId="2C8505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1DB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7D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A9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42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ED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17C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7D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22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C2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61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7F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D7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D3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07D0">
            <w:pPr>
              <w:jc w:val="center"/>
            </w:pPr>
            <w:r>
              <w:rPr>
                <w:rFonts w:ascii="宋体" w:hAnsi="宋体" w:eastAsia="宋体"/>
                <w:sz w:val="16"/>
              </w:rPr>
              <w:t>偏差原因分析及改进措施</w:t>
            </w:r>
          </w:p>
        </w:tc>
      </w:tr>
      <w:tr w14:paraId="2342FF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973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DC2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B1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3F32">
            <w:pPr>
              <w:jc w:val="center"/>
            </w:pPr>
            <w:r>
              <w:rPr>
                <w:rFonts w:ascii="宋体" w:hAnsi="宋体" w:eastAsia="宋体"/>
                <w:sz w:val="16"/>
              </w:rPr>
              <w:t>国有企业个数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2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0008">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3B2A">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F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A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A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7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5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E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E2C">
            <w:pPr>
              <w:jc w:val="center"/>
            </w:pPr>
          </w:p>
        </w:tc>
      </w:tr>
      <w:tr w14:paraId="1B3DC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34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393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BBA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9BAC">
            <w:pPr>
              <w:jc w:val="center"/>
            </w:pPr>
            <w:r>
              <w:rPr>
                <w:rFonts w:ascii="宋体" w:hAnsi="宋体" w:eastAsia="宋体"/>
                <w:sz w:val="16"/>
              </w:rPr>
              <w:t>增强国有企业融资能力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6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04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837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B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D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A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8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C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D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AA78">
            <w:pPr>
              <w:jc w:val="center"/>
            </w:pPr>
          </w:p>
        </w:tc>
      </w:tr>
      <w:tr w14:paraId="4D62D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75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DD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B0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06FC">
            <w:pPr>
              <w:jc w:val="center"/>
            </w:pPr>
            <w:r>
              <w:rPr>
                <w:rFonts w:ascii="宋体" w:hAnsi="宋体" w:eastAsia="宋体"/>
                <w:sz w:val="16"/>
              </w:rPr>
              <w:t>优化国有企业资本结构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8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6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A7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A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07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8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D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5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33A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1FFA">
            <w:pPr>
              <w:jc w:val="center"/>
            </w:pPr>
          </w:p>
        </w:tc>
      </w:tr>
      <w:tr w14:paraId="3FA17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43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09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1D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F308">
            <w:pPr>
              <w:jc w:val="center"/>
            </w:pPr>
            <w:r>
              <w:rPr>
                <w:rFonts w:ascii="宋体" w:hAnsi="宋体" w:eastAsia="宋体"/>
                <w:sz w:val="16"/>
              </w:rPr>
              <w:t>货币注资的及时性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9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7C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9D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1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AB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E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A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8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4F15">
            <w:pPr>
              <w:jc w:val="center"/>
            </w:pPr>
          </w:p>
        </w:tc>
      </w:tr>
      <w:tr w14:paraId="35F13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700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40E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9F0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0CB7">
            <w:pPr>
              <w:jc w:val="center"/>
            </w:pPr>
            <w:r>
              <w:rPr>
                <w:rFonts w:ascii="宋体" w:hAnsi="宋体" w:eastAsia="宋体"/>
                <w:sz w:val="16"/>
              </w:rPr>
              <w:t>第一阶段支付注册资本金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2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CE83">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6263">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A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8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7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6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A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0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4160">
            <w:pPr>
              <w:jc w:val="center"/>
            </w:pPr>
          </w:p>
        </w:tc>
      </w:tr>
      <w:tr w14:paraId="39A8B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6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E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88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C8AC">
            <w:pPr>
              <w:jc w:val="center"/>
            </w:pPr>
            <w:r>
              <w:rPr>
                <w:rFonts w:ascii="宋体" w:hAnsi="宋体" w:eastAsia="宋体"/>
                <w:sz w:val="16"/>
              </w:rPr>
              <w:t>第二阶段支付注册资本金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8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F8B1">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7AF8">
            <w:pPr>
              <w:jc w:val="center"/>
            </w:pPr>
            <w:r>
              <w:rPr>
                <w:rFonts w:ascii="宋体" w:hAnsi="宋体" w:eastAsia="宋体"/>
                <w:sz w:val="16"/>
              </w:rPr>
              <w: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8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D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5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A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7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2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46E3">
            <w:pPr>
              <w:jc w:val="center"/>
            </w:pPr>
          </w:p>
        </w:tc>
      </w:tr>
      <w:tr w14:paraId="64311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274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8A3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43B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FC84">
            <w:pPr>
              <w:jc w:val="center"/>
            </w:pPr>
            <w:r>
              <w:rPr>
                <w:rFonts w:ascii="宋体" w:hAnsi="宋体" w:eastAsia="宋体"/>
                <w:sz w:val="16"/>
              </w:rPr>
              <w:t>发挥国有企业资产效益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3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03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8F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7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F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3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7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64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8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F384">
            <w:pPr>
              <w:jc w:val="center"/>
            </w:pPr>
          </w:p>
        </w:tc>
      </w:tr>
      <w:tr w14:paraId="19CF9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3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7E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04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0A5F">
            <w:pPr>
              <w:jc w:val="center"/>
            </w:pPr>
            <w:r>
              <w:rPr>
                <w:rFonts w:ascii="宋体" w:hAnsi="宋体" w:eastAsia="宋体"/>
                <w:sz w:val="16"/>
              </w:rPr>
              <w:t>利用有限的资源满足特克斯县日益增长的物质需求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C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07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F3D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7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C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A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1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40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1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BA37">
            <w:pPr>
              <w:jc w:val="center"/>
            </w:pPr>
          </w:p>
        </w:tc>
      </w:tr>
      <w:tr w14:paraId="0574B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7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1B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B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E582">
            <w:pPr>
              <w:jc w:val="center"/>
            </w:pPr>
            <w:r>
              <w:rPr>
                <w:rFonts w:ascii="宋体" w:hAnsi="宋体" w:eastAsia="宋体"/>
                <w:sz w:val="16"/>
              </w:rPr>
              <w:t>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B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06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F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023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DB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4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D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FB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3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0C7">
            <w:pPr>
              <w:jc w:val="center"/>
            </w:pPr>
            <w:r>
              <w:rPr>
                <w:rFonts w:ascii="宋体" w:hAnsi="宋体" w:eastAsia="宋体"/>
                <w:sz w:val="16"/>
              </w:rPr>
              <w:t>项目团队与利益相关者之间保持了良好沟通，及时了解他们的需求和意见，并</w:t>
            </w:r>
            <w:r>
              <w:rPr>
                <w:rFonts w:hint="eastAsia" w:ascii="宋体" w:hAnsi="宋体"/>
                <w:sz w:val="16"/>
                <w:lang w:eastAsia="zh-CN"/>
              </w:rPr>
              <w:t>积极响应</w:t>
            </w:r>
            <w:r>
              <w:rPr>
                <w:rFonts w:ascii="宋体" w:hAnsi="宋体" w:eastAsia="宋体"/>
                <w:sz w:val="16"/>
              </w:rPr>
              <w:t>和解决问题，让利益相关者感受到被重视，从而提高了满意度。</w:t>
            </w:r>
          </w:p>
        </w:tc>
      </w:tr>
      <w:tr w14:paraId="3740CD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7D6B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4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C81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7A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5F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9DB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8C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AAB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D48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120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FB511"/>
        </w:tc>
      </w:tr>
    </w:tbl>
    <w:p w14:paraId="2159EF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BB6EB31">
        <w:tblPrEx>
          <w:tblCellMar>
            <w:top w:w="0" w:type="dxa"/>
            <w:left w:w="108" w:type="dxa"/>
            <w:bottom w:w="0" w:type="dxa"/>
            <w:right w:w="108" w:type="dxa"/>
          </w:tblCellMar>
        </w:tblPrEx>
        <w:tc>
          <w:tcPr>
            <w:tcW w:w="8848" w:type="dxa"/>
            <w:gridSpan w:val="14"/>
            <w:vAlign w:val="center"/>
          </w:tcPr>
          <w:p w14:paraId="248048D6">
            <w:pPr>
              <w:jc w:val="center"/>
            </w:pPr>
            <w:r>
              <w:rPr>
                <w:rFonts w:ascii="宋体" w:hAnsi="宋体" w:eastAsia="宋体"/>
                <w:sz w:val="24"/>
              </w:rPr>
              <w:t>项目支出绩效自评表</w:t>
            </w:r>
          </w:p>
        </w:tc>
      </w:tr>
      <w:tr w14:paraId="7F949AA2">
        <w:tblPrEx>
          <w:tblCellMar>
            <w:top w:w="0" w:type="dxa"/>
            <w:left w:w="108" w:type="dxa"/>
            <w:bottom w:w="0" w:type="dxa"/>
            <w:right w:w="108" w:type="dxa"/>
          </w:tblCellMar>
        </w:tblPrEx>
        <w:tc>
          <w:tcPr>
            <w:tcW w:w="8848" w:type="dxa"/>
            <w:gridSpan w:val="14"/>
            <w:vAlign w:val="center"/>
          </w:tcPr>
          <w:p w14:paraId="0409F862">
            <w:pPr>
              <w:jc w:val="center"/>
            </w:pPr>
            <w:r>
              <w:rPr>
                <w:rFonts w:ascii="宋体" w:hAnsi="宋体" w:eastAsia="宋体"/>
                <w:sz w:val="24"/>
              </w:rPr>
              <w:t>(2024年度)</w:t>
            </w:r>
          </w:p>
        </w:tc>
      </w:tr>
      <w:tr w14:paraId="4E933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EB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E8F9AF">
            <w:pPr>
              <w:jc w:val="center"/>
            </w:pPr>
            <w:r>
              <w:rPr>
                <w:rFonts w:ascii="宋体" w:hAnsi="宋体" w:eastAsia="宋体"/>
                <w:sz w:val="16"/>
              </w:rPr>
              <w:t>国有企业运营补助</w:t>
            </w:r>
          </w:p>
        </w:tc>
      </w:tr>
      <w:tr w14:paraId="6E25F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B5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1751B">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361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1F524">
            <w:pPr>
              <w:jc w:val="center"/>
            </w:pPr>
            <w:r>
              <w:rPr>
                <w:rFonts w:ascii="宋体" w:hAnsi="宋体" w:eastAsia="宋体"/>
                <w:sz w:val="16"/>
              </w:rPr>
              <w:t>特克斯县财政局</w:t>
            </w:r>
          </w:p>
        </w:tc>
      </w:tr>
      <w:tr w14:paraId="34499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8B64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F5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CA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2E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2A9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88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BB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1BE6">
            <w:pPr>
              <w:jc w:val="center"/>
            </w:pPr>
            <w:r>
              <w:rPr>
                <w:rFonts w:ascii="宋体" w:hAnsi="宋体" w:eastAsia="宋体"/>
                <w:sz w:val="16"/>
              </w:rPr>
              <w:t>得分</w:t>
            </w:r>
          </w:p>
        </w:tc>
      </w:tr>
      <w:tr w14:paraId="4D586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5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9B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0BB33">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29EC">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FA0B">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D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DDD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E6C7">
            <w:pPr>
              <w:jc w:val="center"/>
            </w:pPr>
            <w:r>
              <w:rPr>
                <w:rFonts w:ascii="宋体" w:hAnsi="宋体" w:eastAsia="宋体"/>
                <w:sz w:val="16"/>
              </w:rPr>
              <w:t>10.00</w:t>
            </w:r>
          </w:p>
        </w:tc>
      </w:tr>
      <w:tr w14:paraId="32ECE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0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E94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855D">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8902C">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7FD9">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6C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5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00C3">
            <w:pPr>
              <w:jc w:val="center"/>
            </w:pPr>
            <w:r>
              <w:rPr>
                <w:rFonts w:ascii="宋体" w:hAnsi="宋体" w:eastAsia="宋体"/>
                <w:sz w:val="16"/>
              </w:rPr>
              <w:t>—</w:t>
            </w:r>
          </w:p>
        </w:tc>
      </w:tr>
      <w:tr w14:paraId="19CD0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25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8D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9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AF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90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97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2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AC9E">
            <w:pPr>
              <w:jc w:val="center"/>
            </w:pPr>
            <w:r>
              <w:rPr>
                <w:rFonts w:ascii="宋体" w:hAnsi="宋体" w:eastAsia="宋体"/>
                <w:sz w:val="16"/>
              </w:rPr>
              <w:t>—</w:t>
            </w:r>
          </w:p>
        </w:tc>
      </w:tr>
      <w:tr w14:paraId="1F07C7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A11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588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78615">
            <w:pPr>
              <w:jc w:val="center"/>
            </w:pPr>
            <w:r>
              <w:rPr>
                <w:rFonts w:ascii="宋体" w:hAnsi="宋体" w:eastAsia="宋体"/>
                <w:sz w:val="16"/>
              </w:rPr>
              <w:t>实际完成情况</w:t>
            </w:r>
          </w:p>
        </w:tc>
      </w:tr>
      <w:tr w14:paraId="1DE5C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742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5F7F3">
            <w:pPr>
              <w:jc w:val="both"/>
            </w:pPr>
            <w:r>
              <w:rPr>
                <w:rFonts w:ascii="宋体" w:hAnsi="宋体" w:eastAsia="宋体"/>
                <w:sz w:val="16"/>
              </w:rPr>
              <w:t>进一步完善国有资本经营预算制度，扩大实施范围，强化功能作用，健全收支管理，提升资金效能，支持国有资本和国有企业做强做优做大，提升企业核心竞争力，建立更加紧密的国有资本经营预算与国有资产报告衔接关系，切实发挥对宏观经济运行、国有经济布局的重要调控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897C5">
            <w:pPr>
              <w:jc w:val="both"/>
            </w:pPr>
            <w:r>
              <w:rPr>
                <w:rFonts w:ascii="宋体" w:hAnsi="宋体" w:eastAsia="宋体"/>
                <w:sz w:val="16"/>
              </w:rPr>
              <w:t>通过实施该项目，确保企业有足够的资金用于支付日常运营费用，包括员工工资社保、公务用车运营维护、办公用品采购等，避免了因资金短缺而导致企业运营中断。</w:t>
            </w:r>
          </w:p>
        </w:tc>
      </w:tr>
      <w:tr w14:paraId="4D90F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9F1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D0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C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E3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E6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6F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87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56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67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CC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9D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2E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38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DA8D">
            <w:pPr>
              <w:jc w:val="center"/>
            </w:pPr>
            <w:r>
              <w:rPr>
                <w:rFonts w:ascii="宋体" w:hAnsi="宋体" w:eastAsia="宋体"/>
                <w:sz w:val="16"/>
              </w:rPr>
              <w:t>偏差原因分析及改进措施</w:t>
            </w:r>
          </w:p>
        </w:tc>
      </w:tr>
      <w:tr w14:paraId="0366AA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369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E8D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D9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6E11">
            <w:pPr>
              <w:jc w:val="center"/>
            </w:pPr>
            <w:r>
              <w:rPr>
                <w:rFonts w:ascii="宋体" w:hAnsi="宋体" w:eastAsia="宋体"/>
                <w:sz w:val="16"/>
              </w:rPr>
              <w:t>发放薪酬人数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3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F4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31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6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9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9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1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F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13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A74A">
            <w:pPr>
              <w:jc w:val="center"/>
            </w:pPr>
          </w:p>
        </w:tc>
      </w:tr>
      <w:tr w14:paraId="2E2AA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6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3C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C1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FB12">
            <w:pPr>
              <w:jc w:val="center"/>
            </w:pPr>
            <w:r>
              <w:rPr>
                <w:rFonts w:ascii="宋体" w:hAnsi="宋体" w:eastAsia="宋体"/>
                <w:sz w:val="16"/>
              </w:rPr>
              <w:t>发放薪酬次数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90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EE3E">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A7D9">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8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A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D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0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9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73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4B05">
            <w:pPr>
              <w:jc w:val="center"/>
            </w:pPr>
          </w:p>
        </w:tc>
      </w:tr>
      <w:tr w14:paraId="3CED3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38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2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A9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7E00">
            <w:pPr>
              <w:jc w:val="center"/>
            </w:pPr>
            <w:r>
              <w:rPr>
                <w:rFonts w:ascii="宋体" w:hAnsi="宋体" w:eastAsia="宋体"/>
                <w:sz w:val="16"/>
              </w:rPr>
              <w:t>提升企业核心竞争力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4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A5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4A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A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D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E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B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7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1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8102">
            <w:pPr>
              <w:jc w:val="center"/>
            </w:pPr>
          </w:p>
        </w:tc>
      </w:tr>
      <w:tr w14:paraId="419AB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0A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5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4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63DD">
            <w:pPr>
              <w:jc w:val="center"/>
            </w:pPr>
            <w:r>
              <w:rPr>
                <w:rFonts w:ascii="宋体" w:hAnsi="宋体" w:eastAsia="宋体"/>
                <w:sz w:val="16"/>
              </w:rPr>
              <w:t>资金拨付的及时性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9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51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6D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0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6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B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1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2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B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52C2">
            <w:pPr>
              <w:jc w:val="center"/>
            </w:pPr>
          </w:p>
        </w:tc>
      </w:tr>
      <w:tr w14:paraId="30344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6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48C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B0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CAA1">
            <w:pPr>
              <w:jc w:val="center"/>
            </w:pPr>
            <w:r>
              <w:rPr>
                <w:rFonts w:ascii="宋体" w:hAnsi="宋体" w:eastAsia="宋体"/>
                <w:sz w:val="16"/>
              </w:rPr>
              <w:t>支付人员工资、社保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B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B1CE">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BD02">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5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7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A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B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4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6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432F">
            <w:pPr>
              <w:jc w:val="center"/>
            </w:pPr>
          </w:p>
        </w:tc>
      </w:tr>
      <w:tr w14:paraId="27F6E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B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8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4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B27A">
            <w:pPr>
              <w:jc w:val="center"/>
            </w:pPr>
            <w:r>
              <w:rPr>
                <w:rFonts w:ascii="宋体" w:hAnsi="宋体" w:eastAsia="宋体"/>
                <w:sz w:val="16"/>
              </w:rPr>
              <w:t>车辆维修费用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80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078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EFF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E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48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4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5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6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4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7DD9">
            <w:pPr>
              <w:jc w:val="center"/>
            </w:pPr>
          </w:p>
        </w:tc>
      </w:tr>
      <w:tr w14:paraId="59EB5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7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9A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B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B80E">
            <w:pPr>
              <w:jc w:val="center"/>
            </w:pPr>
            <w:r>
              <w:rPr>
                <w:rFonts w:ascii="宋体" w:hAnsi="宋体" w:eastAsia="宋体"/>
                <w:sz w:val="16"/>
              </w:rPr>
              <w:t>公司日常运营费用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9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8D92">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E20B">
            <w:pPr>
              <w:jc w:val="center"/>
            </w:pPr>
            <w:r>
              <w:rPr>
                <w:rFonts w:ascii="宋体" w:hAnsi="宋体" w:eastAsia="宋体"/>
                <w:sz w:val="16"/>
              </w:rPr>
              <w:t>27.77万元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297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0DE6">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5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3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4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A835">
            <w:pPr>
              <w:jc w:val="center"/>
            </w:pPr>
          </w:p>
        </w:tc>
      </w:tr>
      <w:tr w14:paraId="7E214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3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E4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33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952B">
            <w:pPr>
              <w:jc w:val="center"/>
            </w:pPr>
            <w:r>
              <w:rPr>
                <w:rFonts w:ascii="宋体" w:hAnsi="宋体" w:eastAsia="宋体"/>
                <w:sz w:val="16"/>
              </w:rPr>
              <w:t>受益人发挥工作积极性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9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A3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91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6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47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C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F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51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3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CE6B">
            <w:pPr>
              <w:jc w:val="center"/>
            </w:pPr>
          </w:p>
        </w:tc>
      </w:tr>
      <w:tr w14:paraId="4C916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B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FB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57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21B5">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5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7E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5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436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A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1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A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C5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B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644">
            <w:pPr>
              <w:jc w:val="center"/>
            </w:pPr>
            <w:r>
              <w:rPr>
                <w:rFonts w:ascii="宋体" w:hAnsi="宋体" w:eastAsia="宋体"/>
                <w:sz w:val="16"/>
              </w:rPr>
              <w:t>保障了企业日常业务的开展，</w:t>
            </w:r>
            <w:r>
              <w:rPr>
                <w:rFonts w:hint="eastAsia" w:ascii="宋体" w:hAnsi="宋体"/>
                <w:sz w:val="16"/>
                <w:lang w:eastAsia="zh-CN"/>
              </w:rPr>
              <w:t>缓解</w:t>
            </w:r>
            <w:r>
              <w:rPr>
                <w:rFonts w:ascii="宋体" w:hAnsi="宋体" w:eastAsia="宋体"/>
                <w:sz w:val="16"/>
              </w:rPr>
              <w:t>了企业资金压力。</w:t>
            </w:r>
          </w:p>
        </w:tc>
      </w:tr>
      <w:tr w14:paraId="731EB1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19DA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3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8F2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FE6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C5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10A8">
            <w:pPr>
              <w:jc w:val="center"/>
            </w:pPr>
            <w:r>
              <w:rPr>
                <w:rFonts w:ascii="宋体" w:hAnsi="宋体" w:eastAsia="宋体"/>
                <w:sz w:val="16"/>
              </w:rPr>
              <w:t>99.95分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5E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30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BA8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7C4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51C28"/>
        </w:tc>
      </w:tr>
    </w:tbl>
    <w:p w14:paraId="1C112E8C">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8"/>
        <w:gridCol w:w="591"/>
        <w:gridCol w:w="603"/>
        <w:gridCol w:w="1016"/>
        <w:gridCol w:w="856"/>
        <w:gridCol w:w="616"/>
        <w:gridCol w:w="602"/>
        <w:gridCol w:w="588"/>
        <w:gridCol w:w="588"/>
        <w:gridCol w:w="591"/>
        <w:gridCol w:w="590"/>
        <w:gridCol w:w="629"/>
      </w:tblGrid>
      <w:tr w14:paraId="06098A5A">
        <w:tblPrEx>
          <w:tblCellMar>
            <w:top w:w="0" w:type="dxa"/>
            <w:left w:w="108" w:type="dxa"/>
            <w:bottom w:w="0" w:type="dxa"/>
            <w:right w:w="108" w:type="dxa"/>
          </w:tblCellMar>
        </w:tblPrEx>
        <w:tc>
          <w:tcPr>
            <w:tcW w:w="8848" w:type="dxa"/>
            <w:gridSpan w:val="14"/>
            <w:vAlign w:val="center"/>
          </w:tcPr>
          <w:p w14:paraId="0502EAA1">
            <w:pPr>
              <w:jc w:val="center"/>
            </w:pPr>
            <w:r>
              <w:rPr>
                <w:rFonts w:ascii="宋体" w:hAnsi="宋体" w:eastAsia="宋体"/>
                <w:sz w:val="24"/>
              </w:rPr>
              <w:t>项目支出绩效自评表</w:t>
            </w:r>
          </w:p>
        </w:tc>
      </w:tr>
      <w:tr w14:paraId="20550848">
        <w:tblPrEx>
          <w:tblCellMar>
            <w:top w:w="0" w:type="dxa"/>
            <w:left w:w="108" w:type="dxa"/>
            <w:bottom w:w="0" w:type="dxa"/>
            <w:right w:w="108" w:type="dxa"/>
          </w:tblCellMar>
        </w:tblPrEx>
        <w:tc>
          <w:tcPr>
            <w:tcW w:w="8848" w:type="dxa"/>
            <w:gridSpan w:val="14"/>
            <w:vAlign w:val="center"/>
          </w:tcPr>
          <w:p w14:paraId="7A749D10">
            <w:pPr>
              <w:jc w:val="center"/>
            </w:pPr>
            <w:r>
              <w:rPr>
                <w:rFonts w:ascii="宋体" w:hAnsi="宋体" w:eastAsia="宋体"/>
                <w:sz w:val="24"/>
              </w:rPr>
              <w:t>(2024年度)</w:t>
            </w:r>
          </w:p>
        </w:tc>
      </w:tr>
      <w:tr w14:paraId="1EE0C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AD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A7B15E">
            <w:pPr>
              <w:jc w:val="center"/>
            </w:pPr>
            <w:r>
              <w:rPr>
                <w:rFonts w:ascii="宋体" w:hAnsi="宋体" w:eastAsia="宋体"/>
                <w:sz w:val="16"/>
              </w:rPr>
              <w:t>国有粮食购销企业土地变性确权工作（消化暂付款）</w:t>
            </w:r>
          </w:p>
        </w:tc>
      </w:tr>
      <w:tr w14:paraId="06C73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22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4DC0C5">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647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925E4">
            <w:pPr>
              <w:jc w:val="center"/>
            </w:pPr>
            <w:r>
              <w:rPr>
                <w:rFonts w:ascii="宋体" w:hAnsi="宋体" w:eastAsia="宋体"/>
                <w:sz w:val="16"/>
              </w:rPr>
              <w:t>特克斯县财政局</w:t>
            </w:r>
          </w:p>
        </w:tc>
      </w:tr>
      <w:tr w14:paraId="2A6799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2B8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47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80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6E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56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1D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404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5261">
            <w:pPr>
              <w:jc w:val="center"/>
            </w:pPr>
            <w:r>
              <w:rPr>
                <w:rFonts w:ascii="宋体" w:hAnsi="宋体" w:eastAsia="宋体"/>
                <w:sz w:val="16"/>
              </w:rPr>
              <w:t>得分</w:t>
            </w:r>
          </w:p>
        </w:tc>
      </w:tr>
      <w:tr w14:paraId="2EDD8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3B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335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61C0">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D744">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A889">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C5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5DC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A3E1">
            <w:pPr>
              <w:jc w:val="center"/>
            </w:pPr>
            <w:r>
              <w:rPr>
                <w:rFonts w:ascii="宋体" w:hAnsi="宋体" w:eastAsia="宋体"/>
                <w:sz w:val="16"/>
              </w:rPr>
              <w:t>10.00</w:t>
            </w:r>
          </w:p>
        </w:tc>
      </w:tr>
      <w:tr w14:paraId="30960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AB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A5B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0FBE">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BDAC">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B4442">
            <w:pPr>
              <w:jc w:val="center"/>
            </w:pPr>
            <w:r>
              <w:rPr>
                <w:rFonts w:ascii="宋体" w:hAnsi="宋体" w:eastAsia="宋体"/>
                <w:sz w:val="16"/>
              </w:rPr>
              <w:t>1,563.00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87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5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D4BE">
            <w:pPr>
              <w:jc w:val="center"/>
            </w:pPr>
            <w:r>
              <w:rPr>
                <w:rFonts w:ascii="宋体" w:hAnsi="宋体" w:eastAsia="宋体"/>
                <w:sz w:val="16"/>
              </w:rPr>
              <w:t>—</w:t>
            </w:r>
          </w:p>
        </w:tc>
      </w:tr>
      <w:tr w14:paraId="6A964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D3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FA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1A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64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50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CD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C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53DA">
            <w:pPr>
              <w:jc w:val="center"/>
            </w:pPr>
            <w:r>
              <w:rPr>
                <w:rFonts w:ascii="宋体" w:hAnsi="宋体" w:eastAsia="宋体"/>
                <w:sz w:val="16"/>
              </w:rPr>
              <w:t>—</w:t>
            </w:r>
          </w:p>
        </w:tc>
      </w:tr>
      <w:tr w14:paraId="4DF823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552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F6F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FB105">
            <w:pPr>
              <w:jc w:val="center"/>
            </w:pPr>
            <w:r>
              <w:rPr>
                <w:rFonts w:ascii="宋体" w:hAnsi="宋体" w:eastAsia="宋体"/>
                <w:sz w:val="16"/>
              </w:rPr>
              <w:t>实际完成情况</w:t>
            </w:r>
          </w:p>
        </w:tc>
      </w:tr>
      <w:tr w14:paraId="4B60F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AB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710FB">
            <w:pPr>
              <w:jc w:val="both"/>
            </w:pPr>
            <w:r>
              <w:rPr>
                <w:rFonts w:ascii="宋体" w:hAnsi="宋体" w:eastAsia="宋体"/>
                <w:sz w:val="16"/>
              </w:rPr>
              <w:t>按照《关于加快推进伊犁州国有粮食购销企业土地变性确权工作的报告》伊州粮</w:t>
            </w:r>
            <w:r>
              <w:rPr>
                <w:rFonts w:hint="eastAsia" w:ascii="宋体" w:hAnsi="宋体"/>
                <w:sz w:val="16"/>
                <w:lang w:eastAsia="zh-CN"/>
              </w:rPr>
              <w:t>〔2023〕7号</w:t>
            </w:r>
            <w:r>
              <w:rPr>
                <w:rFonts w:ascii="宋体" w:hAnsi="宋体" w:eastAsia="宋体"/>
                <w:sz w:val="16"/>
              </w:rPr>
              <w:t>相关要求，按时按要求完成13宗土地的确权工作，壮大国有企业资产规模，提升国有企业经济效益。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29A07">
            <w:pPr>
              <w:jc w:val="both"/>
            </w:pPr>
            <w:r>
              <w:rPr>
                <w:rFonts w:ascii="宋体" w:hAnsi="宋体" w:eastAsia="宋体"/>
                <w:sz w:val="16"/>
              </w:rPr>
              <w:t>一是增加了企业资产，提升企业的资产规模和价值。二是促进企业改革，土地变性确权</w:t>
            </w:r>
            <w:r>
              <w:rPr>
                <w:rFonts w:hint="eastAsia" w:ascii="宋体" w:hAnsi="宋体"/>
                <w:sz w:val="16"/>
                <w:lang w:eastAsia="zh-CN"/>
              </w:rPr>
              <w:t>是</w:t>
            </w:r>
            <w:r>
              <w:rPr>
                <w:rFonts w:ascii="宋体" w:hAnsi="宋体" w:eastAsia="宋体"/>
                <w:sz w:val="16"/>
              </w:rPr>
              <w:t>国有粮食购销企业改革的重要组成部分，有助于推动企业建立现代企业制度，完善法人治理结构，提升企业的市场竞争力和可持续发展能力。三是通过土地变性确权，企业能够更好地利用土地资源，优化粮食仓储，提高粮食收储、加工、运输等环节的效率和能力。为保障</w:t>
            </w:r>
            <w:r>
              <w:rPr>
                <w:rFonts w:hint="eastAsia" w:ascii="宋体" w:hAnsi="宋体"/>
                <w:sz w:val="16"/>
                <w:lang w:eastAsia="zh-CN"/>
              </w:rPr>
              <w:t>国家粮食安全</w:t>
            </w:r>
            <w:r>
              <w:rPr>
                <w:rFonts w:ascii="宋体" w:hAnsi="宋体" w:eastAsia="宋体"/>
                <w:sz w:val="16"/>
              </w:rPr>
              <w:t>提供坚实的物质基础和土地保障。</w:t>
            </w:r>
          </w:p>
        </w:tc>
      </w:tr>
      <w:tr w14:paraId="6452F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79B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65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1F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95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46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23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F8E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6B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B7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A7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7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9D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D0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9E1E">
            <w:pPr>
              <w:jc w:val="center"/>
            </w:pPr>
            <w:r>
              <w:rPr>
                <w:rFonts w:ascii="宋体" w:hAnsi="宋体" w:eastAsia="宋体"/>
                <w:sz w:val="16"/>
              </w:rPr>
              <w:t>偏差原因分析及改进措施</w:t>
            </w:r>
          </w:p>
        </w:tc>
      </w:tr>
      <w:tr w14:paraId="0278CD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A57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F8D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05D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6B9E">
            <w:pPr>
              <w:jc w:val="center"/>
            </w:pPr>
            <w:r>
              <w:rPr>
                <w:rFonts w:ascii="宋体" w:hAnsi="宋体" w:eastAsia="宋体"/>
                <w:sz w:val="16"/>
              </w:rPr>
              <w:t>土地变性确权宗数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4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E897">
            <w:pPr>
              <w:jc w:val="center"/>
            </w:pPr>
            <w:r>
              <w:rPr>
                <w:rFonts w:ascii="宋体" w:hAnsi="宋体" w:eastAsia="宋体"/>
                <w:sz w:val="16"/>
              </w:rPr>
              <w:t>=13宗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7768">
            <w:pPr>
              <w:jc w:val="center"/>
            </w:pPr>
            <w:r>
              <w:rPr>
                <w:rFonts w:ascii="宋体" w:hAnsi="宋体" w:eastAsia="宋体"/>
                <w:sz w:val="16"/>
              </w:rPr>
              <w:t>13宗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1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3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E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5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B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1240">
            <w:pPr>
              <w:jc w:val="center"/>
            </w:pPr>
          </w:p>
        </w:tc>
      </w:tr>
      <w:tr w14:paraId="4B64E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3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C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F5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26F8">
            <w:pPr>
              <w:jc w:val="center"/>
            </w:pPr>
            <w:r>
              <w:rPr>
                <w:rFonts w:ascii="宋体" w:hAnsi="宋体" w:eastAsia="宋体"/>
                <w:sz w:val="16"/>
              </w:rPr>
              <w:t>土地的平方数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2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4263">
            <w:pPr>
              <w:jc w:val="center"/>
            </w:pPr>
            <w:r>
              <w:rPr>
                <w:rFonts w:ascii="宋体" w:hAnsi="宋体" w:eastAsia="宋体"/>
                <w:sz w:val="16"/>
              </w:rPr>
              <w:t>=198521.50平方米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01B2">
            <w:pPr>
              <w:jc w:val="center"/>
            </w:pPr>
            <w:r>
              <w:rPr>
                <w:rFonts w:ascii="宋体" w:hAnsi="宋体" w:eastAsia="宋体"/>
                <w:sz w:val="16"/>
              </w:rPr>
              <w:t>198521.5平方米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A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B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3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C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8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E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027D">
            <w:pPr>
              <w:jc w:val="center"/>
            </w:pPr>
          </w:p>
        </w:tc>
      </w:tr>
      <w:tr w14:paraId="2FE91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A9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7C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62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EFC4">
            <w:pPr>
              <w:jc w:val="center"/>
            </w:pPr>
            <w:r>
              <w:rPr>
                <w:rFonts w:ascii="宋体" w:hAnsi="宋体" w:eastAsia="宋体"/>
                <w:sz w:val="16"/>
              </w:rPr>
              <w:t>壮大资产规模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8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B486">
            <w:pPr>
              <w:jc w:val="center"/>
            </w:pPr>
            <w:r>
              <w:rPr>
                <w:rFonts w:ascii="宋体" w:hAnsi="宋体" w:eastAsia="宋体"/>
                <w:sz w:val="16"/>
              </w:rPr>
              <w:t>=13宗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03D3">
            <w:pPr>
              <w:jc w:val="center"/>
            </w:pPr>
            <w:r>
              <w:rPr>
                <w:rFonts w:ascii="宋体" w:hAnsi="宋体" w:eastAsia="宋体"/>
                <w:sz w:val="16"/>
              </w:rPr>
              <w:t>13宗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C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4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2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4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8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35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F11E">
            <w:pPr>
              <w:jc w:val="center"/>
            </w:pPr>
          </w:p>
        </w:tc>
      </w:tr>
      <w:tr w14:paraId="0C625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B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A3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99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986B">
            <w:pPr>
              <w:jc w:val="center"/>
            </w:pPr>
            <w:r>
              <w:rPr>
                <w:rFonts w:ascii="宋体" w:hAnsi="宋体" w:eastAsia="宋体"/>
                <w:sz w:val="16"/>
              </w:rPr>
              <w:t>按时完成土地确权工作的及时性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3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D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E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6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2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72E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7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D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26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A38C">
            <w:pPr>
              <w:jc w:val="center"/>
            </w:pPr>
          </w:p>
        </w:tc>
      </w:tr>
      <w:tr w14:paraId="5AC7C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AD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C2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7C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87C8">
            <w:pPr>
              <w:jc w:val="center"/>
            </w:pPr>
            <w:r>
              <w:rPr>
                <w:rFonts w:ascii="宋体" w:hAnsi="宋体" w:eastAsia="宋体"/>
                <w:sz w:val="16"/>
              </w:rPr>
              <w:t>每</w:t>
            </w:r>
            <w:r>
              <w:rPr>
                <w:rFonts w:hint="eastAsia" w:ascii="宋体" w:hAnsi="宋体"/>
                <w:sz w:val="16"/>
                <w:lang w:eastAsia="zh-CN"/>
              </w:rPr>
              <w:t>平方</w:t>
            </w:r>
            <w:r>
              <w:rPr>
                <w:rFonts w:ascii="宋体" w:hAnsi="宋体" w:eastAsia="宋体"/>
                <w:sz w:val="16"/>
              </w:rPr>
              <w:t>米土地确权需缴纳土地出让金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CC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14E8">
            <w:pPr>
              <w:jc w:val="center"/>
            </w:pPr>
            <w:r>
              <w:rPr>
                <w:rFonts w:ascii="宋体" w:hAnsi="宋体" w:eastAsia="宋体"/>
                <w:sz w:val="16"/>
              </w:rPr>
              <w:t>&lt;=78.73万元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D30">
            <w:pPr>
              <w:jc w:val="center"/>
            </w:pPr>
            <w:r>
              <w:rPr>
                <w:rFonts w:ascii="宋体" w:hAnsi="宋体" w:eastAsia="宋体"/>
                <w:sz w:val="16"/>
              </w:rPr>
              <w:t>78.73万元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6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2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5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9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2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0E7C">
            <w:pPr>
              <w:jc w:val="center"/>
            </w:pPr>
          </w:p>
        </w:tc>
      </w:tr>
      <w:tr w14:paraId="006ED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A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C9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8EB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1EFA">
            <w:pPr>
              <w:jc w:val="center"/>
            </w:pPr>
            <w:r>
              <w:rPr>
                <w:rFonts w:ascii="宋体" w:hAnsi="宋体" w:eastAsia="宋体"/>
                <w:sz w:val="16"/>
              </w:rPr>
              <w:t>增加国有企业经济效益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FA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14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A8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8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F4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E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1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26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4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E30F">
            <w:pPr>
              <w:jc w:val="center"/>
            </w:pPr>
          </w:p>
        </w:tc>
      </w:tr>
      <w:tr w14:paraId="36B9F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657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C4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92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58A4">
            <w:pPr>
              <w:jc w:val="center"/>
            </w:pPr>
            <w:r>
              <w:rPr>
                <w:rFonts w:ascii="宋体" w:hAnsi="宋体" w:eastAsia="宋体"/>
                <w:sz w:val="16"/>
              </w:rPr>
              <w:t>天禾粮油满意度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6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E1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C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1F7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B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5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7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87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6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4160">
            <w:pPr>
              <w:jc w:val="center"/>
            </w:pPr>
            <w:r>
              <w:rPr>
                <w:rFonts w:ascii="宋体" w:hAnsi="宋体" w:eastAsia="宋体"/>
                <w:sz w:val="16"/>
              </w:rPr>
              <w:t>严格按照预定计划推进土地变性确权工作，在规定时间内完成了各项审批流程、手续办理，使粮食购销企业土地产权得到明确，达到了预期目标。</w:t>
            </w:r>
          </w:p>
        </w:tc>
      </w:tr>
      <w:tr w14:paraId="14D1F2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9DD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5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4A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7EC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6C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25A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E9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83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6BC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684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87DE8"/>
        </w:tc>
      </w:tr>
    </w:tbl>
    <w:p w14:paraId="5026EE0E">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7"/>
        <w:gridCol w:w="615"/>
        <w:gridCol w:w="936"/>
        <w:gridCol w:w="776"/>
        <w:gridCol w:w="622"/>
        <w:gridCol w:w="614"/>
        <w:gridCol w:w="606"/>
        <w:gridCol w:w="606"/>
        <w:gridCol w:w="607"/>
        <w:gridCol w:w="607"/>
        <w:gridCol w:w="630"/>
      </w:tblGrid>
      <w:tr w14:paraId="5CC6DD7C">
        <w:tblPrEx>
          <w:tblCellMar>
            <w:top w:w="0" w:type="dxa"/>
            <w:left w:w="108" w:type="dxa"/>
            <w:bottom w:w="0" w:type="dxa"/>
            <w:right w:w="108" w:type="dxa"/>
          </w:tblCellMar>
        </w:tblPrEx>
        <w:tc>
          <w:tcPr>
            <w:tcW w:w="8848" w:type="dxa"/>
            <w:gridSpan w:val="14"/>
            <w:vAlign w:val="center"/>
          </w:tcPr>
          <w:p w14:paraId="1464E200">
            <w:pPr>
              <w:jc w:val="center"/>
            </w:pPr>
            <w:r>
              <w:rPr>
                <w:rFonts w:ascii="宋体" w:hAnsi="宋体" w:eastAsia="宋体"/>
                <w:sz w:val="24"/>
              </w:rPr>
              <w:t>项目支出绩效自评表</w:t>
            </w:r>
          </w:p>
        </w:tc>
      </w:tr>
      <w:tr w14:paraId="3230927E">
        <w:tblPrEx>
          <w:tblCellMar>
            <w:top w:w="0" w:type="dxa"/>
            <w:left w:w="108" w:type="dxa"/>
            <w:bottom w:w="0" w:type="dxa"/>
            <w:right w:w="108" w:type="dxa"/>
          </w:tblCellMar>
        </w:tblPrEx>
        <w:tc>
          <w:tcPr>
            <w:tcW w:w="8848" w:type="dxa"/>
            <w:gridSpan w:val="14"/>
            <w:vAlign w:val="center"/>
          </w:tcPr>
          <w:p w14:paraId="030562BE">
            <w:pPr>
              <w:jc w:val="center"/>
            </w:pPr>
            <w:r>
              <w:rPr>
                <w:rFonts w:ascii="宋体" w:hAnsi="宋体" w:eastAsia="宋体"/>
                <w:sz w:val="24"/>
              </w:rPr>
              <w:t>(2024年度)</w:t>
            </w:r>
          </w:p>
        </w:tc>
      </w:tr>
      <w:tr w14:paraId="4F7E1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D1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3BEB4F">
            <w:pPr>
              <w:jc w:val="center"/>
            </w:pPr>
            <w:r>
              <w:rPr>
                <w:rFonts w:ascii="宋体" w:hAnsi="宋体" w:eastAsia="宋体"/>
                <w:sz w:val="16"/>
              </w:rPr>
              <w:t>国有资产盘活相关费用（消化暂付款）</w:t>
            </w:r>
          </w:p>
        </w:tc>
      </w:tr>
      <w:tr w14:paraId="3B502A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D8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3B39E">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E57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A0453">
            <w:pPr>
              <w:jc w:val="center"/>
            </w:pPr>
            <w:r>
              <w:rPr>
                <w:rFonts w:ascii="宋体" w:hAnsi="宋体" w:eastAsia="宋体"/>
                <w:sz w:val="16"/>
              </w:rPr>
              <w:t>特克斯县财政局</w:t>
            </w:r>
          </w:p>
        </w:tc>
      </w:tr>
      <w:tr w14:paraId="342DEC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C3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69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EB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A7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197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F3F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0B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5203">
            <w:pPr>
              <w:jc w:val="center"/>
            </w:pPr>
            <w:r>
              <w:rPr>
                <w:rFonts w:ascii="宋体" w:hAnsi="宋体" w:eastAsia="宋体"/>
                <w:sz w:val="16"/>
              </w:rPr>
              <w:t>得分</w:t>
            </w:r>
          </w:p>
        </w:tc>
      </w:tr>
      <w:tr w14:paraId="2D2E5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6BF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60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9E1E">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D4EA">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BC324">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EA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0B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1334">
            <w:pPr>
              <w:jc w:val="center"/>
            </w:pPr>
            <w:r>
              <w:rPr>
                <w:rFonts w:ascii="宋体" w:hAnsi="宋体" w:eastAsia="宋体"/>
                <w:sz w:val="16"/>
              </w:rPr>
              <w:t>10.00</w:t>
            </w:r>
          </w:p>
        </w:tc>
      </w:tr>
      <w:tr w14:paraId="17A4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789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C0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701D">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934A">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17FA3">
            <w:pPr>
              <w:jc w:val="center"/>
            </w:pPr>
            <w:r>
              <w:rPr>
                <w:rFonts w:ascii="宋体" w:hAnsi="宋体" w:eastAsia="宋体"/>
                <w:sz w:val="16"/>
              </w:rPr>
              <w:t>1,755.91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B3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67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937B">
            <w:pPr>
              <w:jc w:val="center"/>
            </w:pPr>
            <w:r>
              <w:rPr>
                <w:rFonts w:ascii="宋体" w:hAnsi="宋体" w:eastAsia="宋体"/>
                <w:sz w:val="16"/>
              </w:rPr>
              <w:t>—</w:t>
            </w:r>
          </w:p>
        </w:tc>
      </w:tr>
      <w:tr w14:paraId="4D0CC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A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2D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7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F6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0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92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ED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D761">
            <w:pPr>
              <w:jc w:val="center"/>
            </w:pPr>
            <w:r>
              <w:rPr>
                <w:rFonts w:ascii="宋体" w:hAnsi="宋体" w:eastAsia="宋体"/>
                <w:sz w:val="16"/>
              </w:rPr>
              <w:t>—</w:t>
            </w:r>
          </w:p>
        </w:tc>
      </w:tr>
      <w:tr w14:paraId="42939B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CF1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89F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90346">
            <w:pPr>
              <w:jc w:val="center"/>
            </w:pPr>
            <w:r>
              <w:rPr>
                <w:rFonts w:ascii="宋体" w:hAnsi="宋体" w:eastAsia="宋体"/>
                <w:sz w:val="16"/>
              </w:rPr>
              <w:t>实际完成情况</w:t>
            </w:r>
          </w:p>
        </w:tc>
      </w:tr>
      <w:tr w14:paraId="2C66D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AE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CB084">
            <w:pPr>
              <w:jc w:val="both"/>
            </w:pPr>
            <w:r>
              <w:rPr>
                <w:rFonts w:ascii="宋体" w:hAnsi="宋体" w:eastAsia="宋体"/>
                <w:sz w:val="16"/>
              </w:rPr>
              <w:t>有效盘活存量资产，形成存量资产和新增投资的良性循环，提升基础设施运营管理水平、拓宽社会投资渠道、合理扩大有效投资以及降低政府债务风险、降低企业资产负债</w:t>
            </w:r>
            <w:r>
              <w:rPr>
                <w:rFonts w:hint="eastAsia" w:ascii="宋体" w:hAnsi="宋体"/>
                <w:sz w:val="16"/>
                <w:lang w:eastAsia="zh-CN"/>
              </w:rPr>
              <w:t>水平</w:t>
            </w:r>
            <w:r>
              <w:rPr>
                <w:rFonts w:ascii="宋体" w:hAnsi="宋体" w:eastAsia="宋体"/>
                <w:sz w:val="16"/>
              </w:rPr>
              <w:t>，有效解决债权清偿历史遗留问题，依法保护国有资产不受损失。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4657F">
            <w:pPr>
              <w:jc w:val="both"/>
            </w:pPr>
            <w:r>
              <w:rPr>
                <w:rFonts w:ascii="宋体" w:hAnsi="宋体" w:eastAsia="宋体"/>
                <w:sz w:val="16"/>
              </w:rPr>
              <w:t>提高了资产的使用管理水平，实现资产增值，完善资产管理，支持企业发展，</w:t>
            </w:r>
          </w:p>
        </w:tc>
      </w:tr>
      <w:tr w14:paraId="50696C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DDE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B6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4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BF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90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5C7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DA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12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E0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A9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41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EA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E0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D453">
            <w:pPr>
              <w:jc w:val="center"/>
            </w:pPr>
            <w:r>
              <w:rPr>
                <w:rFonts w:ascii="宋体" w:hAnsi="宋体" w:eastAsia="宋体"/>
                <w:sz w:val="16"/>
              </w:rPr>
              <w:t>偏差原因分析及改进措施</w:t>
            </w:r>
          </w:p>
        </w:tc>
      </w:tr>
      <w:tr w14:paraId="154442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F72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252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3B4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6895">
            <w:pPr>
              <w:jc w:val="center"/>
            </w:pPr>
            <w:r>
              <w:rPr>
                <w:rFonts w:ascii="宋体" w:hAnsi="宋体" w:eastAsia="宋体"/>
                <w:sz w:val="16"/>
              </w:rPr>
              <w:t>国有企业户数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4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ECB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DF1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7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F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B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3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1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6BC7">
            <w:pPr>
              <w:jc w:val="center"/>
            </w:pPr>
          </w:p>
        </w:tc>
      </w:tr>
      <w:tr w14:paraId="1B2B9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E5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76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D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D9A1">
            <w:pPr>
              <w:jc w:val="center"/>
            </w:pPr>
            <w:r>
              <w:rPr>
                <w:rFonts w:ascii="宋体" w:hAnsi="宋体" w:eastAsia="宋体"/>
                <w:sz w:val="16"/>
              </w:rPr>
              <w:t>固定资产盘活数量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2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A21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B9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F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D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1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4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AB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8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BB38">
            <w:pPr>
              <w:jc w:val="center"/>
            </w:pPr>
          </w:p>
        </w:tc>
      </w:tr>
      <w:tr w14:paraId="74414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4A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D9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07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0F0A">
            <w:pPr>
              <w:jc w:val="center"/>
            </w:pPr>
            <w:r>
              <w:rPr>
                <w:rFonts w:ascii="宋体" w:hAnsi="宋体" w:eastAsia="宋体"/>
                <w:sz w:val="16"/>
              </w:rPr>
              <w:t>壮大国有资产规模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C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04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12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3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8E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6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8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AA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D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0D47">
            <w:pPr>
              <w:jc w:val="center"/>
            </w:pPr>
          </w:p>
        </w:tc>
      </w:tr>
      <w:tr w14:paraId="3DB44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D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01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A1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D1B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90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F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4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8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F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8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1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A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F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A077">
            <w:pPr>
              <w:jc w:val="center"/>
            </w:pPr>
          </w:p>
        </w:tc>
      </w:tr>
      <w:tr w14:paraId="029E6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73D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E04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F9A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F327">
            <w:pPr>
              <w:jc w:val="center"/>
            </w:pPr>
            <w:r>
              <w:rPr>
                <w:rFonts w:ascii="宋体" w:hAnsi="宋体" w:eastAsia="宋体"/>
                <w:sz w:val="16"/>
              </w:rPr>
              <w:t>支付相关税费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2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C8E8">
            <w:pPr>
              <w:jc w:val="center"/>
            </w:pPr>
            <w:r>
              <w:rPr>
                <w:rFonts w:ascii="宋体" w:hAnsi="宋体" w:eastAsia="宋体"/>
                <w:sz w:val="16"/>
              </w:rPr>
              <w:t>&lt;=1065.91万元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AF66">
            <w:pPr>
              <w:jc w:val="center"/>
            </w:pPr>
            <w:r>
              <w:rPr>
                <w:rFonts w:ascii="宋体" w:hAnsi="宋体" w:eastAsia="宋体"/>
                <w:sz w:val="16"/>
              </w:rPr>
              <w:t>1065.91万元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B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B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9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6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E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3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F3CB">
            <w:pPr>
              <w:jc w:val="center"/>
            </w:pPr>
          </w:p>
        </w:tc>
      </w:tr>
      <w:tr w14:paraId="6FD64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F0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34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76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4BA6">
            <w:pPr>
              <w:jc w:val="center"/>
            </w:pPr>
            <w:r>
              <w:rPr>
                <w:rFonts w:ascii="宋体" w:hAnsi="宋体" w:eastAsia="宋体"/>
                <w:sz w:val="16"/>
              </w:rPr>
              <w:t>资产转让费用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2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4D9F">
            <w:pPr>
              <w:jc w:val="center"/>
            </w:pPr>
            <w:r>
              <w:rPr>
                <w:rFonts w:ascii="宋体" w:hAnsi="宋体" w:eastAsia="宋体"/>
                <w:sz w:val="16"/>
              </w:rPr>
              <w:t>&lt;=690万元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532D">
            <w:pPr>
              <w:jc w:val="center"/>
            </w:pPr>
            <w:r>
              <w:rPr>
                <w:rFonts w:ascii="宋体" w:hAnsi="宋体" w:eastAsia="宋体"/>
                <w:sz w:val="16"/>
              </w:rPr>
              <w:t>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5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3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2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B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7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DE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343D">
            <w:pPr>
              <w:jc w:val="center"/>
            </w:pPr>
          </w:p>
        </w:tc>
      </w:tr>
      <w:tr w14:paraId="7B4E9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A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1C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52B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2FC9">
            <w:pPr>
              <w:jc w:val="center"/>
            </w:pPr>
            <w:r>
              <w:rPr>
                <w:rFonts w:ascii="宋体" w:hAnsi="宋体" w:eastAsia="宋体"/>
                <w:sz w:val="16"/>
              </w:rPr>
              <w:t>增加国有企业资产收入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6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49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30B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2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AE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E6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9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58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5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94D0">
            <w:pPr>
              <w:jc w:val="center"/>
            </w:pPr>
          </w:p>
        </w:tc>
      </w:tr>
      <w:tr w14:paraId="54B5A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51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B7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3D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2BF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2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1F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D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6A0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E0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C46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AF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9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0C63">
            <w:pPr>
              <w:jc w:val="center"/>
            </w:pPr>
            <w:r>
              <w:rPr>
                <w:rFonts w:ascii="宋体" w:hAnsi="宋体" w:eastAsia="宋体"/>
                <w:sz w:val="16"/>
              </w:rPr>
              <w:t>资产盘活的价值合理、操作流程规范，社会效益较好。</w:t>
            </w:r>
          </w:p>
        </w:tc>
      </w:tr>
      <w:tr w14:paraId="1F247D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2D8F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8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C1C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3A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00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168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FF3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43F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117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F0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12612"/>
        </w:tc>
      </w:tr>
    </w:tbl>
    <w:p w14:paraId="63D67F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EA4F30F">
        <w:tblPrEx>
          <w:tblCellMar>
            <w:top w:w="0" w:type="dxa"/>
            <w:left w:w="108" w:type="dxa"/>
            <w:bottom w:w="0" w:type="dxa"/>
            <w:right w:w="108" w:type="dxa"/>
          </w:tblCellMar>
        </w:tblPrEx>
        <w:tc>
          <w:tcPr>
            <w:tcW w:w="8848" w:type="dxa"/>
            <w:gridSpan w:val="14"/>
            <w:vAlign w:val="center"/>
          </w:tcPr>
          <w:p w14:paraId="058F2974">
            <w:pPr>
              <w:jc w:val="center"/>
            </w:pPr>
            <w:r>
              <w:rPr>
                <w:rFonts w:ascii="宋体" w:hAnsi="宋体" w:eastAsia="宋体"/>
                <w:sz w:val="24"/>
              </w:rPr>
              <w:t>项目支出绩效自评表</w:t>
            </w:r>
          </w:p>
        </w:tc>
      </w:tr>
      <w:tr w14:paraId="376E5699">
        <w:tblPrEx>
          <w:tblCellMar>
            <w:top w:w="0" w:type="dxa"/>
            <w:left w:w="108" w:type="dxa"/>
            <w:bottom w:w="0" w:type="dxa"/>
            <w:right w:w="108" w:type="dxa"/>
          </w:tblCellMar>
        </w:tblPrEx>
        <w:tc>
          <w:tcPr>
            <w:tcW w:w="8848" w:type="dxa"/>
            <w:gridSpan w:val="14"/>
            <w:vAlign w:val="center"/>
          </w:tcPr>
          <w:p w14:paraId="58809E90">
            <w:pPr>
              <w:jc w:val="center"/>
            </w:pPr>
            <w:r>
              <w:rPr>
                <w:rFonts w:ascii="宋体" w:hAnsi="宋体" w:eastAsia="宋体"/>
                <w:sz w:val="24"/>
              </w:rPr>
              <w:t>(2024年度)</w:t>
            </w:r>
          </w:p>
        </w:tc>
      </w:tr>
      <w:tr w14:paraId="4513C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7A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5E0D3">
            <w:pPr>
              <w:jc w:val="center"/>
            </w:pPr>
            <w:r>
              <w:rPr>
                <w:rFonts w:ascii="宋体" w:hAnsi="宋体" w:eastAsia="宋体"/>
                <w:sz w:val="16"/>
              </w:rPr>
              <w:t>行政事业</w:t>
            </w:r>
            <w:r>
              <w:rPr>
                <w:rFonts w:hint="eastAsia" w:ascii="宋体" w:hAnsi="宋体"/>
                <w:sz w:val="16"/>
                <w:lang w:eastAsia="zh-CN"/>
              </w:rPr>
              <w:t>单位</w:t>
            </w:r>
            <w:r>
              <w:rPr>
                <w:rFonts w:ascii="宋体" w:hAnsi="宋体" w:eastAsia="宋体"/>
                <w:sz w:val="16"/>
              </w:rPr>
              <w:t>财政网络、信息化运行费用及专项经费（年初本级）</w:t>
            </w:r>
          </w:p>
        </w:tc>
      </w:tr>
      <w:tr w14:paraId="2179A5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06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26B99">
            <w:pPr>
              <w:jc w:val="center"/>
            </w:pPr>
            <w:r>
              <w:rPr>
                <w:rFonts w:ascii="宋体" w:hAnsi="宋体" w:eastAsia="宋体"/>
                <w:sz w:val="16"/>
              </w:rPr>
              <w:t>特克斯县财政局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067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E15D8">
            <w:pPr>
              <w:jc w:val="center"/>
            </w:pPr>
            <w:r>
              <w:rPr>
                <w:rFonts w:ascii="宋体" w:hAnsi="宋体" w:eastAsia="宋体"/>
                <w:sz w:val="16"/>
              </w:rPr>
              <w:t>特克斯县财政局</w:t>
            </w:r>
          </w:p>
        </w:tc>
      </w:tr>
      <w:tr w14:paraId="1C4F6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201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BA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08A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D7B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D1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E2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BB2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837D">
            <w:pPr>
              <w:jc w:val="center"/>
            </w:pPr>
            <w:r>
              <w:rPr>
                <w:rFonts w:ascii="宋体" w:hAnsi="宋体" w:eastAsia="宋体"/>
                <w:sz w:val="16"/>
              </w:rPr>
              <w:t>得分</w:t>
            </w:r>
          </w:p>
        </w:tc>
      </w:tr>
      <w:tr w14:paraId="5CFEA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C2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88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CB1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0C4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725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1D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2A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F0DE">
            <w:pPr>
              <w:jc w:val="center"/>
            </w:pPr>
            <w:r>
              <w:rPr>
                <w:rFonts w:ascii="宋体" w:hAnsi="宋体" w:eastAsia="宋体"/>
                <w:sz w:val="16"/>
              </w:rPr>
              <w:t>10.00</w:t>
            </w:r>
          </w:p>
        </w:tc>
      </w:tr>
      <w:tr w14:paraId="4FE6C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A81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E2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79A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361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788C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D6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2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D6DF">
            <w:pPr>
              <w:jc w:val="center"/>
            </w:pPr>
            <w:r>
              <w:rPr>
                <w:rFonts w:ascii="宋体" w:hAnsi="宋体" w:eastAsia="宋体"/>
                <w:sz w:val="16"/>
              </w:rPr>
              <w:t>—</w:t>
            </w:r>
          </w:p>
        </w:tc>
      </w:tr>
      <w:tr w14:paraId="37350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E6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6A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B7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0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C9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BA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7D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CB5E">
            <w:pPr>
              <w:jc w:val="center"/>
            </w:pPr>
            <w:r>
              <w:rPr>
                <w:rFonts w:ascii="宋体" w:hAnsi="宋体" w:eastAsia="宋体"/>
                <w:sz w:val="16"/>
              </w:rPr>
              <w:t>—</w:t>
            </w:r>
          </w:p>
        </w:tc>
      </w:tr>
      <w:tr w14:paraId="6A72C5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9E9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545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32E1D">
            <w:pPr>
              <w:jc w:val="center"/>
            </w:pPr>
            <w:r>
              <w:rPr>
                <w:rFonts w:ascii="宋体" w:hAnsi="宋体" w:eastAsia="宋体"/>
                <w:sz w:val="16"/>
              </w:rPr>
              <w:t>实际完成情况</w:t>
            </w:r>
          </w:p>
        </w:tc>
      </w:tr>
      <w:tr w14:paraId="2C20E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23E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7671B">
            <w:pPr>
              <w:jc w:val="both"/>
            </w:pPr>
            <w:r>
              <w:rPr>
                <w:rFonts w:ascii="宋体" w:hAnsi="宋体" w:eastAsia="宋体"/>
                <w:sz w:val="16"/>
              </w:rPr>
              <w:t>1.政府采购云平台是通过云计算和大数据技术，实现政府采购交易和管理一体化，以及信息资源共享共用，融入现代信息技术，通过线上线下相结合的方式实现项目采购，促进政府采购更加阳光透明、廉洁高效</w:t>
            </w:r>
            <w:r>
              <w:rPr>
                <w:rFonts w:hint="eastAsia" w:ascii="宋体" w:hAnsi="宋体"/>
                <w:sz w:val="16"/>
                <w:lang w:eastAsia="zh-CN"/>
              </w:rPr>
              <w:t>；</w:t>
            </w:r>
            <w:r>
              <w:rPr>
                <w:rFonts w:ascii="宋体" w:hAnsi="宋体" w:eastAsia="宋体"/>
                <w:sz w:val="16"/>
              </w:rPr>
              <w:t>2.财政预算管理一体化平台是依托系统化思维整合预算管理全流程，通过建立各级财政统一的业务管理规范，将管理规则嵌入信息系统，全面提高各级预算管理规范化、标准化和自动化水平，实现基础信息收集、部门预算编制、部门预算执行和会计核算等业务全部纳入该系统，使财政预算管理各环节业务数据标准统一，让各部门对各项财政业务数据看</w:t>
            </w:r>
            <w:r>
              <w:rPr>
                <w:rFonts w:hint="eastAsia" w:ascii="宋体" w:hAnsi="宋体"/>
                <w:sz w:val="16"/>
                <w:lang w:eastAsia="zh-CN"/>
              </w:rPr>
              <w:t>得</w:t>
            </w:r>
            <w:r>
              <w:rPr>
                <w:rFonts w:ascii="宋体" w:hAnsi="宋体" w:eastAsia="宋体"/>
                <w:sz w:val="16"/>
              </w:rPr>
              <w:t>准、用</w:t>
            </w:r>
            <w:r>
              <w:rPr>
                <w:rFonts w:hint="eastAsia" w:ascii="宋体" w:hAnsi="宋体"/>
                <w:sz w:val="16"/>
                <w:lang w:eastAsia="zh-CN"/>
              </w:rPr>
              <w:t>得</w:t>
            </w:r>
            <w:r>
              <w:rPr>
                <w:rFonts w:ascii="宋体" w:hAnsi="宋体" w:eastAsia="宋体"/>
                <w:sz w:val="16"/>
              </w:rPr>
              <w:t>对，看</w:t>
            </w:r>
            <w:r>
              <w:rPr>
                <w:rFonts w:hint="eastAsia" w:ascii="宋体" w:hAnsi="宋体"/>
                <w:sz w:val="16"/>
                <w:lang w:eastAsia="zh-CN"/>
              </w:rPr>
              <w:t>得</w:t>
            </w:r>
            <w:r>
              <w:rPr>
                <w:rFonts w:ascii="宋体" w:hAnsi="宋体" w:eastAsia="宋体"/>
                <w:sz w:val="16"/>
              </w:rPr>
              <w:t>安全、用</w:t>
            </w:r>
            <w:r>
              <w:rPr>
                <w:rFonts w:hint="eastAsia" w:ascii="宋体" w:hAnsi="宋体"/>
                <w:sz w:val="16"/>
                <w:lang w:eastAsia="zh-CN"/>
              </w:rPr>
              <w:t>得</w:t>
            </w:r>
            <w:r>
              <w:rPr>
                <w:rFonts w:ascii="宋体" w:hAnsi="宋体" w:eastAsia="宋体"/>
                <w:sz w:val="16"/>
              </w:rPr>
              <w:t>放心。最终实现财政部与</w:t>
            </w:r>
            <w:r>
              <w:rPr>
                <w:rFonts w:hint="eastAsia" w:ascii="宋体" w:hAnsi="宋体"/>
                <w:sz w:val="16"/>
                <w:lang w:eastAsia="zh-CN"/>
              </w:rPr>
              <w:t>单位</w:t>
            </w:r>
            <w:r>
              <w:rPr>
                <w:rFonts w:ascii="宋体" w:hAnsi="宋体" w:eastAsia="宋体"/>
                <w:sz w:val="16"/>
              </w:rPr>
              <w:t>主管部门共享共用财务数据，引导部门在预算管理各方面更规范、更高效</w:t>
            </w:r>
            <w:r>
              <w:rPr>
                <w:rFonts w:hint="eastAsia" w:ascii="宋体" w:hAnsi="宋体"/>
                <w:sz w:val="16"/>
                <w:lang w:eastAsia="zh-CN"/>
              </w:rPr>
              <w:t>；</w:t>
            </w:r>
            <w:r>
              <w:rPr>
                <w:rFonts w:ascii="宋体" w:hAnsi="宋体" w:eastAsia="宋体"/>
                <w:sz w:val="16"/>
              </w:rPr>
              <w:t>3.财政各类网络系统自搭建以来，</w:t>
            </w:r>
            <w:r>
              <w:rPr>
                <w:rFonts w:hint="eastAsia" w:ascii="宋体" w:hAnsi="宋体"/>
                <w:sz w:val="16"/>
                <w:lang w:eastAsia="zh-CN"/>
              </w:rPr>
              <w:t>承载</w:t>
            </w:r>
            <w:r>
              <w:rPr>
                <w:rFonts w:ascii="宋体" w:hAnsi="宋体" w:eastAsia="宋体"/>
                <w:sz w:val="16"/>
              </w:rPr>
              <w:t>着全县的财政业务及资金拨付网络服务工作，网络服务涉及全县县直各预算</w:t>
            </w:r>
            <w:r>
              <w:rPr>
                <w:rFonts w:hint="eastAsia" w:ascii="宋体" w:hAnsi="宋体"/>
                <w:sz w:val="16"/>
                <w:lang w:eastAsia="zh-CN"/>
              </w:rPr>
              <w:t>单位</w:t>
            </w:r>
            <w:r>
              <w:rPr>
                <w:rFonts w:ascii="宋体" w:hAnsi="宋体" w:eastAsia="宋体"/>
                <w:sz w:val="16"/>
              </w:rPr>
              <w:t>和各乡镇（场），为确保2024年网络正常运转，更好</w:t>
            </w:r>
            <w:r>
              <w:rPr>
                <w:rFonts w:hint="eastAsia" w:ascii="宋体" w:hAnsi="宋体"/>
                <w:sz w:val="16"/>
                <w:lang w:eastAsia="zh-CN"/>
              </w:rPr>
              <w:t>地</w:t>
            </w:r>
            <w:r>
              <w:rPr>
                <w:rFonts w:ascii="宋体" w:hAnsi="宋体" w:eastAsia="宋体"/>
                <w:sz w:val="16"/>
              </w:rPr>
              <w:t>服务于财政各项业务基础工作，财政网络运行维护不少于2次，有效保障了本县财政业务和财政专网的安全稳定运行，使各部门</w:t>
            </w:r>
            <w:r>
              <w:rPr>
                <w:rFonts w:hint="eastAsia" w:ascii="宋体" w:hAnsi="宋体"/>
                <w:sz w:val="16"/>
                <w:lang w:eastAsia="zh-CN"/>
              </w:rPr>
              <w:t>单位</w:t>
            </w:r>
            <w:r>
              <w:rPr>
                <w:rFonts w:ascii="宋体" w:hAnsi="宋体" w:eastAsia="宋体"/>
                <w:sz w:val="16"/>
              </w:rPr>
              <w:t>正常开展各项财务工作</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07A5AD">
            <w:pPr>
              <w:jc w:val="both"/>
            </w:pPr>
            <w:r>
              <w:rPr>
                <w:rFonts w:ascii="宋体" w:hAnsi="宋体" w:eastAsia="宋体"/>
                <w:sz w:val="16"/>
              </w:rPr>
              <w:t>通过线上线下相结合的方式实现项目采购，促进政府采购更加阳光透明、廉洁高效财政预算管理一体化平台是依托系统化思维整合预算管理全流程，通过建立各级财政统一的业务管理规范，将管理规则嵌入信息系统，全面提高各级预算管理规范化、标准化和自动化水平，实现基础信息收集、部门预算编制、部门预算执行和会计核算等业务全部纳入该系统，使财政预算管理各环节业务数据标准统一，让各部门对各项财政业务数据</w:t>
            </w:r>
            <w:r>
              <w:rPr>
                <w:rFonts w:hint="eastAsia" w:ascii="宋体" w:hAnsi="宋体"/>
                <w:sz w:val="16"/>
                <w:lang w:eastAsia="zh-CN"/>
              </w:rPr>
              <w:t>看得</w:t>
            </w:r>
            <w:r>
              <w:rPr>
                <w:rFonts w:ascii="宋体" w:hAnsi="宋体" w:eastAsia="宋体"/>
                <w:sz w:val="16"/>
              </w:rPr>
              <w:t>准、</w:t>
            </w:r>
            <w:r>
              <w:rPr>
                <w:rFonts w:hint="eastAsia" w:ascii="宋体" w:hAnsi="宋体"/>
                <w:sz w:val="16"/>
                <w:lang w:eastAsia="zh-CN"/>
              </w:rPr>
              <w:t>用得</w:t>
            </w:r>
            <w:r>
              <w:rPr>
                <w:rFonts w:ascii="宋体" w:hAnsi="宋体" w:eastAsia="宋体"/>
                <w:sz w:val="16"/>
              </w:rPr>
              <w:t>对，看</w:t>
            </w:r>
            <w:r>
              <w:rPr>
                <w:rFonts w:hint="eastAsia" w:ascii="宋体" w:hAnsi="宋体"/>
                <w:sz w:val="16"/>
                <w:lang w:eastAsia="zh-CN"/>
              </w:rPr>
              <w:t>得</w:t>
            </w:r>
            <w:r>
              <w:rPr>
                <w:rFonts w:ascii="宋体" w:hAnsi="宋体" w:eastAsia="宋体"/>
                <w:sz w:val="16"/>
              </w:rPr>
              <w:t>安全、</w:t>
            </w:r>
            <w:r>
              <w:rPr>
                <w:rFonts w:hint="eastAsia" w:ascii="宋体" w:hAnsi="宋体"/>
                <w:sz w:val="16"/>
                <w:lang w:eastAsia="zh-CN"/>
              </w:rPr>
              <w:t>用得</w:t>
            </w:r>
            <w:r>
              <w:rPr>
                <w:rFonts w:ascii="宋体" w:hAnsi="宋体" w:eastAsia="宋体"/>
                <w:sz w:val="16"/>
              </w:rPr>
              <w:t>放心。最终实现财政部与</w:t>
            </w:r>
            <w:r>
              <w:rPr>
                <w:rFonts w:hint="eastAsia" w:ascii="宋体" w:hAnsi="宋体"/>
                <w:sz w:val="16"/>
                <w:lang w:eastAsia="zh-CN"/>
              </w:rPr>
              <w:t>单位</w:t>
            </w:r>
            <w:r>
              <w:rPr>
                <w:rFonts w:ascii="宋体" w:hAnsi="宋体" w:eastAsia="宋体"/>
                <w:sz w:val="16"/>
              </w:rPr>
              <w:t>主管部门共享共用财务数据，引导部门在预算管理各方面更规范、更高效</w:t>
            </w:r>
            <w:r>
              <w:rPr>
                <w:rFonts w:hint="eastAsia" w:ascii="宋体" w:hAnsi="宋体"/>
                <w:sz w:val="16"/>
                <w:lang w:eastAsia="zh-CN"/>
              </w:rPr>
              <w:t>；</w:t>
            </w:r>
            <w:r>
              <w:rPr>
                <w:rFonts w:ascii="宋体" w:hAnsi="宋体" w:eastAsia="宋体"/>
                <w:sz w:val="16"/>
              </w:rPr>
              <w:t>财政各类网络系统自搭建以来，</w:t>
            </w:r>
            <w:r>
              <w:rPr>
                <w:rFonts w:hint="eastAsia" w:ascii="宋体" w:hAnsi="宋体"/>
                <w:sz w:val="16"/>
                <w:lang w:eastAsia="zh-CN"/>
              </w:rPr>
              <w:t>承载</w:t>
            </w:r>
            <w:r>
              <w:rPr>
                <w:rFonts w:ascii="宋体" w:hAnsi="宋体" w:eastAsia="宋体"/>
                <w:sz w:val="16"/>
              </w:rPr>
              <w:t>着全县的财政业务及资金拨付网络服务工作，网络服务涉及全县县直各预算</w:t>
            </w:r>
            <w:r>
              <w:rPr>
                <w:rFonts w:hint="eastAsia" w:ascii="宋体" w:hAnsi="宋体"/>
                <w:sz w:val="16"/>
                <w:lang w:eastAsia="zh-CN"/>
              </w:rPr>
              <w:t>单位</w:t>
            </w:r>
            <w:r>
              <w:rPr>
                <w:rFonts w:ascii="宋体" w:hAnsi="宋体" w:eastAsia="宋体"/>
                <w:sz w:val="16"/>
              </w:rPr>
              <w:t>和各乡镇（场），为确保2023年网络正常运转，</w:t>
            </w:r>
            <w:r>
              <w:rPr>
                <w:rFonts w:hint="eastAsia" w:ascii="宋体" w:hAnsi="宋体"/>
                <w:sz w:val="16"/>
                <w:lang w:eastAsia="zh-CN"/>
              </w:rPr>
              <w:t>更好地</w:t>
            </w:r>
            <w:r>
              <w:rPr>
                <w:rFonts w:ascii="宋体" w:hAnsi="宋体" w:eastAsia="宋体"/>
                <w:sz w:val="16"/>
              </w:rPr>
              <w:t>服务于财政各项业务基础工作，财政网络运行维护不少于2次，有效保障了本县财政业务和财政专网的安全稳定运行，使各部门</w:t>
            </w:r>
            <w:r>
              <w:rPr>
                <w:rFonts w:hint="eastAsia" w:ascii="宋体" w:hAnsi="宋体"/>
                <w:sz w:val="16"/>
                <w:lang w:eastAsia="zh-CN"/>
              </w:rPr>
              <w:t>单位</w:t>
            </w:r>
            <w:r>
              <w:rPr>
                <w:rFonts w:ascii="宋体" w:hAnsi="宋体" w:eastAsia="宋体"/>
                <w:sz w:val="16"/>
              </w:rPr>
              <w:t>正常开展各项财务工作</w:t>
            </w:r>
            <w:r>
              <w:rPr>
                <w:rFonts w:hint="eastAsia" w:ascii="宋体" w:hAnsi="宋体"/>
                <w:sz w:val="16"/>
                <w:lang w:eastAsia="zh-CN"/>
              </w:rPr>
              <w:t>；</w:t>
            </w:r>
            <w:r>
              <w:rPr>
                <w:rFonts w:ascii="宋体" w:hAnsi="宋体" w:eastAsia="宋体"/>
                <w:sz w:val="16"/>
              </w:rPr>
              <w:t>财政各类专用材料的征订，保障了全县行政事业</w:t>
            </w:r>
            <w:r>
              <w:rPr>
                <w:rFonts w:hint="eastAsia" w:ascii="宋体" w:hAnsi="宋体"/>
                <w:sz w:val="16"/>
                <w:lang w:eastAsia="zh-CN"/>
              </w:rPr>
              <w:t>单位</w:t>
            </w:r>
            <w:r>
              <w:rPr>
                <w:rFonts w:ascii="宋体" w:hAnsi="宋体" w:eastAsia="宋体"/>
                <w:sz w:val="16"/>
              </w:rPr>
              <w:t>的收费需求及财政预算国库支付业务需要，使各收费</w:t>
            </w:r>
            <w:r>
              <w:rPr>
                <w:rFonts w:hint="eastAsia" w:ascii="宋体" w:hAnsi="宋体"/>
                <w:sz w:val="16"/>
                <w:lang w:eastAsia="zh-CN"/>
              </w:rPr>
              <w:t>单位</w:t>
            </w:r>
            <w:r>
              <w:rPr>
                <w:rFonts w:ascii="宋体" w:hAnsi="宋体" w:eastAsia="宋体"/>
                <w:sz w:val="16"/>
              </w:rPr>
              <w:t>票据得到正常领购，更好</w:t>
            </w:r>
            <w:r>
              <w:rPr>
                <w:rFonts w:hint="eastAsia" w:ascii="宋体" w:hAnsi="宋体"/>
                <w:sz w:val="16"/>
                <w:lang w:eastAsia="zh-CN"/>
              </w:rPr>
              <w:t>地</w:t>
            </w:r>
            <w:r>
              <w:rPr>
                <w:rFonts w:ascii="宋体" w:hAnsi="宋体" w:eastAsia="宋体"/>
                <w:sz w:val="16"/>
              </w:rPr>
              <w:t>保障了预算管理一体化系统业务有序进行。</w:t>
            </w:r>
          </w:p>
        </w:tc>
      </w:tr>
      <w:tr w14:paraId="30845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F6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5F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9B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50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16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F6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B7B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B4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D0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22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F4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6D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FD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DFCD">
            <w:pPr>
              <w:jc w:val="center"/>
            </w:pPr>
            <w:r>
              <w:rPr>
                <w:rFonts w:ascii="宋体" w:hAnsi="宋体" w:eastAsia="宋体"/>
                <w:sz w:val="16"/>
              </w:rPr>
              <w:t>偏差原因分析及改进措施</w:t>
            </w:r>
          </w:p>
        </w:tc>
      </w:tr>
      <w:tr w14:paraId="6ECDC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5DB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688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2B6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923B">
            <w:pPr>
              <w:jc w:val="center"/>
            </w:pPr>
            <w:r>
              <w:rPr>
                <w:rFonts w:ascii="宋体" w:hAnsi="宋体" w:eastAsia="宋体"/>
                <w:sz w:val="16"/>
              </w:rPr>
              <w:t>政采云服务平台数量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03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45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B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0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4C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ED8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86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0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D4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4469">
            <w:pPr>
              <w:jc w:val="center"/>
            </w:pPr>
          </w:p>
        </w:tc>
      </w:tr>
      <w:tr w14:paraId="17975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17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D9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064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21C0">
            <w:pPr>
              <w:jc w:val="center"/>
            </w:pPr>
            <w:r>
              <w:rPr>
                <w:rFonts w:ascii="宋体" w:hAnsi="宋体" w:eastAsia="宋体"/>
                <w:sz w:val="16"/>
              </w:rPr>
              <w:t>财政预算管理一体化平台数量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1D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16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F7D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4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EA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5A4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E6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B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FC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DA1E">
            <w:pPr>
              <w:jc w:val="center"/>
            </w:pPr>
          </w:p>
        </w:tc>
      </w:tr>
      <w:tr w14:paraId="00334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B1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21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6C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EF63">
            <w:pPr>
              <w:jc w:val="center"/>
            </w:pPr>
            <w:r>
              <w:rPr>
                <w:rFonts w:ascii="宋体" w:hAnsi="宋体" w:eastAsia="宋体"/>
                <w:sz w:val="16"/>
              </w:rPr>
              <w:t>财政网络运行维护次数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B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7E6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08F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6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9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066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701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8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B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C09B">
            <w:pPr>
              <w:jc w:val="center"/>
            </w:pPr>
          </w:p>
        </w:tc>
      </w:tr>
      <w:tr w14:paraId="44775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6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22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E8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BC57">
            <w:pPr>
              <w:jc w:val="center"/>
            </w:pPr>
            <w:r>
              <w:rPr>
                <w:rFonts w:ascii="宋体" w:hAnsi="宋体" w:eastAsia="宋体"/>
                <w:sz w:val="16"/>
              </w:rPr>
              <w:t>系统维护合格率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E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E166">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FA1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8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D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0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6808">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A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0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6D49">
            <w:pPr>
              <w:jc w:val="center"/>
            </w:pPr>
          </w:p>
        </w:tc>
      </w:tr>
      <w:tr w14:paraId="18549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16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0B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92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F77E">
            <w:pPr>
              <w:jc w:val="center"/>
            </w:pPr>
            <w:r>
              <w:rPr>
                <w:rFonts w:ascii="宋体" w:hAnsi="宋体" w:eastAsia="宋体"/>
                <w:sz w:val="16"/>
              </w:rPr>
              <w:t>平台及系统故障修复处理时间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4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D8DF">
            <w:pPr>
              <w:jc w:val="center"/>
            </w:pPr>
            <w:r>
              <w:rPr>
                <w:rFonts w:ascii="宋体" w:hAnsi="宋体" w:eastAsia="宋体"/>
                <w:sz w:val="16"/>
              </w:rPr>
              <w:t>&lt;2天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D7A3">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7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5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AA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8A81">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F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9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E751">
            <w:pPr>
              <w:jc w:val="center"/>
            </w:pPr>
          </w:p>
        </w:tc>
      </w:tr>
      <w:tr w14:paraId="1ABDD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4E9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A8A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EBD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B485">
            <w:pPr>
              <w:jc w:val="center"/>
            </w:pPr>
            <w:r>
              <w:rPr>
                <w:rFonts w:ascii="宋体" w:hAnsi="宋体" w:eastAsia="宋体"/>
                <w:sz w:val="16"/>
              </w:rPr>
              <w:t>政采云服务平台费用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7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A2AB">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A07B">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2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B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4F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FAE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B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C5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09BC">
            <w:pPr>
              <w:jc w:val="center"/>
            </w:pPr>
          </w:p>
        </w:tc>
      </w:tr>
      <w:tr w14:paraId="6C4C5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C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34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D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7136">
            <w:pPr>
              <w:jc w:val="center"/>
            </w:pPr>
            <w:r>
              <w:rPr>
                <w:rFonts w:ascii="宋体" w:hAnsi="宋体" w:eastAsia="宋体"/>
                <w:sz w:val="16"/>
              </w:rPr>
              <w:t>财政预算管理一体化平台费用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03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A2A7">
            <w:pPr>
              <w:jc w:val="center"/>
            </w:pPr>
            <w:r>
              <w:rPr>
                <w:rFonts w:ascii="宋体" w:hAnsi="宋体" w:eastAsia="宋体"/>
                <w:sz w:val="16"/>
              </w:rPr>
              <w:t>&lt;=15.8万元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25C1">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E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8C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43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AAB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B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D3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47CD">
            <w:pPr>
              <w:jc w:val="center"/>
            </w:pPr>
          </w:p>
        </w:tc>
      </w:tr>
      <w:tr w14:paraId="24C41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98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C9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1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04C1">
            <w:pPr>
              <w:jc w:val="center"/>
            </w:pPr>
            <w:r>
              <w:rPr>
                <w:rFonts w:ascii="宋体" w:hAnsi="宋体" w:eastAsia="宋体"/>
                <w:sz w:val="16"/>
              </w:rPr>
              <w:t>财政网络运行维护费用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B5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5EBE">
            <w:pPr>
              <w:jc w:val="center"/>
            </w:pPr>
            <w:r>
              <w:rPr>
                <w:rFonts w:ascii="宋体" w:hAnsi="宋体" w:eastAsia="宋体"/>
                <w:sz w:val="16"/>
              </w:rPr>
              <w:t>&lt;=15.7万元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1C4F">
            <w:pPr>
              <w:jc w:val="center"/>
            </w:pPr>
            <w:r>
              <w:rPr>
                <w:rFonts w:ascii="宋体" w:hAnsi="宋体" w:eastAsia="宋体"/>
                <w:sz w:val="16"/>
              </w:rPr>
              <w:t>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B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19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68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EBC8">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A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F7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A6EF">
            <w:pPr>
              <w:jc w:val="center"/>
            </w:pPr>
          </w:p>
        </w:tc>
      </w:tr>
      <w:tr w14:paraId="635B6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49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103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99B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DAEB">
            <w:pPr>
              <w:jc w:val="center"/>
            </w:pPr>
            <w:r>
              <w:rPr>
                <w:rFonts w:ascii="宋体" w:hAnsi="宋体" w:eastAsia="宋体"/>
                <w:sz w:val="16"/>
              </w:rPr>
              <w:t>保障本县财政业务和财政专网的安全稳定运行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2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CE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C7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E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6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F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FD2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3B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8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AE3B">
            <w:pPr>
              <w:jc w:val="center"/>
            </w:pPr>
          </w:p>
        </w:tc>
      </w:tr>
      <w:tr w14:paraId="1FB42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2F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D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5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70DA">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7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E76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3A4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90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2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2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9CC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4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C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047B">
            <w:pPr>
              <w:jc w:val="center"/>
            </w:pPr>
          </w:p>
        </w:tc>
      </w:tr>
      <w:tr w14:paraId="0EC5F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01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00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5F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77FE">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A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47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2A67">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A97C">
            <w:pPr>
              <w:jc w:val="center"/>
            </w:pPr>
            <w:r>
              <w:rPr>
                <w:rFonts w:ascii="宋体" w:hAnsi="宋体" w:eastAsia="宋体"/>
                <w:sz w:val="16"/>
              </w:rPr>
              <w:t>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345B">
            <w:pPr>
              <w:jc w:val="center"/>
            </w:pPr>
            <w:r>
              <w:rPr>
                <w:rFonts w:ascii="宋体" w:hAnsi="宋体" w:eastAsia="宋体"/>
                <w:sz w:val="16"/>
              </w:rPr>
              <w:t>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6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A0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A4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0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5C77">
            <w:pPr>
              <w:jc w:val="center"/>
            </w:pPr>
            <w:r>
              <w:rPr>
                <w:rFonts w:ascii="宋体" w:hAnsi="宋体" w:eastAsia="宋体"/>
                <w:sz w:val="16"/>
              </w:rPr>
              <w:t>在年度使用人员集中时出现运行速度慢、稳定性不足等问题。</w:t>
            </w:r>
          </w:p>
        </w:tc>
      </w:tr>
      <w:tr w14:paraId="0B11BF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3D71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C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588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771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8E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F3BE">
            <w:pPr>
              <w:jc w:val="center"/>
            </w:pPr>
            <w:r>
              <w:rPr>
                <w:rFonts w:ascii="宋体" w:hAnsi="宋体" w:eastAsia="宋体"/>
                <w:sz w:val="16"/>
              </w:rPr>
              <w:t>98.84分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86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B8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93C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E9A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A778F"/>
        </w:tc>
      </w:tr>
    </w:tbl>
    <w:p w14:paraId="4DF7FF85">
      <w:r>
        <w:br w:type="page"/>
      </w:r>
    </w:p>
    <w:p w14:paraId="0051292F">
      <w:pPr>
        <w:spacing w:line="640" w:lineRule="exact"/>
        <w:ind w:firstLine="640"/>
        <w:jc w:val="both"/>
        <w:outlineLvl w:val="2"/>
      </w:pPr>
      <w:r>
        <w:rPr>
          <w:rFonts w:ascii="黑体" w:hAnsi="黑体" w:eastAsia="黑体"/>
          <w:sz w:val="32"/>
        </w:rPr>
        <w:t>十二、其他需说明的事项</w:t>
      </w:r>
    </w:p>
    <w:p w14:paraId="6632AED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B3F7780">
      <w:r>
        <w:br w:type="page"/>
      </w:r>
    </w:p>
    <w:p w14:paraId="2AC7F044">
      <w:pPr>
        <w:spacing w:line="240" w:lineRule="auto"/>
        <w:jc w:val="center"/>
        <w:outlineLvl w:val="1"/>
      </w:pPr>
      <w:r>
        <w:rPr>
          <w:rFonts w:ascii="黑体" w:hAnsi="黑体" w:eastAsia="黑体"/>
          <w:sz w:val="32"/>
        </w:rPr>
        <w:t>第三部分 专业名词解释</w:t>
      </w:r>
    </w:p>
    <w:p w14:paraId="3D5214D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50B8E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4F6D34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A1ECB3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0BE1EE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38DAB7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D7513B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71089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808E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7BE3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4A48E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3A905B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F5E2DE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FB8953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179B79E">
      <w:r>
        <w:br w:type="page"/>
      </w:r>
    </w:p>
    <w:p w14:paraId="326D05DE">
      <w:pPr>
        <w:spacing w:line="240" w:lineRule="auto"/>
        <w:jc w:val="center"/>
        <w:outlineLvl w:val="1"/>
      </w:pPr>
      <w:r>
        <w:rPr>
          <w:rFonts w:ascii="黑体" w:hAnsi="黑体" w:eastAsia="黑体"/>
          <w:sz w:val="32"/>
        </w:rPr>
        <w:t>第四部分 部门决算报表（见附表）</w:t>
      </w:r>
    </w:p>
    <w:p w14:paraId="5076E104">
      <w:pPr>
        <w:spacing w:line="240" w:lineRule="auto"/>
        <w:ind w:firstLine="640"/>
        <w:jc w:val="both"/>
      </w:pPr>
      <w:r>
        <w:rPr>
          <w:rFonts w:ascii="仿宋_GB2312" w:hAnsi="仿宋_GB2312" w:eastAsia="仿宋_GB2312"/>
          <w:b w:val="0"/>
          <w:sz w:val="32"/>
        </w:rPr>
        <w:t>一、《收入支出决算总表》</w:t>
      </w:r>
    </w:p>
    <w:p w14:paraId="12D88B62">
      <w:pPr>
        <w:spacing w:line="240" w:lineRule="auto"/>
        <w:ind w:firstLine="640"/>
        <w:jc w:val="both"/>
      </w:pPr>
      <w:r>
        <w:rPr>
          <w:rFonts w:ascii="仿宋_GB2312" w:hAnsi="仿宋_GB2312" w:eastAsia="仿宋_GB2312"/>
          <w:b w:val="0"/>
          <w:sz w:val="32"/>
        </w:rPr>
        <w:t>二、《收入决算表》</w:t>
      </w:r>
    </w:p>
    <w:p w14:paraId="70711B16">
      <w:pPr>
        <w:spacing w:line="240" w:lineRule="auto"/>
        <w:ind w:firstLine="640"/>
        <w:jc w:val="both"/>
      </w:pPr>
      <w:r>
        <w:rPr>
          <w:rFonts w:ascii="仿宋_GB2312" w:hAnsi="仿宋_GB2312" w:eastAsia="仿宋_GB2312"/>
          <w:b w:val="0"/>
          <w:sz w:val="32"/>
        </w:rPr>
        <w:t>三、《支出决算表》</w:t>
      </w:r>
    </w:p>
    <w:p w14:paraId="709B18AF">
      <w:pPr>
        <w:spacing w:line="240" w:lineRule="auto"/>
        <w:ind w:firstLine="640"/>
        <w:jc w:val="both"/>
      </w:pPr>
      <w:r>
        <w:rPr>
          <w:rFonts w:ascii="仿宋_GB2312" w:hAnsi="仿宋_GB2312" w:eastAsia="仿宋_GB2312"/>
          <w:b w:val="0"/>
          <w:sz w:val="32"/>
        </w:rPr>
        <w:t>四、《财政拨款收入支出决算总表》</w:t>
      </w:r>
    </w:p>
    <w:p w14:paraId="1835296B">
      <w:pPr>
        <w:spacing w:line="240" w:lineRule="auto"/>
        <w:ind w:firstLine="640"/>
        <w:jc w:val="both"/>
      </w:pPr>
      <w:r>
        <w:rPr>
          <w:rFonts w:ascii="仿宋_GB2312" w:hAnsi="仿宋_GB2312" w:eastAsia="仿宋_GB2312"/>
          <w:b w:val="0"/>
          <w:sz w:val="32"/>
        </w:rPr>
        <w:t>五、《一般公共预算财政拨款支出决算表》</w:t>
      </w:r>
    </w:p>
    <w:p w14:paraId="4D0589D6">
      <w:pPr>
        <w:spacing w:line="240" w:lineRule="auto"/>
        <w:ind w:firstLine="640"/>
        <w:jc w:val="both"/>
      </w:pPr>
      <w:r>
        <w:rPr>
          <w:rFonts w:ascii="仿宋_GB2312" w:hAnsi="仿宋_GB2312" w:eastAsia="仿宋_GB2312"/>
          <w:b w:val="0"/>
          <w:sz w:val="32"/>
        </w:rPr>
        <w:t>六、《一般公共预算财政拨款基本支出决算表》</w:t>
      </w:r>
    </w:p>
    <w:p w14:paraId="09444415">
      <w:pPr>
        <w:spacing w:line="240" w:lineRule="auto"/>
        <w:ind w:firstLine="640"/>
        <w:jc w:val="both"/>
      </w:pPr>
      <w:r>
        <w:rPr>
          <w:rFonts w:ascii="仿宋_GB2312" w:hAnsi="仿宋_GB2312" w:eastAsia="仿宋_GB2312"/>
          <w:b w:val="0"/>
          <w:sz w:val="32"/>
        </w:rPr>
        <w:t>七、《政府性基金预算财政拨款收入支出决算表》</w:t>
      </w:r>
    </w:p>
    <w:p w14:paraId="1E794797">
      <w:pPr>
        <w:spacing w:line="240" w:lineRule="auto"/>
        <w:ind w:firstLine="640"/>
        <w:jc w:val="both"/>
      </w:pPr>
      <w:r>
        <w:rPr>
          <w:rFonts w:ascii="仿宋_GB2312" w:hAnsi="仿宋_GB2312" w:eastAsia="仿宋_GB2312"/>
          <w:b w:val="0"/>
          <w:sz w:val="32"/>
        </w:rPr>
        <w:t>八、《国有资本经营预算财政拨款收入支出决算表》</w:t>
      </w:r>
    </w:p>
    <w:p w14:paraId="0CEA7137">
      <w:pPr>
        <w:spacing w:line="240" w:lineRule="auto"/>
        <w:ind w:firstLine="640"/>
        <w:jc w:val="both"/>
      </w:pPr>
      <w:r>
        <w:rPr>
          <w:rFonts w:ascii="仿宋_GB2312" w:hAnsi="仿宋_GB2312" w:eastAsia="仿宋_GB2312"/>
          <w:b w:val="0"/>
          <w:sz w:val="32"/>
        </w:rPr>
        <w:t>九、《财政拨款“三公”经费支出决算表》</w:t>
      </w:r>
    </w:p>
    <w:p w14:paraId="0A2F612E">
      <w:pPr>
        <w:spacing w:line="240" w:lineRule="auto"/>
        <w:ind w:firstLine="640"/>
        <w:jc w:val="both"/>
      </w:pPr>
    </w:p>
    <w:p w14:paraId="3EFDBAEF">
      <w:pPr>
        <w:spacing w:line="240" w:lineRule="auto"/>
        <w:ind w:firstLine="640"/>
        <w:jc w:val="both"/>
      </w:pPr>
    </w:p>
    <w:p w14:paraId="32DAA083">
      <w:pPr>
        <w:spacing w:line="240" w:lineRule="auto"/>
        <w:ind w:firstLine="640"/>
        <w:jc w:val="both"/>
      </w:pPr>
    </w:p>
    <w:p w14:paraId="5CE13503">
      <w:pPr>
        <w:spacing w:line="240" w:lineRule="auto"/>
        <w:ind w:firstLine="640"/>
        <w:jc w:val="both"/>
      </w:pPr>
    </w:p>
    <w:p w14:paraId="373DE4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3C9EFE-9BD2-458B-B673-485BF8B8B2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FF5A821-B83B-4753-AF38-2FA03AA945DB}"/>
  </w:font>
  <w:font w:name="仿宋_GB2312">
    <w:panose1 w:val="02010609030101010101"/>
    <w:charset w:val="86"/>
    <w:family w:val="auto"/>
    <w:pitch w:val="default"/>
    <w:sig w:usb0="00000001" w:usb1="080E0000" w:usb2="00000000" w:usb3="00000000" w:csb0="00040000" w:csb1="00000000"/>
    <w:embedRegular r:id="rId3" w:fontKey="{B06CF1F0-DC8F-49BC-8575-B81EBDF29F77}"/>
  </w:font>
  <w:font w:name="楷体_GB2312">
    <w:panose1 w:val="02010609030101010101"/>
    <w:charset w:val="86"/>
    <w:family w:val="auto"/>
    <w:pitch w:val="default"/>
    <w:sig w:usb0="00000001" w:usb1="080E0000" w:usb2="00000000" w:usb3="00000000" w:csb0="00040000" w:csb1="00000000"/>
    <w:embedRegular r:id="rId4" w:fontKey="{1DB420B5-F689-4DF8-8FC9-546168A1DE2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1F4265"/>
    <w:rsid w:val="02F73D26"/>
    <w:rsid w:val="033B50CF"/>
    <w:rsid w:val="034D4FEF"/>
    <w:rsid w:val="043E5B56"/>
    <w:rsid w:val="06792773"/>
    <w:rsid w:val="08186969"/>
    <w:rsid w:val="09A729D8"/>
    <w:rsid w:val="0A3C58E8"/>
    <w:rsid w:val="0A7B4867"/>
    <w:rsid w:val="0B8C3ECC"/>
    <w:rsid w:val="0C3613A3"/>
    <w:rsid w:val="0C7227A7"/>
    <w:rsid w:val="0CF0217F"/>
    <w:rsid w:val="0DCA6EF7"/>
    <w:rsid w:val="0E4B1576"/>
    <w:rsid w:val="0EA04331"/>
    <w:rsid w:val="0F9811B3"/>
    <w:rsid w:val="11E15093"/>
    <w:rsid w:val="120E0809"/>
    <w:rsid w:val="16247C45"/>
    <w:rsid w:val="18F558C8"/>
    <w:rsid w:val="19071D6C"/>
    <w:rsid w:val="19B5554D"/>
    <w:rsid w:val="1B8F2D19"/>
    <w:rsid w:val="1C317E4F"/>
    <w:rsid w:val="1C472464"/>
    <w:rsid w:val="1CD34BB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8C5F2F"/>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AC65A8"/>
    <w:rsid w:val="543D17CB"/>
    <w:rsid w:val="55DA564E"/>
    <w:rsid w:val="56E07045"/>
    <w:rsid w:val="580170AE"/>
    <w:rsid w:val="583059FA"/>
    <w:rsid w:val="587E6212"/>
    <w:rsid w:val="5AFC6609"/>
    <w:rsid w:val="5CD529E2"/>
    <w:rsid w:val="5FA17648"/>
    <w:rsid w:val="5FD320BD"/>
    <w:rsid w:val="60DE4D57"/>
    <w:rsid w:val="613409CB"/>
    <w:rsid w:val="61A46A97"/>
    <w:rsid w:val="62DD7D21"/>
    <w:rsid w:val="65D97752"/>
    <w:rsid w:val="664C500C"/>
    <w:rsid w:val="67D111AB"/>
    <w:rsid w:val="68BA4E6C"/>
    <w:rsid w:val="68DB0208"/>
    <w:rsid w:val="68DF36D5"/>
    <w:rsid w:val="69846A0E"/>
    <w:rsid w:val="69AD798C"/>
    <w:rsid w:val="6B68175F"/>
    <w:rsid w:val="6B8B5C99"/>
    <w:rsid w:val="6BC13817"/>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C14F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acec2b5b-df00-4071-80e8-9990ec9d7ba8</errorID>
      <errorWord>债</errorWord>
      <group>L1_Sensitive</group>
      <groupName>敏感问题</groupName>
      <ability>L2_UserSensitive</ability>
      <abilityName>自定义敏感词</abilityName>
      <candidateList/>
      <explain>来自自定义敏感词库。</explain>
      <paraID>6939F60C</paraID>
      <start>61</start>
      <end>62</end>
      <status>unmodified</status>
      <modifiedWord/>
      <trackRevisions>false</trackRevisions>
    </reviewItem>
    <reviewItem>
      <errorID>21b87818-0b5d-4bf4-9436-803506d2030f</errorID>
      <errorWord>2月31日</errorWord>
      <group>L1_Sensitive</group>
      <groupName>敏感问题</groupName>
      <ability>L2_UserSensitive</ability>
      <abilityName>自定义敏感词</abilityName>
      <candidateList/>
      <explain>来自自定义敏感词库。</explain>
      <paraID>183852BD</paraID>
      <start>8</start>
      <end>13</end>
      <status>unmodified</status>
      <modifiedWord/>
      <trackRevisions>false</trackRevisions>
    </reviewItem>
    <reviewItem>
      <errorID>52035fca-55cf-4247-9ebf-bd993fc86081</errorID>
      <errorWord>监控</errorWord>
      <group>L1_Sensitive</group>
      <groupName>敏感问题</groupName>
      <ability>L2_UserSensitive</ability>
      <abilityName>自定义敏感词</abilityName>
      <candidateList/>
      <explain>来自自定义敏感词库。</explain>
      <paraID> C035F9C</paraID>
      <start>160</start>
      <end>162</end>
      <status>unmodified</status>
      <modifiedWord/>
      <trackRevisions>false</trackRevisions>
    </reviewItem>
    <reviewItem>
      <errorID>2c866ce6-96f7-4600-9c59-ffc0d5c4a750</errorID>
      <errorWord>高</errorWord>
      <group>L1_Word</group>
      <groupName>字词问题</groupName>
      <ability>L2_Typo</ability>
      <abilityName>字词错误</abilityName>
      <candidateList>
        <item>高各</item>
      </candidateList>
      <explain/>
      <paraID>645B11EC</paraID>
      <start>281</start>
      <end>283</end>
      <status>modified</status>
      <modifiedWord>高各</modifiedWord>
      <trackRevisions>false</trackRevisions>
    </reviewItem>
    <reviewItem>
      <errorID>1d829d5a-7dd4-47cf-9e95-9d9fcf537530</errorID>
      <errorWord>债</errorWord>
      <group>L1_Sensitive</group>
      <groupName>敏感问题</groupName>
      <ability>L2_UserSensitive</ability>
      <abilityName>自定义敏感词</abilityName>
      <candidateList/>
      <explain>来自自定义敏感词库。</explain>
      <paraID> 70DB61D</paraID>
      <start>103</start>
      <end>104</end>
      <status>unmodified</status>
      <modifiedWord/>
      <trackRevisions>false</trackRevisions>
    </reviewItem>
    <reviewItem>
      <errorID>f2ca4378-9e57-41ad-b29a-bb4a203e12c1</errorID>
      <errorWord>债</errorWord>
      <group>L1_Sensitive</group>
      <groupName>敏感问题</groupName>
      <ability>L2_UserSensitive</ability>
      <abilityName>自定义敏感词</abilityName>
      <candidateList/>
      <explain>来自自定义敏感词库。</explain>
      <paraID>52D84100</paraID>
      <start>92</start>
      <end>93</end>
      <status>unmodified</status>
      <modifiedWord/>
      <trackRevisions>false</trackRevisions>
    </reviewItem>
    <reviewItem>
      <errorID>42214852-14ec-437a-bf42-8cbb036e2e4c</errorID>
      <errorWord>薪酬</errorWord>
      <group>L1_Sensitive</group>
      <groupName>敏感问题</groupName>
      <ability>L2_UserSensitive</ability>
      <abilityName>自定义敏感词</abilityName>
      <candidateList/>
      <explain>来自自定义敏感词库。</explain>
      <paraID> C1C6E11</paraID>
      <start>2</start>
      <end>4</end>
      <status>unmodified</status>
      <modifiedWord/>
      <trackRevisions>false</trackRevisions>
    </reviewItem>
    <reviewItem>
      <errorID>1bc5ad85-63ac-4187-addb-3dff15140840</errorID>
      <errorWord>薪酬</errorWord>
      <group>L1_Sensitive</group>
      <groupName>敏感问题</groupName>
      <ability>L2_UserSensitive</ability>
      <abilityName>自定义敏感词</abilityName>
      <candidateList/>
      <explain>来自自定义敏感词库。</explain>
      <paraID>28A9FB12</paraID>
      <start>2</start>
      <end>4</end>
      <status>unmodified</status>
      <modifiedWord/>
      <trackRevisions>false</trackRevisions>
    </reviewItem>
    <reviewItem>
      <errorID>c8d4fa8a-7f06-42cf-bfb5-ed9b899c9e64</errorID>
      <errorWord>债</errorWord>
      <group>L1_Sensitive</group>
      <groupName>敏感问题</groupName>
      <ability>L2_UserSensitive</ability>
      <abilityName>自定义敏感词</abilityName>
      <candidateList/>
      <explain>来自自定义敏感词库。</explain>
      <paraID>288CB084</paraID>
      <start>62</start>
      <end>63</end>
      <status>unmodified</status>
      <modifiedWord/>
      <trackRevisions>false</trackRevisions>
    </reviewItem>
    <reviewItem>
      <errorID>dfd9bb18-96ee-4e35-a1ef-e5ad85a73a31</errorID>
      <errorWord>债</errorWord>
      <group>L1_Sensitive</group>
      <groupName>敏感问题</groupName>
      <ability>L2_UserSensitive</ability>
      <abilityName>自定义敏感词</abilityName>
      <candidateList/>
      <explain>来自自定义敏感词库。</explain>
      <paraID>288CB084</paraID>
      <start>74</start>
      <end>75</end>
      <status>unmodified</status>
      <modifiedWord/>
      <trackRevisions>false</trackRevisions>
    </reviewItem>
    <reviewItem>
      <errorID>9c5740e2-09d3-4110-b2cd-319da7233a4f</errorID>
      <errorWord>债</errorWord>
      <group>L1_Sensitive</group>
      <groupName>敏感问题</groupName>
      <ability>L2_UserSensitive</ability>
      <abilityName>自定义敏感词</abilityName>
      <candidateList/>
      <explain>来自自定义敏感词库。</explain>
      <paraID>288CB084</paraID>
      <start>82</start>
      <end>83</end>
      <status>unmodified</status>
      <modifiedWord/>
      <trackRevisions>false</trackRevisions>
    </reviewItem>
    <reviewItem>
      <errorID>3ace0543-041a-471d-aadb-1a4ed1b79f23</errorID>
      <errorWord>看的</errorWord>
      <group>L1_Word</group>
      <groupName>字词问题</groupName>
      <ability>L2_Typo</ability>
      <abilityName>字词错误</abilityName>
      <candidateList>
        <item>看得</item>
      </candidateList>
      <explain/>
      <paraID>5D07A5AD</paraID>
      <start>189</start>
      <end>191</end>
      <status>modified</status>
      <modifiedWord>看得</modifiedWord>
      <trackRevisions>false</trackRevisions>
    </reviewItem>
    <reviewItem>
      <errorID>199407c5-ad8a-4df3-817d-3127b01fe024</errorID>
      <errorWord>用的</errorWord>
      <group>L1_Word</group>
      <groupName>字词问题</groupName>
      <ability>L2_Typo</ability>
      <abilityName>字词错误</abilityName>
      <candidateList>
        <item>用得</item>
      </candidateList>
      <explain/>
      <paraID>5D07A5AD</paraID>
      <start>193</start>
      <end>195</end>
      <status>modified</status>
      <modifiedWord>用得</modifiedWord>
      <trackRevisions>false</trackRevisions>
    </reviewItem>
    <reviewItem>
      <errorID>1311f864-e7fb-4d63-91f7-ae1eba6c6049</errorID>
      <errorWord>的</errorWord>
      <group>L1_Word</group>
      <groupName>字词问题</groupName>
      <ability>L2_DDD</ability>
      <abilityName>的地得用法</abilityName>
      <candidateList>
        <item>得</item>
      </candidateList>
      <explain>“得”常用在动词或形容词后面，表示动作结果、程度或状态评价。</explain>
      <paraID>5D07A5AD</paraID>
      <start>198</start>
      <end>199</end>
      <status>modified</status>
      <modifiedWord>得</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bfbb4f-f643-4ec2-81ca-77c7bb637a7f}">
  <ds:schemaRefs/>
</ds:datastoreItem>
</file>

<file path=docProps/app.xml><?xml version="1.0" encoding="utf-8"?>
<Properties xmlns="http://schemas.openxmlformats.org/officeDocument/2006/extended-properties" xmlns:vt="http://schemas.openxmlformats.org/officeDocument/2006/docPropsVTypes">
  <Template>Normal.dotm</Template>
  <Pages>37</Pages>
  <Words>6258</Words>
  <Characters>7139</Characters>
  <Lines>0</Lines>
  <Paragraphs>0</Paragraphs>
  <TotalTime>13</TotalTime>
  <ScaleCrop>false</ScaleCrop>
  <LinksUpToDate>false</LinksUpToDate>
  <CharactersWithSpaces>7147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