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0C3218B">
      <w:r>
        <w:br w:type="page"/>
      </w:r>
    </w:p>
    <w:p w14:paraId="2EDBE2D8">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F1AD3B2">
      <w:pPr>
        <w:spacing w:line="640" w:lineRule="exact"/>
        <w:ind w:firstLine="640"/>
        <w:jc w:val="both"/>
        <w:outlineLvl w:val="2"/>
      </w:pPr>
      <w:r>
        <w:rPr>
          <w:rFonts w:ascii="黑体" w:hAnsi="黑体" w:eastAsia="黑体"/>
          <w:sz w:val="32"/>
        </w:rPr>
        <w:t>一、主要职能</w:t>
      </w:r>
    </w:p>
    <w:p w14:paraId="3E7A3A94">
      <w:pPr>
        <w:spacing w:line="580" w:lineRule="exact"/>
        <w:ind w:firstLine="640"/>
        <w:jc w:val="both"/>
      </w:pPr>
      <w:r>
        <w:rPr>
          <w:rFonts w:ascii="仿宋_GB2312" w:hAnsi="仿宋_GB2312" w:eastAsia="仿宋_GB2312"/>
          <w:sz w:val="32"/>
        </w:rPr>
        <w:t>（一）贯彻执行国家创新驱动发展战略方针和自治区科技发展、引进国外智力规划和政策，结合实际拟定科技发展相关配套政策措施并组织实施和监督检查。</w:t>
      </w:r>
    </w:p>
    <w:p w14:paraId="0C343FF1">
      <w:pPr>
        <w:spacing w:line="580" w:lineRule="exact"/>
        <w:ind w:firstLine="640"/>
        <w:jc w:val="both"/>
      </w:pPr>
      <w:r>
        <w:rPr>
          <w:rFonts w:ascii="仿宋_GB2312" w:hAnsi="仿宋_GB2312" w:eastAsia="仿宋_GB2312"/>
          <w:sz w:val="32"/>
        </w:rPr>
        <w:t>（二）统筹推进全县创新体系建设与科技体制改革，会同有关部门建立健全技术创新激励机制；推动企业科技创新能力建设，承担推进科技融合发展相关工作。</w:t>
      </w:r>
    </w:p>
    <w:p w14:paraId="703A7F03">
      <w:pPr>
        <w:spacing w:line="580" w:lineRule="exact"/>
        <w:ind w:firstLine="640"/>
        <w:jc w:val="both"/>
      </w:pPr>
      <w:r>
        <w:rPr>
          <w:rFonts w:ascii="仿宋_GB2312" w:hAnsi="仿宋_GB2312" w:eastAsia="仿宋_GB2312"/>
          <w:sz w:val="32"/>
        </w:rPr>
        <w:t>（三）牵头建立全县科技管理平台和科技项目资金协调、评估、监管机制；会同有关部门提出优化配置科技资源的政策措施建议，推动多元化科技投入体系建设，协调管理财政科技计划（专项、基金等）并监督实施；承担国家、自治区科技计划（专项、基金等）申报工作。</w:t>
      </w:r>
    </w:p>
    <w:p w14:paraId="4B496F98">
      <w:pPr>
        <w:spacing w:line="580" w:lineRule="exact"/>
        <w:ind w:firstLine="640"/>
        <w:jc w:val="both"/>
      </w:pPr>
      <w:r>
        <w:rPr>
          <w:rFonts w:ascii="仿宋_GB2312" w:hAnsi="仿宋_GB2312" w:eastAsia="仿宋_GB2312"/>
          <w:sz w:val="32"/>
        </w:rPr>
        <w:t>（四）落实自治区、自治州基础研究规划、政策和标准，拟定科技创新基地建设规划并监督实施；承担国家实验室、自治区重点</w:t>
      </w:r>
      <w:r>
        <w:rPr>
          <w:rFonts w:hint="eastAsia" w:ascii="仿宋_GB2312" w:hAnsi="仿宋_GB2312" w:eastAsia="仿宋_GB2312"/>
          <w:sz w:val="32"/>
          <w:lang w:eastAsia="zh-CN"/>
        </w:rPr>
        <w:t>实验室</w:t>
      </w:r>
      <w:r>
        <w:rPr>
          <w:rFonts w:ascii="仿宋_GB2312" w:hAnsi="仿宋_GB2312" w:eastAsia="仿宋_GB2312"/>
          <w:sz w:val="32"/>
        </w:rPr>
        <w:t>建设的推荐工作，推动科研条件保障建设和科技资源开放共享。</w:t>
      </w:r>
    </w:p>
    <w:p w14:paraId="1D77F278">
      <w:pPr>
        <w:spacing w:line="580" w:lineRule="exact"/>
        <w:ind w:firstLine="640"/>
        <w:jc w:val="both"/>
      </w:pPr>
      <w:r>
        <w:rPr>
          <w:rFonts w:ascii="仿宋_GB2312" w:hAnsi="仿宋_GB2312" w:eastAsia="仿宋_GB2312"/>
          <w:sz w:val="32"/>
        </w:rPr>
        <w:t>（五）编制科技项目规划并监督实施，牵头组织经济与社会发展重要领域的技术成果应用示范。</w:t>
      </w:r>
    </w:p>
    <w:p w14:paraId="708FA14B">
      <w:pPr>
        <w:spacing w:line="580" w:lineRule="exact"/>
        <w:ind w:firstLine="640"/>
        <w:jc w:val="both"/>
      </w:pPr>
      <w:r>
        <w:rPr>
          <w:rFonts w:ascii="仿宋_GB2312" w:hAnsi="仿宋_GB2312" w:eastAsia="仿宋_GB2312"/>
          <w:sz w:val="32"/>
        </w:rPr>
        <w:t>（六）组织拟定科技促进农业农村和社会发展的规划、政策和措施；承担高新技术企业认定的推荐工作。</w:t>
      </w:r>
    </w:p>
    <w:p w14:paraId="0947C994">
      <w:pPr>
        <w:spacing w:line="580" w:lineRule="exact"/>
        <w:ind w:firstLine="640"/>
        <w:jc w:val="both"/>
      </w:pPr>
      <w:r>
        <w:rPr>
          <w:rFonts w:ascii="仿宋_GB2312" w:hAnsi="仿宋_GB2312" w:eastAsia="仿宋_GB2312"/>
          <w:sz w:val="32"/>
        </w:rPr>
        <w:t>（七）牵头技术转移体系建设，拟定科技成果转移转化和促进产学研结合的相关政策措施并监督实施；指导科技服务业、技术市场和科技中介组织发展。</w:t>
      </w:r>
    </w:p>
    <w:p w14:paraId="62D6B5DF">
      <w:pPr>
        <w:spacing w:line="580" w:lineRule="exact"/>
        <w:ind w:firstLine="640"/>
        <w:jc w:val="both"/>
      </w:pPr>
      <w:r>
        <w:rPr>
          <w:rFonts w:ascii="仿宋_GB2312" w:hAnsi="仿宋_GB2312" w:eastAsia="仿宋_GB2312"/>
          <w:sz w:val="32"/>
        </w:rPr>
        <w:t>（八）统筹推进区域科技创新</w:t>
      </w:r>
      <w:r>
        <w:rPr>
          <w:rFonts w:hint="eastAsia" w:ascii="仿宋_GB2312" w:hAnsi="仿宋_GB2312" w:eastAsia="仿宋_GB2312"/>
          <w:sz w:val="32"/>
          <w:lang w:eastAsia="zh-CN"/>
        </w:rPr>
        <w:t>体系</w:t>
      </w:r>
      <w:r>
        <w:rPr>
          <w:rFonts w:ascii="仿宋_GB2312" w:hAnsi="仿宋_GB2312" w:eastAsia="仿宋_GB2312"/>
          <w:sz w:val="32"/>
        </w:rPr>
        <w:t>建设，指导区域创新发展、科技资源合理布局和协同创新能力建设，推动科技园区建设。</w:t>
      </w:r>
    </w:p>
    <w:p w14:paraId="070112E7">
      <w:pPr>
        <w:spacing w:line="580" w:lineRule="exact"/>
        <w:ind w:firstLine="640"/>
        <w:jc w:val="both"/>
      </w:pPr>
      <w:r>
        <w:rPr>
          <w:rFonts w:ascii="仿宋_GB2312" w:hAnsi="仿宋_GB2312" w:eastAsia="仿宋_GB2312"/>
          <w:sz w:val="32"/>
        </w:rPr>
        <w:t>（九）负责科技监督评价体系建设和相关科技评估管理工作，指导科技评价机制改革，统筹科研诚信建设；落实国家、自治区创新调查和科技报告制度，指导科技工作。</w:t>
      </w:r>
    </w:p>
    <w:p w14:paraId="117FB9DD">
      <w:pPr>
        <w:spacing w:line="580" w:lineRule="exact"/>
        <w:ind w:firstLine="640"/>
        <w:jc w:val="both"/>
      </w:pPr>
      <w:r>
        <w:rPr>
          <w:rFonts w:ascii="仿宋_GB2312" w:hAnsi="仿宋_GB2312" w:eastAsia="仿宋_GB2312"/>
          <w:sz w:val="32"/>
        </w:rPr>
        <w:t>（十）拟定科技对外交往与创新能力开放合作的规划、政策和措施，组织科技合作与科技人才交流活动；指导相关部门对外科技合作与科技人才交流工作；协调对口科技援疆工作。</w:t>
      </w:r>
    </w:p>
    <w:p w14:paraId="2A66DA85">
      <w:pPr>
        <w:spacing w:line="580" w:lineRule="exact"/>
        <w:ind w:firstLine="640"/>
        <w:jc w:val="both"/>
      </w:pPr>
      <w:r>
        <w:rPr>
          <w:rFonts w:ascii="仿宋_GB2312" w:hAnsi="仿宋_GB2312" w:eastAsia="仿宋_GB2312"/>
          <w:sz w:val="32"/>
        </w:rPr>
        <w:t>（十一）负责引进国外智力工作；落实国家、自治区引进外国专家总体规划、计划及外国专家、团队联系服务机制；指导、协调县直部门引进国（境）外智力工作。</w:t>
      </w:r>
    </w:p>
    <w:p w14:paraId="246D9B32">
      <w:pPr>
        <w:spacing w:line="580" w:lineRule="exact"/>
        <w:ind w:firstLine="640"/>
        <w:jc w:val="both"/>
      </w:pPr>
      <w:r>
        <w:rPr>
          <w:rFonts w:ascii="仿宋_GB2312" w:hAnsi="仿宋_GB2312" w:eastAsia="仿宋_GB2312"/>
          <w:sz w:val="32"/>
        </w:rPr>
        <w:t>（十二）会同有关部门拟定科技人才队伍建设规划和政策；建立健全科技人才评价和激励机制，推动科技创新人才队伍建设；拟定科学普及和科学传播规划、政策、措施。</w:t>
      </w:r>
    </w:p>
    <w:p w14:paraId="64F9582B">
      <w:pPr>
        <w:spacing w:line="580" w:lineRule="exact"/>
        <w:ind w:firstLine="640"/>
        <w:jc w:val="both"/>
      </w:pPr>
      <w:r>
        <w:rPr>
          <w:rFonts w:ascii="仿宋_GB2312" w:hAnsi="仿宋_GB2312" w:eastAsia="仿宋_GB2312"/>
          <w:sz w:val="32"/>
        </w:rPr>
        <w:t>（十三）完成县委、县人民政府交办的其他任务。</w:t>
      </w:r>
    </w:p>
    <w:p w14:paraId="528A4049">
      <w:pPr>
        <w:spacing w:line="640" w:lineRule="exact"/>
        <w:ind w:firstLine="640"/>
        <w:jc w:val="both"/>
        <w:outlineLvl w:val="2"/>
      </w:pPr>
      <w:r>
        <w:rPr>
          <w:rFonts w:ascii="黑体" w:hAnsi="黑体" w:eastAsia="黑体"/>
          <w:sz w:val="32"/>
        </w:rPr>
        <w:t>二、机构设置及人员情况</w:t>
      </w:r>
    </w:p>
    <w:p w14:paraId="46C6F131">
      <w:pPr>
        <w:spacing w:line="580" w:lineRule="exact"/>
        <w:ind w:firstLine="640"/>
        <w:jc w:val="both"/>
      </w:pPr>
      <w:r>
        <w:rPr>
          <w:rFonts w:ascii="仿宋_GB2312" w:hAnsi="仿宋_GB2312" w:eastAsia="仿宋_GB2312"/>
          <w:sz w:val="32"/>
        </w:rPr>
        <w:t>特克斯县科学技术局2024年度，实有人数13人，其中：在职人员8人，减少1人；离休人员0人，增加0人；退休人员5人,增加0人。</w:t>
      </w:r>
    </w:p>
    <w:p w14:paraId="7142E24D">
      <w:pPr>
        <w:spacing w:line="580" w:lineRule="exact"/>
        <w:ind w:firstLine="640"/>
        <w:jc w:val="both"/>
      </w:pPr>
      <w:r>
        <w:rPr>
          <w:rFonts w:ascii="仿宋_GB2312" w:hAnsi="仿宋_GB2312" w:eastAsia="仿宋_GB2312"/>
          <w:sz w:val="32"/>
        </w:rPr>
        <w:t>特克斯县科学技术局无下属预算</w:t>
      </w:r>
      <w:r>
        <w:rPr>
          <w:rFonts w:hint="eastAsia" w:ascii="仿宋_GB2312" w:hAnsi="仿宋_GB2312" w:eastAsia="仿宋_GB2312"/>
          <w:sz w:val="32"/>
          <w:lang w:eastAsia="zh-CN"/>
        </w:rPr>
        <w:t>单位</w:t>
      </w:r>
      <w:r>
        <w:rPr>
          <w:rFonts w:ascii="仿宋_GB2312" w:hAnsi="仿宋_GB2312" w:eastAsia="仿宋_GB2312"/>
          <w:sz w:val="32"/>
        </w:rPr>
        <w:t>，下设3个科室，分别是：办公室、财务室、生产力促进中心。</w:t>
      </w:r>
    </w:p>
    <w:p w14:paraId="2D742563">
      <w:r>
        <w:br w:type="page"/>
      </w:r>
    </w:p>
    <w:p w14:paraId="798F6206">
      <w:pPr>
        <w:spacing w:line="240" w:lineRule="auto"/>
        <w:jc w:val="center"/>
        <w:outlineLvl w:val="1"/>
      </w:pPr>
      <w:r>
        <w:rPr>
          <w:rFonts w:ascii="黑体" w:hAnsi="黑体" w:eastAsia="黑体"/>
          <w:sz w:val="32"/>
        </w:rPr>
        <w:t>第二部分 部门决算情况说明</w:t>
      </w:r>
    </w:p>
    <w:p w14:paraId="60A43201">
      <w:pPr>
        <w:spacing w:line="640" w:lineRule="exact"/>
        <w:ind w:firstLine="640"/>
        <w:jc w:val="both"/>
        <w:outlineLvl w:val="2"/>
      </w:pPr>
      <w:r>
        <w:rPr>
          <w:rFonts w:ascii="黑体" w:hAnsi="黑体" w:eastAsia="黑体"/>
          <w:sz w:val="32"/>
        </w:rPr>
        <w:t>一、收入支出决算总体情况说明</w:t>
      </w:r>
    </w:p>
    <w:p w14:paraId="2701C965">
      <w:pPr>
        <w:spacing w:line="580" w:lineRule="exact"/>
        <w:ind w:firstLine="640"/>
        <w:jc w:val="both"/>
      </w:pPr>
      <w:r>
        <w:rPr>
          <w:rFonts w:ascii="仿宋_GB2312" w:hAnsi="仿宋_GB2312" w:eastAsia="仿宋_GB2312"/>
          <w:b/>
          <w:sz w:val="32"/>
        </w:rPr>
        <w:t>2024年度收入总计136.37万元，</w:t>
      </w:r>
      <w:r>
        <w:rPr>
          <w:rFonts w:ascii="仿宋_GB2312" w:hAnsi="仿宋_GB2312" w:eastAsia="仿宋_GB2312"/>
          <w:b w:val="0"/>
          <w:sz w:val="32"/>
        </w:rPr>
        <w:t>其中：本年收入合计136.37万元，使用非财政拨款结余（含专用结余）0.00万元，年初结转和结余0.00万元。</w:t>
      </w:r>
    </w:p>
    <w:p w14:paraId="6412DF23">
      <w:pPr>
        <w:spacing w:line="580" w:lineRule="exact"/>
        <w:ind w:firstLine="640"/>
        <w:jc w:val="both"/>
      </w:pPr>
      <w:r>
        <w:rPr>
          <w:rFonts w:ascii="仿宋_GB2312" w:hAnsi="仿宋_GB2312" w:eastAsia="仿宋_GB2312"/>
          <w:b/>
          <w:sz w:val="32"/>
        </w:rPr>
        <w:t>2024年度支出总计136.37万元，</w:t>
      </w:r>
      <w:r>
        <w:rPr>
          <w:rFonts w:ascii="仿宋_GB2312" w:hAnsi="仿宋_GB2312" w:eastAsia="仿宋_GB2312"/>
          <w:b w:val="0"/>
          <w:sz w:val="32"/>
        </w:rPr>
        <w:t>其中：本年支出合计136.37万元，结余分配0.00万元，年末结转和结余0.00万元。</w:t>
      </w:r>
    </w:p>
    <w:p w14:paraId="301EAE80">
      <w:pPr>
        <w:spacing w:line="580" w:lineRule="exact"/>
        <w:ind w:firstLine="640"/>
        <w:jc w:val="both"/>
      </w:pPr>
      <w:r>
        <w:rPr>
          <w:rFonts w:ascii="仿宋_GB2312" w:hAnsi="仿宋_GB2312" w:eastAsia="仿宋_GB2312"/>
          <w:b w:val="0"/>
          <w:sz w:val="32"/>
        </w:rPr>
        <w:t>收入支出总体与上年相比，减少29.33万元，下降17.70%，主要原因是：本年无新增死亡人员，死亡抚恤支出较上年减少</w:t>
      </w:r>
      <w:r>
        <w:rPr>
          <w:rFonts w:hint="eastAsia" w:ascii="仿宋_GB2312" w:hAnsi="仿宋_GB2312" w:eastAsia="仿宋_GB2312"/>
          <w:b w:val="0"/>
          <w:sz w:val="32"/>
          <w:lang w:eastAsia="zh-CN"/>
        </w:rPr>
        <w:t>；</w:t>
      </w:r>
      <w:r>
        <w:rPr>
          <w:rFonts w:ascii="仿宋_GB2312" w:hAnsi="仿宋_GB2312" w:eastAsia="仿宋_GB2312"/>
          <w:b w:val="0"/>
          <w:sz w:val="32"/>
        </w:rPr>
        <w:t>减少科技成果转化资金。</w:t>
      </w:r>
    </w:p>
    <w:p w14:paraId="4782AB06">
      <w:pPr>
        <w:spacing w:line="640" w:lineRule="exact"/>
        <w:ind w:firstLine="640"/>
        <w:jc w:val="both"/>
        <w:outlineLvl w:val="2"/>
      </w:pPr>
      <w:r>
        <w:rPr>
          <w:rFonts w:ascii="黑体" w:hAnsi="黑体" w:eastAsia="黑体"/>
          <w:sz w:val="32"/>
        </w:rPr>
        <w:t>二、收入决算情况说明</w:t>
      </w:r>
    </w:p>
    <w:p w14:paraId="243C5C35">
      <w:pPr>
        <w:spacing w:line="580" w:lineRule="exact"/>
        <w:ind w:firstLine="640"/>
        <w:jc w:val="both"/>
      </w:pPr>
      <w:r>
        <w:rPr>
          <w:rFonts w:ascii="仿宋_GB2312" w:hAnsi="仿宋_GB2312" w:eastAsia="仿宋_GB2312"/>
          <w:b/>
          <w:sz w:val="32"/>
        </w:rPr>
        <w:t>本年收入136.37万元，</w:t>
      </w:r>
      <w:r>
        <w:rPr>
          <w:rFonts w:ascii="仿宋_GB2312" w:hAnsi="仿宋_GB2312" w:eastAsia="仿宋_GB2312"/>
          <w:b w:val="0"/>
          <w:sz w:val="32"/>
        </w:rPr>
        <w:t>其中：财政拨款收入136.37万元，占100.00%；上级补助收入0.00万元，占0.00%；事业收入0.00万元，占0.00%；经营收入0.00万元，占0.00%；附属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72CCDFC9">
      <w:pPr>
        <w:spacing w:line="640" w:lineRule="exact"/>
        <w:ind w:firstLine="640"/>
        <w:jc w:val="both"/>
        <w:outlineLvl w:val="2"/>
      </w:pPr>
      <w:r>
        <w:rPr>
          <w:rFonts w:ascii="黑体" w:hAnsi="黑体" w:eastAsia="黑体"/>
          <w:sz w:val="32"/>
        </w:rPr>
        <w:t>三、支出决算情况说明</w:t>
      </w:r>
    </w:p>
    <w:p w14:paraId="711BE5D1">
      <w:pPr>
        <w:spacing w:line="580" w:lineRule="exact"/>
        <w:ind w:firstLine="640"/>
        <w:jc w:val="both"/>
      </w:pPr>
      <w:r>
        <w:rPr>
          <w:rFonts w:ascii="仿宋_GB2312" w:hAnsi="仿宋_GB2312" w:eastAsia="仿宋_GB2312"/>
          <w:b/>
          <w:sz w:val="32"/>
        </w:rPr>
        <w:t>本年支出136.37万元，</w:t>
      </w:r>
      <w:r>
        <w:rPr>
          <w:rFonts w:ascii="仿宋_GB2312" w:hAnsi="仿宋_GB2312" w:eastAsia="仿宋_GB2312"/>
          <w:b w:val="0"/>
          <w:sz w:val="32"/>
        </w:rPr>
        <w:t>其中：基本支出136.37万元，占100.00%；项目支出0.00万元，占0.00%；上缴上级支出0.00万元，占0.00%；经营支出0.00万元，占0.00%；对附属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3F0A12D">
      <w:pPr>
        <w:spacing w:line="640" w:lineRule="exact"/>
        <w:ind w:firstLine="640"/>
        <w:jc w:val="both"/>
        <w:outlineLvl w:val="2"/>
      </w:pPr>
      <w:r>
        <w:rPr>
          <w:rFonts w:ascii="黑体" w:hAnsi="黑体" w:eastAsia="黑体"/>
          <w:sz w:val="32"/>
        </w:rPr>
        <w:t>四、财政拨款收入支出决算总体情况说明</w:t>
      </w:r>
    </w:p>
    <w:p w14:paraId="0CD973D8">
      <w:pPr>
        <w:spacing w:line="580" w:lineRule="exact"/>
        <w:ind w:firstLine="640"/>
        <w:jc w:val="both"/>
      </w:pPr>
      <w:r>
        <w:rPr>
          <w:rFonts w:ascii="仿宋_GB2312" w:hAnsi="仿宋_GB2312" w:eastAsia="仿宋_GB2312"/>
          <w:b/>
          <w:sz w:val="32"/>
        </w:rPr>
        <w:t>2024年度财政拨款收入总计136.37万元，</w:t>
      </w:r>
      <w:r>
        <w:rPr>
          <w:rFonts w:ascii="仿宋_GB2312" w:hAnsi="仿宋_GB2312" w:eastAsia="仿宋_GB2312"/>
          <w:b w:val="0"/>
          <w:sz w:val="32"/>
        </w:rPr>
        <w:t>其中：年初财政拨款结转和结余0.00万元，本年财政拨款收入136.37万元。</w:t>
      </w:r>
      <w:r>
        <w:rPr>
          <w:rFonts w:ascii="仿宋_GB2312" w:hAnsi="仿宋_GB2312" w:eastAsia="仿宋_GB2312"/>
          <w:b/>
          <w:sz w:val="32"/>
        </w:rPr>
        <w:t>财政拨款支出总计136.37万元，</w:t>
      </w:r>
      <w:r>
        <w:rPr>
          <w:rFonts w:ascii="仿宋_GB2312" w:hAnsi="仿宋_GB2312" w:eastAsia="仿宋_GB2312"/>
          <w:b w:val="0"/>
          <w:sz w:val="32"/>
        </w:rPr>
        <w:t>其中：年末财政拨款结转和结余0.00万元，本年财政拨款支出136.37万元。</w:t>
      </w:r>
    </w:p>
    <w:p w14:paraId="57A900E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减少26.96万元，下降16.51%，主要原因是：本年无新增死亡人员，死亡抚恤支出较上年减少</w:t>
      </w:r>
      <w:r>
        <w:rPr>
          <w:rFonts w:hint="eastAsia" w:ascii="仿宋_GB2312" w:hAnsi="仿宋_GB2312" w:eastAsia="仿宋_GB2312"/>
          <w:b w:val="0"/>
          <w:sz w:val="32"/>
          <w:lang w:eastAsia="zh-CN"/>
        </w:rPr>
        <w:t>；</w:t>
      </w:r>
      <w:r>
        <w:rPr>
          <w:rFonts w:ascii="仿宋_GB2312" w:hAnsi="仿宋_GB2312" w:eastAsia="仿宋_GB2312"/>
          <w:b w:val="0"/>
          <w:sz w:val="32"/>
        </w:rPr>
        <w:t>减少科技成果转化资金。</w:t>
      </w:r>
      <w:r>
        <w:rPr>
          <w:rFonts w:ascii="仿宋_GB2312" w:hAnsi="仿宋_GB2312" w:eastAsia="仿宋_GB2312"/>
          <w:b/>
          <w:sz w:val="32"/>
        </w:rPr>
        <w:t>与年初预算相比，</w:t>
      </w:r>
      <w:r>
        <w:rPr>
          <w:rFonts w:ascii="仿宋_GB2312" w:hAnsi="仿宋_GB2312" w:eastAsia="仿宋_GB2312"/>
          <w:b w:val="0"/>
          <w:sz w:val="32"/>
        </w:rPr>
        <w:t>年初预算数142.66万元，决算数136.37万元，预决算差异率-4.41%，主要原因是：本年在职人员减少，年中调减人员经费，导致预决算差异。</w:t>
      </w:r>
    </w:p>
    <w:p w14:paraId="05FAAA32">
      <w:pPr>
        <w:spacing w:line="640" w:lineRule="exact"/>
        <w:ind w:firstLine="640"/>
        <w:jc w:val="both"/>
        <w:outlineLvl w:val="2"/>
      </w:pPr>
      <w:r>
        <w:rPr>
          <w:rFonts w:ascii="黑体" w:hAnsi="黑体" w:eastAsia="黑体"/>
          <w:sz w:val="32"/>
        </w:rPr>
        <w:t>五、一般公共预算财政拨款支出决算情况说明</w:t>
      </w:r>
    </w:p>
    <w:p w14:paraId="48D5B4E2">
      <w:pPr>
        <w:spacing w:line="640" w:lineRule="exact"/>
        <w:ind w:firstLine="640"/>
        <w:jc w:val="both"/>
        <w:outlineLvl w:val="3"/>
      </w:pPr>
      <w:r>
        <w:rPr>
          <w:rFonts w:ascii="楷体_GB2312" w:hAnsi="楷体_GB2312" w:eastAsia="楷体_GB2312"/>
          <w:b/>
          <w:sz w:val="32"/>
        </w:rPr>
        <w:t>（一）一般公共预算财政拨款支出决算总体情况</w:t>
      </w:r>
    </w:p>
    <w:p w14:paraId="6933FFD6">
      <w:pPr>
        <w:spacing w:line="580" w:lineRule="exact"/>
        <w:ind w:firstLine="640"/>
        <w:jc w:val="both"/>
      </w:pPr>
      <w:r>
        <w:rPr>
          <w:rFonts w:ascii="仿宋_GB2312" w:hAnsi="仿宋_GB2312" w:eastAsia="仿宋_GB2312"/>
          <w:b/>
          <w:sz w:val="32"/>
        </w:rPr>
        <w:t>2024年度一般公共预算财政拨款支出136.37万元，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减少26.96万元，下降16.51%，主要原因是：本年无新增死亡人员，死亡抚恤支出较上年减少</w:t>
      </w:r>
      <w:r>
        <w:rPr>
          <w:rFonts w:hint="eastAsia" w:ascii="仿宋_GB2312" w:hAnsi="仿宋_GB2312" w:eastAsia="仿宋_GB2312"/>
          <w:b w:val="0"/>
          <w:sz w:val="32"/>
          <w:lang w:eastAsia="zh-CN"/>
        </w:rPr>
        <w:t>；</w:t>
      </w:r>
      <w:r>
        <w:rPr>
          <w:rFonts w:ascii="仿宋_GB2312" w:hAnsi="仿宋_GB2312" w:eastAsia="仿宋_GB2312"/>
          <w:b w:val="0"/>
          <w:sz w:val="32"/>
        </w:rPr>
        <w:t>减少科技成果转化资金。</w:t>
      </w:r>
      <w:r>
        <w:rPr>
          <w:rFonts w:ascii="仿宋_GB2312" w:hAnsi="仿宋_GB2312" w:eastAsia="仿宋_GB2312"/>
          <w:b/>
          <w:sz w:val="32"/>
        </w:rPr>
        <w:t>与年初预算相比,</w:t>
      </w:r>
      <w:r>
        <w:rPr>
          <w:rFonts w:ascii="仿宋_GB2312" w:hAnsi="仿宋_GB2312" w:eastAsia="仿宋_GB2312"/>
          <w:b w:val="0"/>
          <w:sz w:val="32"/>
        </w:rPr>
        <w:t>年初预算数142.66万元，决算数136.37万元，预决算差异率-4.41%，主要原因是：本年在职人员减少，年中调减人员经费，导致预决算差异。</w:t>
      </w:r>
    </w:p>
    <w:p w14:paraId="480EF254">
      <w:pPr>
        <w:spacing w:line="640" w:lineRule="exact"/>
        <w:ind w:firstLine="640"/>
        <w:jc w:val="both"/>
        <w:outlineLvl w:val="3"/>
      </w:pPr>
      <w:r>
        <w:rPr>
          <w:rFonts w:ascii="楷体_GB2312" w:hAnsi="楷体_GB2312" w:eastAsia="楷体_GB2312"/>
          <w:b/>
          <w:sz w:val="32"/>
        </w:rPr>
        <w:t>（二）一般公共预算财政拨款支出决算结构情况</w:t>
      </w:r>
    </w:p>
    <w:p w14:paraId="15DAD341">
      <w:pPr>
        <w:spacing w:line="580" w:lineRule="exact"/>
        <w:ind w:firstLine="640"/>
        <w:jc w:val="both"/>
      </w:pPr>
      <w:r>
        <w:rPr>
          <w:rFonts w:ascii="仿宋_GB2312" w:hAnsi="仿宋_GB2312" w:eastAsia="仿宋_GB2312"/>
          <w:b w:val="0"/>
          <w:sz w:val="32"/>
        </w:rPr>
        <w:t>1.科学技术支出(类)136.37万元,占100.00%。</w:t>
      </w:r>
    </w:p>
    <w:p w14:paraId="765FD3BF">
      <w:pPr>
        <w:spacing w:line="640" w:lineRule="exact"/>
        <w:ind w:firstLine="640"/>
        <w:jc w:val="both"/>
        <w:outlineLvl w:val="3"/>
      </w:pPr>
      <w:r>
        <w:rPr>
          <w:rFonts w:ascii="楷体_GB2312" w:hAnsi="楷体_GB2312" w:eastAsia="楷体_GB2312"/>
          <w:b/>
          <w:sz w:val="32"/>
        </w:rPr>
        <w:t>（三）一般公共预算财政拨款支出决算具体情况</w:t>
      </w:r>
    </w:p>
    <w:p w14:paraId="1C621578">
      <w:pPr>
        <w:spacing w:line="580" w:lineRule="exact"/>
        <w:ind w:firstLine="640"/>
        <w:jc w:val="both"/>
      </w:pPr>
      <w:r>
        <w:rPr>
          <w:rFonts w:ascii="仿宋_GB2312" w:hAnsi="仿宋_GB2312" w:eastAsia="仿宋_GB2312"/>
          <w:b w:val="0"/>
          <w:sz w:val="32"/>
        </w:rPr>
        <w:t>1.科学技术支出(类)科学技术管理事务(款)行政运行(项):支出决算数为136.37万元，比上年决算增加3.23万元，增长2.43%,主要原因是：本年在职人员工资调增，导致相关经费较上年有所增加。功能科目调整，住房公积金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74F3B547">
      <w:pPr>
        <w:spacing w:line="580" w:lineRule="exact"/>
        <w:ind w:firstLine="640"/>
        <w:jc w:val="both"/>
      </w:pPr>
      <w:r>
        <w:rPr>
          <w:rFonts w:ascii="仿宋_GB2312" w:hAnsi="仿宋_GB2312" w:eastAsia="仿宋_GB2312"/>
          <w:b w:val="0"/>
          <w:sz w:val="32"/>
        </w:rPr>
        <w:t>2.科学技术支出(类)技术研究与开发(款)科技成果转化与扩散(项):支出决算数为0.00万元，比上年决算减少8.00万元，下降100.00%,主要原因是：本年减少科技成果转化资金。</w:t>
      </w:r>
    </w:p>
    <w:p w14:paraId="61422AB2">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3.社会保障和就业支出(类)抚恤(款)死亡抚恤(项):支出决算数为0.00万元，比上年决算减少22.11万元，下降100.00%,主要原因是：本年无新增死亡人员，死亡抚恤支出较上年减少。</w:t>
      </w:r>
    </w:p>
    <w:p w14:paraId="74732E98">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0.08万元，下降100.00%,主要原因是：功能科目调整，住房公积金上年度单独列支，本年调整至主科目列支，导致经费较上年减少。</w:t>
      </w:r>
    </w:p>
    <w:p w14:paraId="50A96BCA">
      <w:pPr>
        <w:spacing w:line="640" w:lineRule="exact"/>
        <w:ind w:firstLine="640"/>
        <w:jc w:val="both"/>
        <w:outlineLvl w:val="2"/>
      </w:pPr>
      <w:r>
        <w:rPr>
          <w:rFonts w:ascii="黑体" w:hAnsi="黑体" w:eastAsia="黑体"/>
          <w:sz w:val="32"/>
        </w:rPr>
        <w:t>六、一般公共预算财政拨款基本支出决算情况说明</w:t>
      </w:r>
    </w:p>
    <w:p w14:paraId="28D4177D">
      <w:pPr>
        <w:spacing w:line="580" w:lineRule="exact"/>
        <w:ind w:firstLine="640"/>
        <w:jc w:val="both"/>
      </w:pPr>
      <w:r>
        <w:rPr>
          <w:rFonts w:ascii="仿宋_GB2312" w:hAnsi="仿宋_GB2312" w:eastAsia="仿宋_GB2312"/>
          <w:b w:val="0"/>
          <w:sz w:val="32"/>
        </w:rPr>
        <w:t>2024年度一般公共预算财政拨款基本支出136.37万元，其中：</w:t>
      </w:r>
      <w:r>
        <w:rPr>
          <w:rFonts w:ascii="仿宋_GB2312" w:hAnsi="仿宋_GB2312" w:eastAsia="仿宋_GB2312"/>
          <w:b/>
          <w:sz w:val="32"/>
        </w:rPr>
        <w:t>人员经费133.41万元，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基本养老保险缴费、职工基本医疗保险缴费、公务员医疗补助缴费、其他社会保障缴费、住房公积金、退休费、生活补助。</w:t>
      </w:r>
    </w:p>
    <w:p w14:paraId="5EAE5FA0">
      <w:pPr>
        <w:spacing w:line="580" w:lineRule="exact"/>
        <w:ind w:firstLine="640"/>
        <w:jc w:val="both"/>
      </w:pPr>
      <w:r>
        <w:rPr>
          <w:rFonts w:ascii="仿宋_GB2312" w:hAnsi="仿宋_GB2312" w:eastAsia="仿宋_GB2312"/>
          <w:b/>
          <w:sz w:val="32"/>
        </w:rPr>
        <w:t>公用经费2.96万元，</w:t>
      </w:r>
      <w:r>
        <w:rPr>
          <w:rFonts w:ascii="仿宋_GB2312" w:hAnsi="仿宋_GB2312" w:eastAsia="仿宋_GB2312"/>
          <w:b w:val="0"/>
          <w:sz w:val="32"/>
        </w:rPr>
        <w:t>包括：办公费、邮电费、差旅费、工会经费、公务用车运行维护费。</w:t>
      </w:r>
    </w:p>
    <w:p w14:paraId="732097D3">
      <w:pPr>
        <w:spacing w:line="640" w:lineRule="exact"/>
        <w:ind w:firstLine="640"/>
        <w:jc w:val="both"/>
        <w:outlineLvl w:val="2"/>
      </w:pPr>
      <w:r>
        <w:rPr>
          <w:rFonts w:ascii="黑体" w:hAnsi="黑体" w:eastAsia="黑体"/>
          <w:sz w:val="32"/>
        </w:rPr>
        <w:t>七、政府性基金预算财政拨款收入支出决算情况说明</w:t>
      </w:r>
    </w:p>
    <w:p w14:paraId="4D07075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0E61DFF">
      <w:pPr>
        <w:spacing w:line="640" w:lineRule="exact"/>
        <w:ind w:firstLine="640"/>
        <w:jc w:val="both"/>
        <w:outlineLvl w:val="2"/>
      </w:pPr>
      <w:r>
        <w:rPr>
          <w:rFonts w:ascii="黑体" w:hAnsi="黑体" w:eastAsia="黑体"/>
          <w:sz w:val="32"/>
        </w:rPr>
        <w:t>八、国有资本经营预算财政拨款收入支出决算情况说明</w:t>
      </w:r>
    </w:p>
    <w:p w14:paraId="02CE92A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E7E16ED">
      <w:pPr>
        <w:spacing w:line="640" w:lineRule="exact"/>
        <w:ind w:firstLine="640"/>
        <w:jc w:val="both"/>
        <w:outlineLvl w:val="2"/>
      </w:pPr>
      <w:r>
        <w:rPr>
          <w:rFonts w:ascii="黑体" w:hAnsi="黑体" w:eastAsia="黑体"/>
          <w:sz w:val="32"/>
        </w:rPr>
        <w:t>九、财政拨款“三公”经费支出决算情况说明</w:t>
      </w:r>
    </w:p>
    <w:p w14:paraId="071283CC">
      <w:pPr>
        <w:spacing w:line="580" w:lineRule="exact"/>
        <w:ind w:firstLine="640"/>
        <w:jc w:val="both"/>
      </w:pPr>
      <w:r>
        <w:rPr>
          <w:rFonts w:ascii="仿宋_GB2312" w:hAnsi="仿宋_GB2312" w:eastAsia="仿宋_GB2312"/>
          <w:b/>
          <w:sz w:val="32"/>
        </w:rPr>
        <w:t>2024年度财政拨款“三公”经费支出0.66万元，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0.66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0C8A39A1">
      <w:pPr>
        <w:spacing w:line="580" w:lineRule="exact"/>
        <w:ind w:firstLine="640"/>
        <w:jc w:val="both"/>
      </w:pPr>
      <w:r>
        <w:rPr>
          <w:rFonts w:ascii="仿宋_GB2312" w:hAnsi="仿宋_GB2312" w:eastAsia="仿宋_GB2312"/>
          <w:b/>
          <w:sz w:val="32"/>
        </w:rPr>
        <w:t>具体情况如下：</w:t>
      </w:r>
    </w:p>
    <w:p w14:paraId="6A1C93A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8B8152B">
      <w:pPr>
        <w:spacing w:line="580" w:lineRule="exact"/>
        <w:ind w:firstLine="640"/>
        <w:jc w:val="both"/>
      </w:pPr>
      <w:r>
        <w:rPr>
          <w:rFonts w:ascii="仿宋_GB2312" w:hAnsi="仿宋_GB2312" w:eastAsia="仿宋_GB2312"/>
          <w:b w:val="0"/>
          <w:sz w:val="32"/>
        </w:rPr>
        <w:t>公务用车购置及运行维护费0.66万元，其中：公务用车购置费0.00万元，公务用车运行维护费0.66万元。公务用车运行维护费开支内容包括车辆加油费、保险费、审车费、过路费等。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5E5C95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4845DD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0.66万元，决算数0.66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0.66万元，决算数0.66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466F38F">
      <w:pPr>
        <w:spacing w:line="640" w:lineRule="exact"/>
        <w:ind w:firstLine="640"/>
        <w:jc w:val="both"/>
        <w:outlineLvl w:val="2"/>
      </w:pPr>
      <w:r>
        <w:rPr>
          <w:rFonts w:ascii="黑体" w:hAnsi="黑体" w:eastAsia="黑体"/>
          <w:sz w:val="32"/>
        </w:rPr>
        <w:t>十、其他重要事项的情况说明</w:t>
      </w:r>
    </w:p>
    <w:p w14:paraId="2383508C">
      <w:pPr>
        <w:spacing w:line="640" w:lineRule="exact"/>
        <w:ind w:firstLine="640"/>
        <w:jc w:val="both"/>
        <w:outlineLvl w:val="3"/>
      </w:pPr>
      <w:r>
        <w:rPr>
          <w:rFonts w:ascii="楷体_GB2312" w:hAnsi="楷体_GB2312" w:eastAsia="楷体_GB2312"/>
          <w:b/>
          <w:sz w:val="32"/>
        </w:rPr>
        <w:t>（一）机关运行经费及公用经费支出情况</w:t>
      </w:r>
    </w:p>
    <w:p w14:paraId="216948A3">
      <w:pPr>
        <w:spacing w:line="580" w:lineRule="exact"/>
        <w:ind w:firstLine="640"/>
        <w:jc w:val="both"/>
      </w:pPr>
      <w:r>
        <w:rPr>
          <w:rFonts w:ascii="仿宋_GB2312" w:hAnsi="仿宋_GB2312" w:eastAsia="仿宋_GB2312"/>
          <w:b w:val="0"/>
          <w:sz w:val="32"/>
        </w:rPr>
        <w:t>2024年度特克斯县科学技术局（行政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）机关运行经费支出2.96万元，比上年减少7.21万元，下降70.89%，主要原因是：严控经费支出，厉行节约，减少经费支出。</w:t>
      </w:r>
    </w:p>
    <w:p w14:paraId="155B9572">
      <w:pPr>
        <w:spacing w:line="640" w:lineRule="exact"/>
        <w:ind w:firstLine="640"/>
        <w:jc w:val="both"/>
        <w:outlineLvl w:val="3"/>
      </w:pPr>
      <w:r>
        <w:rPr>
          <w:rFonts w:ascii="楷体_GB2312" w:hAnsi="楷体_GB2312" w:eastAsia="楷体_GB2312"/>
          <w:b/>
          <w:sz w:val="32"/>
        </w:rPr>
        <w:t>（二）政府采购情况</w:t>
      </w:r>
    </w:p>
    <w:p w14:paraId="52D20934">
      <w:pPr>
        <w:spacing w:line="580" w:lineRule="exact"/>
        <w:ind w:firstLine="640"/>
        <w:jc w:val="both"/>
      </w:pPr>
      <w:r>
        <w:rPr>
          <w:rFonts w:ascii="仿宋_GB2312" w:hAnsi="仿宋_GB2312" w:eastAsia="仿宋_GB2312"/>
          <w:b w:val="0"/>
          <w:sz w:val="32"/>
        </w:rPr>
        <w:t>2024年度政府采购支出总额0.07万元，其中：政府采购货物支出0.00万元、政府采购工程支出0.00万元、政府采购服务支出0.07万元。</w:t>
      </w:r>
    </w:p>
    <w:p w14:paraId="5A25A11F">
      <w:pPr>
        <w:spacing w:line="580" w:lineRule="exact"/>
        <w:ind w:firstLine="640"/>
        <w:jc w:val="both"/>
      </w:pPr>
      <w:r>
        <w:rPr>
          <w:rFonts w:ascii="仿宋_GB2312" w:hAnsi="仿宋_GB2312" w:eastAsia="仿宋_GB2312"/>
          <w:b w:val="0"/>
          <w:sz w:val="32"/>
        </w:rPr>
        <w:t>授予中小企业合同金额0.07万元，占政府采购支出总额的100.00%，其中：授予小微企业合同金额0.07万元，占政府采购支出总额的100.00%。</w:t>
      </w:r>
    </w:p>
    <w:p w14:paraId="708CD930">
      <w:pPr>
        <w:spacing w:line="640" w:lineRule="exact"/>
        <w:ind w:firstLine="640"/>
        <w:jc w:val="both"/>
        <w:outlineLvl w:val="3"/>
      </w:pPr>
      <w:r>
        <w:rPr>
          <w:rFonts w:ascii="楷体_GB2312" w:hAnsi="楷体_GB2312" w:eastAsia="楷体_GB2312"/>
          <w:b/>
          <w:sz w:val="32"/>
        </w:rPr>
        <w:t>（三）国有资产占用情况说明</w:t>
      </w:r>
    </w:p>
    <w:p w14:paraId="7207905C">
      <w:pPr>
        <w:spacing w:line="580" w:lineRule="exact"/>
        <w:ind w:firstLine="640"/>
        <w:jc w:val="both"/>
      </w:pPr>
      <w:r>
        <w:rPr>
          <w:rFonts w:ascii="仿宋_GB2312" w:hAnsi="仿宋_GB2312" w:eastAsia="仿宋_GB2312"/>
          <w:b w:val="0"/>
          <w:sz w:val="32"/>
        </w:rPr>
        <w:t>截至2024年12月31日，房屋0.00平方米，价值0.00万元。车辆1辆，价值24.38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059A5BF">
      <w:pPr>
        <w:spacing w:line="640" w:lineRule="exact"/>
        <w:ind w:firstLine="640"/>
        <w:jc w:val="both"/>
        <w:outlineLvl w:val="2"/>
      </w:pPr>
      <w:r>
        <w:rPr>
          <w:rFonts w:ascii="黑体" w:hAnsi="黑体" w:eastAsia="黑体"/>
          <w:sz w:val="32"/>
        </w:rPr>
        <w:t>十一、预算绩效的情况说明</w:t>
      </w:r>
    </w:p>
    <w:p w14:paraId="14E0FEF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2024年度预算绩效管理形成整体支出绩效自评表1个，全年预算总额136.37万元，实际执行总额136.37万元；预算绩效评价项目0个，全年预算数0.00万元，全年执行数0.00万元。预算绩效管理取得的成效：本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71087EA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8E9879D">
        <w:tblPrEx>
          <w:tblCellMar>
            <w:top w:w="0" w:type="dxa"/>
            <w:left w:w="108" w:type="dxa"/>
            <w:bottom w:w="0" w:type="dxa"/>
            <w:right w:w="108" w:type="dxa"/>
          </w:tblCellMar>
        </w:tblPrEx>
        <w:tc>
          <w:tcPr>
            <w:tcW w:w="8840" w:type="dxa"/>
            <w:gridSpan w:val="8"/>
            <w:vAlign w:val="center"/>
          </w:tcPr>
          <w:p w14:paraId="23BE5398">
            <w:pPr>
              <w:jc w:val="center"/>
            </w:pPr>
            <w:r>
              <w:rPr>
                <w:rFonts w:hint="eastAsia" w:ascii="宋体" w:hAnsi="宋体"/>
                <w:sz w:val="24"/>
                <w:lang w:eastAsia="zh-CN"/>
              </w:rPr>
              <w:t>单位</w:t>
            </w:r>
            <w:r>
              <w:rPr>
                <w:rFonts w:ascii="宋体" w:hAnsi="宋体" w:eastAsia="宋体"/>
                <w:sz w:val="24"/>
              </w:rPr>
              <w:t>整体支出绩效自评表</w:t>
            </w:r>
          </w:p>
        </w:tc>
      </w:tr>
      <w:tr w14:paraId="010E4770">
        <w:tblPrEx>
          <w:tblCellMar>
            <w:top w:w="0" w:type="dxa"/>
            <w:left w:w="108" w:type="dxa"/>
            <w:bottom w:w="0" w:type="dxa"/>
            <w:right w:w="108" w:type="dxa"/>
          </w:tblCellMar>
        </w:tblPrEx>
        <w:tc>
          <w:tcPr>
            <w:tcW w:w="8840" w:type="dxa"/>
            <w:gridSpan w:val="8"/>
            <w:vAlign w:val="center"/>
          </w:tcPr>
          <w:p w14:paraId="05C6ED5F">
            <w:pPr>
              <w:jc w:val="center"/>
            </w:pPr>
            <w:r>
              <w:rPr>
                <w:rFonts w:ascii="宋体" w:hAnsi="宋体" w:eastAsia="宋体"/>
                <w:sz w:val="24"/>
              </w:rPr>
              <w:t>（2024年度）</w:t>
            </w:r>
          </w:p>
        </w:tc>
      </w:tr>
      <w:tr w14:paraId="207D9F3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27939">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453FC0">
            <w:pPr>
              <w:jc w:val="center"/>
            </w:pPr>
            <w:r>
              <w:rPr>
                <w:rFonts w:ascii="宋体" w:hAnsi="宋体" w:eastAsia="宋体"/>
                <w:sz w:val="16"/>
              </w:rPr>
              <w:t>特克斯县科学技术局</w:t>
            </w:r>
          </w:p>
        </w:tc>
      </w:tr>
      <w:tr w14:paraId="0786DE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0E93A">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479B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B4C2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2EDF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0593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9489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CC0C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59119">
            <w:pPr>
              <w:jc w:val="center"/>
            </w:pPr>
            <w:r>
              <w:rPr>
                <w:rFonts w:ascii="宋体" w:hAnsi="宋体" w:eastAsia="宋体"/>
                <w:sz w:val="16"/>
              </w:rPr>
              <w:t>得分</w:t>
            </w:r>
          </w:p>
        </w:tc>
      </w:tr>
      <w:tr w14:paraId="31E615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1E41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44EA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1969C">
            <w:pPr>
              <w:jc w:val="center"/>
            </w:pPr>
            <w:r>
              <w:rPr>
                <w:rFonts w:ascii="宋体" w:hAnsi="宋体" w:eastAsia="宋体"/>
                <w:sz w:val="16"/>
              </w:rPr>
              <w:t>157.66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8C0A83">
            <w:pPr>
              <w:jc w:val="center"/>
            </w:pPr>
            <w:r>
              <w:rPr>
                <w:rFonts w:ascii="宋体" w:hAnsi="宋体" w:eastAsia="宋体"/>
                <w:sz w:val="16"/>
              </w:rPr>
              <w:t>136.37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7B838">
            <w:pPr>
              <w:jc w:val="center"/>
            </w:pPr>
            <w:r>
              <w:rPr>
                <w:rFonts w:ascii="宋体" w:hAnsi="宋体" w:eastAsia="宋体"/>
                <w:sz w:val="16"/>
              </w:rPr>
              <w:t>136.37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84B2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0D38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CBF72">
            <w:pPr>
              <w:jc w:val="center"/>
            </w:pPr>
            <w:r>
              <w:rPr>
                <w:rFonts w:ascii="宋体" w:hAnsi="宋体" w:eastAsia="宋体"/>
                <w:sz w:val="16"/>
              </w:rPr>
              <w:t>10</w:t>
            </w:r>
          </w:p>
        </w:tc>
      </w:tr>
      <w:tr w14:paraId="1B768D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5D8EB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E1DB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004A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F163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DA0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61D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AFB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CBFDF">
            <w:pPr>
              <w:jc w:val="center"/>
            </w:pPr>
            <w:r>
              <w:rPr>
                <w:rFonts w:ascii="宋体" w:hAnsi="宋体" w:eastAsia="宋体"/>
                <w:sz w:val="16"/>
              </w:rPr>
              <w:t>-</w:t>
            </w:r>
          </w:p>
        </w:tc>
      </w:tr>
      <w:tr w14:paraId="01C25F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1244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3035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2760C">
            <w:pPr>
              <w:jc w:val="center"/>
            </w:pPr>
            <w:r>
              <w:rPr>
                <w:rFonts w:ascii="宋体" w:hAnsi="宋体" w:eastAsia="宋体"/>
                <w:sz w:val="16"/>
              </w:rPr>
              <w:t>142.66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3BEEA">
            <w:pPr>
              <w:jc w:val="center"/>
            </w:pPr>
            <w:r>
              <w:rPr>
                <w:rFonts w:ascii="宋体" w:hAnsi="宋体" w:eastAsia="宋体"/>
                <w:sz w:val="16"/>
              </w:rPr>
              <w:t>136.37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54008">
            <w:pPr>
              <w:jc w:val="center"/>
            </w:pPr>
            <w:r>
              <w:rPr>
                <w:rFonts w:ascii="宋体" w:hAnsi="宋体" w:eastAsia="宋体"/>
                <w:sz w:val="16"/>
              </w:rPr>
              <w:t>136.37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C23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9DA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B6468">
            <w:pPr>
              <w:jc w:val="center"/>
            </w:pPr>
            <w:r>
              <w:rPr>
                <w:rFonts w:ascii="宋体" w:hAnsi="宋体" w:eastAsia="宋体"/>
                <w:sz w:val="16"/>
              </w:rPr>
              <w:t>-</w:t>
            </w:r>
          </w:p>
        </w:tc>
      </w:tr>
      <w:tr w14:paraId="1A441D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4917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5F92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32E42">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1CE6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3D13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E3AD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C21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7E791">
            <w:pPr>
              <w:jc w:val="center"/>
            </w:pPr>
            <w:r>
              <w:rPr>
                <w:rFonts w:ascii="宋体" w:hAnsi="宋体" w:eastAsia="宋体"/>
                <w:sz w:val="16"/>
              </w:rPr>
              <w:t>-</w:t>
            </w:r>
          </w:p>
        </w:tc>
      </w:tr>
      <w:tr w14:paraId="69DAC2C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C493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3E377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B48B10">
            <w:pPr>
              <w:jc w:val="center"/>
            </w:pPr>
            <w:r>
              <w:rPr>
                <w:rFonts w:ascii="宋体" w:hAnsi="宋体" w:eastAsia="宋体"/>
                <w:sz w:val="16"/>
              </w:rPr>
              <w:t>实际完成情况</w:t>
            </w:r>
          </w:p>
        </w:tc>
      </w:tr>
      <w:tr w14:paraId="4C2BCC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8D2B1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B6D9E6">
            <w:pPr>
              <w:jc w:val="both"/>
            </w:pPr>
            <w:r>
              <w:rPr>
                <w:rFonts w:ascii="宋体" w:hAnsi="宋体" w:eastAsia="宋体"/>
                <w:sz w:val="16"/>
              </w:rPr>
              <w:t>贯彻落实科技创新工作：1、科技项目申报工作，把科技项目作为科技创新支撑乡村振兴、产业发展和提升创新发展能力的重要载体，积极谋划储备一批，实行科技项目动态储备；2、“科技活动周”、“科技特派员”培训工作，明确责任分工和工作措施，联合、协调有关部门、乡镇，合力推进高企培育、科技特派员等工作；3、“创新创业大赛”工作，制定科技创新重点任务指标责任分解方案、高新技术企业培育申报实施方案、“科技创新赋能高质量发展</w:t>
            </w:r>
            <w:r>
              <w:rPr>
                <w:rFonts w:hint="eastAsia" w:ascii="宋体" w:hAnsi="宋体"/>
                <w:sz w:val="16"/>
                <w:lang w:eastAsia="zh-CN"/>
              </w:rPr>
              <w:t>行动</w:t>
            </w:r>
            <w:r>
              <w:rPr>
                <w:rFonts w:ascii="宋体" w:hAnsi="宋体" w:eastAsia="宋体"/>
                <w:sz w:val="16"/>
              </w:rPr>
              <w:t>”计划等。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8A832A">
            <w:pPr>
              <w:jc w:val="both"/>
            </w:pPr>
            <w:r>
              <w:rPr>
                <w:rFonts w:ascii="宋体" w:hAnsi="宋体" w:eastAsia="宋体"/>
                <w:sz w:val="16"/>
              </w:rPr>
              <w:t>一是</w:t>
            </w:r>
            <w:r>
              <w:rPr>
                <w:rFonts w:hint="eastAsia" w:ascii="宋体" w:hAnsi="宋体"/>
                <w:sz w:val="16"/>
                <w:lang w:eastAsia="zh-CN"/>
              </w:rPr>
              <w:t>巩固拓展主题教育成果</w:t>
            </w:r>
            <w:r>
              <w:rPr>
                <w:rFonts w:ascii="宋体" w:hAnsi="宋体" w:eastAsia="宋体"/>
                <w:sz w:val="16"/>
              </w:rPr>
              <w:t>，组织好</w:t>
            </w:r>
            <w:r>
              <w:rPr>
                <w:rFonts w:hint="eastAsia" w:ascii="宋体" w:hAnsi="宋体"/>
                <w:sz w:val="16"/>
                <w:lang w:eastAsia="zh-CN"/>
              </w:rPr>
              <w:t>党纪学习教育</w:t>
            </w:r>
            <w:r>
              <w:rPr>
                <w:rFonts w:ascii="宋体" w:hAnsi="宋体" w:eastAsia="宋体"/>
                <w:sz w:val="16"/>
              </w:rPr>
              <w:t>，开展理论学习中心组学习13次、干部集中学习18次，召开党纪专题研讨2次，开展党日活动10次；组织干部、科技特派员、企业等参加自治区、州组织的各类线上线下科技业务培训等20余场次；借助网络、学习强国等平台，强化自学，与院校专家、企业家交流，科技创新发展能力持续提升。二是加大对企业的指导服务。7家高企获得自治州高企认定奖励资金130万元，引导企业配套投入890万元，自治区高企认定、研发费用奖励资料已报送。三是根据《伊犁州科技特派员管理办法》，扩大科技特派员选聘范围，由农牧业向食品加工、文旅、电商及企业管理等方面拓展，达到140人。组织科技特派员组团服务，探索建立科技特派团2个。全疆科技特派员培训观摩在我县开展半天，助推了我县科技特派员工作提升。</w:t>
            </w:r>
          </w:p>
        </w:tc>
      </w:tr>
      <w:tr w14:paraId="56B9882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F0F4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D7CD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BEEA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7C85E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365D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C8E3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067E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93731">
            <w:pPr>
              <w:jc w:val="center"/>
            </w:pPr>
            <w:r>
              <w:rPr>
                <w:rFonts w:ascii="宋体" w:hAnsi="宋体" w:eastAsia="宋体"/>
                <w:sz w:val="16"/>
              </w:rPr>
              <w:t>得分</w:t>
            </w:r>
          </w:p>
        </w:tc>
      </w:tr>
      <w:tr w14:paraId="0701089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C576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D693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6607F">
            <w:pPr>
              <w:jc w:val="center"/>
            </w:pPr>
            <w:r>
              <w:rPr>
                <w:rFonts w:ascii="宋体" w:hAnsi="宋体" w:eastAsia="宋体"/>
                <w:sz w:val="16"/>
              </w:rPr>
              <w:t>申报科技计划项目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09471">
            <w:pPr>
              <w:jc w:val="center"/>
            </w:pPr>
            <w:r>
              <w:rPr>
                <w:rFonts w:ascii="宋体" w:hAnsi="宋体" w:eastAsia="宋体"/>
                <w:sz w:val="16"/>
              </w:rPr>
              <w:t>&gt;=13个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3A9F7">
            <w:pPr>
              <w:jc w:val="center"/>
            </w:pPr>
            <w:r>
              <w:rPr>
                <w:rFonts w:hint="eastAsia" w:ascii="宋体" w:hAnsi="宋体"/>
                <w:sz w:val="16"/>
                <w:lang w:eastAsia="zh-CN"/>
              </w:rPr>
              <w:t>“十四五”规划</w:t>
            </w:r>
            <w:r>
              <w:rPr>
                <w:rFonts w:ascii="宋体" w:hAnsi="宋体" w:eastAsia="宋体"/>
                <w:sz w:val="16"/>
              </w:rPr>
              <w:t>、科技创新工作计划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8F3F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601D7">
            <w:pPr>
              <w:jc w:val="center"/>
            </w:pPr>
            <w:r>
              <w:rPr>
                <w:rFonts w:ascii="宋体" w:hAnsi="宋体" w:eastAsia="宋体"/>
                <w:sz w:val="16"/>
              </w:rPr>
              <w:t>13个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9465A">
            <w:pPr>
              <w:jc w:val="center"/>
            </w:pPr>
            <w:r>
              <w:rPr>
                <w:rFonts w:ascii="宋体" w:hAnsi="宋体" w:eastAsia="宋体"/>
                <w:sz w:val="16"/>
              </w:rPr>
              <w:t>30</w:t>
            </w:r>
          </w:p>
        </w:tc>
      </w:tr>
      <w:tr w14:paraId="09ECC0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43A01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4D187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0FF76">
            <w:pPr>
              <w:jc w:val="center"/>
            </w:pPr>
            <w:r>
              <w:rPr>
                <w:rFonts w:ascii="宋体" w:hAnsi="宋体" w:eastAsia="宋体"/>
                <w:sz w:val="16"/>
              </w:rPr>
              <w:t>开展“科技活动周”活动场次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EB488">
            <w:pPr>
              <w:jc w:val="center"/>
            </w:pPr>
            <w:r>
              <w:rPr>
                <w:rFonts w:ascii="宋体" w:hAnsi="宋体" w:eastAsia="宋体"/>
                <w:sz w:val="16"/>
              </w:rPr>
              <w:t>&gt;=2场次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B1956">
            <w:pPr>
              <w:jc w:val="center"/>
            </w:pPr>
            <w:r>
              <w:rPr>
                <w:rFonts w:hint="eastAsia" w:ascii="宋体" w:hAnsi="宋体"/>
                <w:sz w:val="16"/>
                <w:lang w:eastAsia="zh-CN"/>
              </w:rPr>
              <w:t>“十四五”规划</w:t>
            </w:r>
            <w:r>
              <w:rPr>
                <w:rFonts w:ascii="宋体" w:hAnsi="宋体" w:eastAsia="宋体"/>
                <w:sz w:val="16"/>
              </w:rPr>
              <w:t>、科技创新工作计划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9469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39DB3">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5C860">
            <w:pPr>
              <w:jc w:val="center"/>
            </w:pPr>
            <w:r>
              <w:rPr>
                <w:rFonts w:ascii="宋体" w:hAnsi="宋体" w:eastAsia="宋体"/>
                <w:sz w:val="16"/>
              </w:rPr>
              <w:t>20</w:t>
            </w:r>
          </w:p>
        </w:tc>
      </w:tr>
      <w:tr w14:paraId="302913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ED321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B0F50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F6BFC">
            <w:pPr>
              <w:jc w:val="center"/>
            </w:pPr>
            <w:r>
              <w:rPr>
                <w:rFonts w:ascii="宋体" w:hAnsi="宋体" w:eastAsia="宋体"/>
                <w:sz w:val="16"/>
              </w:rPr>
              <w:t>开展“科技特派员”培训场次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BDD87">
            <w:pPr>
              <w:jc w:val="center"/>
            </w:pPr>
            <w:r>
              <w:rPr>
                <w:rFonts w:ascii="宋体" w:hAnsi="宋体" w:eastAsia="宋体"/>
                <w:sz w:val="16"/>
              </w:rPr>
              <w:t>&gt;=16场次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8048A">
            <w:pPr>
              <w:jc w:val="center"/>
            </w:pPr>
            <w:r>
              <w:rPr>
                <w:rFonts w:hint="eastAsia" w:ascii="宋体" w:hAnsi="宋体"/>
                <w:sz w:val="16"/>
                <w:lang w:eastAsia="zh-CN"/>
              </w:rPr>
              <w:t>“十四五”规划</w:t>
            </w:r>
            <w:r>
              <w:rPr>
                <w:rFonts w:ascii="宋体" w:hAnsi="宋体" w:eastAsia="宋体"/>
                <w:sz w:val="16"/>
              </w:rPr>
              <w:t>、科技创新工作计划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35F2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7D6EDE">
            <w:pPr>
              <w:jc w:val="center"/>
            </w:pPr>
            <w:r>
              <w:rPr>
                <w:rFonts w:ascii="宋体" w:hAnsi="宋体" w:eastAsia="宋体"/>
                <w:sz w:val="16"/>
              </w:rPr>
              <w:t>16场次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108F9">
            <w:pPr>
              <w:jc w:val="center"/>
            </w:pPr>
            <w:r>
              <w:rPr>
                <w:rFonts w:ascii="宋体" w:hAnsi="宋体" w:eastAsia="宋体"/>
                <w:sz w:val="16"/>
              </w:rPr>
              <w:t>20</w:t>
            </w:r>
          </w:p>
        </w:tc>
      </w:tr>
      <w:tr w14:paraId="68923A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E8AD4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0681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ADF0C">
            <w:pPr>
              <w:jc w:val="center"/>
            </w:pPr>
            <w:r>
              <w:rPr>
                <w:rFonts w:ascii="宋体" w:hAnsi="宋体" w:eastAsia="宋体"/>
                <w:sz w:val="16"/>
              </w:rPr>
              <w:t>开展“创新创业大赛”活动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3DA03">
            <w:pPr>
              <w:jc w:val="center"/>
            </w:pPr>
            <w:r>
              <w:rPr>
                <w:rFonts w:ascii="宋体" w:hAnsi="宋体" w:eastAsia="宋体"/>
                <w:sz w:val="16"/>
              </w:rPr>
              <w:t>&gt;=1场次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00170">
            <w:pPr>
              <w:jc w:val="center"/>
            </w:pPr>
            <w:r>
              <w:rPr>
                <w:rFonts w:ascii="宋体" w:hAnsi="宋体" w:eastAsia="宋体"/>
                <w:sz w:val="16"/>
              </w:rPr>
              <w:t>科技创新工作计划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6FE6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C69B6">
            <w:pPr>
              <w:jc w:val="center"/>
            </w:pPr>
            <w:r>
              <w:rPr>
                <w:rFonts w:ascii="宋体" w:hAnsi="宋体" w:eastAsia="宋体"/>
                <w:sz w:val="16"/>
              </w:rPr>
              <w: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6B4B1">
            <w:pPr>
              <w:jc w:val="center"/>
            </w:pPr>
            <w:r>
              <w:rPr>
                <w:rFonts w:ascii="宋体" w:hAnsi="宋体" w:eastAsia="宋体"/>
                <w:sz w:val="16"/>
              </w:rPr>
              <w:t>20</w:t>
            </w:r>
          </w:p>
        </w:tc>
      </w:tr>
    </w:tbl>
    <w:p w14:paraId="65AF920D">
      <w:r>
        <w:br w:type="page"/>
      </w:r>
    </w:p>
    <w:p w14:paraId="5B0A31C8">
      <w:pPr>
        <w:spacing w:line="640" w:lineRule="exact"/>
        <w:ind w:firstLine="640"/>
        <w:jc w:val="both"/>
        <w:outlineLvl w:val="2"/>
      </w:pPr>
      <w:r>
        <w:rPr>
          <w:rFonts w:ascii="黑体" w:hAnsi="黑体" w:eastAsia="黑体"/>
          <w:sz w:val="32"/>
        </w:rPr>
        <w:t>十二、其他需说明的事项</w:t>
      </w:r>
    </w:p>
    <w:p w14:paraId="6478CE8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9940400">
      <w:r>
        <w:br w:type="page"/>
      </w:r>
    </w:p>
    <w:p w14:paraId="44DB60EF">
      <w:pPr>
        <w:spacing w:line="240" w:lineRule="auto"/>
        <w:jc w:val="center"/>
        <w:outlineLvl w:val="1"/>
      </w:pPr>
      <w:r>
        <w:rPr>
          <w:rFonts w:ascii="黑体" w:hAnsi="黑体" w:eastAsia="黑体"/>
          <w:sz w:val="32"/>
        </w:rPr>
        <w:t>第三部分 专业名词解释</w:t>
      </w:r>
    </w:p>
    <w:p w14:paraId="4C8D69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EACF0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07FB91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207231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7273ED2">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52F4B0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80F58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88FEC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51EE9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E99B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57D9DE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E87ED98">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F71DC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491D6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FBABAAF">
      <w:r>
        <w:br w:type="page"/>
      </w:r>
    </w:p>
    <w:p w14:paraId="291B5EAD">
      <w:pPr>
        <w:spacing w:line="240" w:lineRule="auto"/>
        <w:jc w:val="center"/>
        <w:outlineLvl w:val="1"/>
      </w:pPr>
      <w:r>
        <w:rPr>
          <w:rFonts w:ascii="黑体" w:hAnsi="黑体" w:eastAsia="黑体"/>
          <w:sz w:val="32"/>
        </w:rPr>
        <w:t>第四部分 部门决算报表（见附表）</w:t>
      </w:r>
    </w:p>
    <w:p w14:paraId="6E06E0C1">
      <w:pPr>
        <w:spacing w:line="240" w:lineRule="auto"/>
        <w:ind w:firstLine="640"/>
        <w:jc w:val="both"/>
      </w:pPr>
      <w:r>
        <w:rPr>
          <w:rFonts w:ascii="仿宋_GB2312" w:hAnsi="仿宋_GB2312" w:eastAsia="仿宋_GB2312"/>
          <w:b w:val="0"/>
          <w:sz w:val="32"/>
        </w:rPr>
        <w:t>一、《收入支出决算总表》</w:t>
      </w:r>
    </w:p>
    <w:p w14:paraId="4ECB5F27">
      <w:pPr>
        <w:spacing w:line="240" w:lineRule="auto"/>
        <w:ind w:firstLine="640"/>
        <w:jc w:val="both"/>
      </w:pPr>
      <w:r>
        <w:rPr>
          <w:rFonts w:ascii="仿宋_GB2312" w:hAnsi="仿宋_GB2312" w:eastAsia="仿宋_GB2312"/>
          <w:b w:val="0"/>
          <w:sz w:val="32"/>
        </w:rPr>
        <w:t>二、《收入决算表》</w:t>
      </w:r>
    </w:p>
    <w:p w14:paraId="0BD74F9A">
      <w:pPr>
        <w:spacing w:line="240" w:lineRule="auto"/>
        <w:ind w:firstLine="640"/>
        <w:jc w:val="both"/>
      </w:pPr>
      <w:r>
        <w:rPr>
          <w:rFonts w:ascii="仿宋_GB2312" w:hAnsi="仿宋_GB2312" w:eastAsia="仿宋_GB2312"/>
          <w:b w:val="0"/>
          <w:sz w:val="32"/>
        </w:rPr>
        <w:t>三、《支出决算表》</w:t>
      </w:r>
    </w:p>
    <w:p w14:paraId="3546A82A">
      <w:pPr>
        <w:spacing w:line="240" w:lineRule="auto"/>
        <w:ind w:firstLine="640"/>
        <w:jc w:val="both"/>
      </w:pPr>
      <w:r>
        <w:rPr>
          <w:rFonts w:ascii="仿宋_GB2312" w:hAnsi="仿宋_GB2312" w:eastAsia="仿宋_GB2312"/>
          <w:b w:val="0"/>
          <w:sz w:val="32"/>
        </w:rPr>
        <w:t>四、《财政拨款收入支出决算总表》</w:t>
      </w:r>
    </w:p>
    <w:p w14:paraId="29043304">
      <w:pPr>
        <w:spacing w:line="240" w:lineRule="auto"/>
        <w:ind w:firstLine="640"/>
        <w:jc w:val="both"/>
      </w:pPr>
      <w:r>
        <w:rPr>
          <w:rFonts w:ascii="仿宋_GB2312" w:hAnsi="仿宋_GB2312" w:eastAsia="仿宋_GB2312"/>
          <w:b w:val="0"/>
          <w:sz w:val="32"/>
        </w:rPr>
        <w:t>五、《一般公共预算财政拨款支出决算表》</w:t>
      </w:r>
    </w:p>
    <w:p w14:paraId="4E282479">
      <w:pPr>
        <w:spacing w:line="240" w:lineRule="auto"/>
        <w:ind w:firstLine="640"/>
        <w:jc w:val="both"/>
      </w:pPr>
      <w:r>
        <w:rPr>
          <w:rFonts w:ascii="仿宋_GB2312" w:hAnsi="仿宋_GB2312" w:eastAsia="仿宋_GB2312"/>
          <w:b w:val="0"/>
          <w:sz w:val="32"/>
        </w:rPr>
        <w:t>六、《一般公共预算财政拨款基本支出决算表》</w:t>
      </w:r>
    </w:p>
    <w:p w14:paraId="12F2EADF">
      <w:pPr>
        <w:spacing w:line="240" w:lineRule="auto"/>
        <w:ind w:firstLine="640"/>
        <w:jc w:val="both"/>
      </w:pPr>
      <w:r>
        <w:rPr>
          <w:rFonts w:ascii="仿宋_GB2312" w:hAnsi="仿宋_GB2312" w:eastAsia="仿宋_GB2312"/>
          <w:b w:val="0"/>
          <w:sz w:val="32"/>
        </w:rPr>
        <w:t>七、《政府性基金预算财政拨款收入支出决算表》</w:t>
      </w:r>
    </w:p>
    <w:p w14:paraId="01579308">
      <w:pPr>
        <w:spacing w:line="240" w:lineRule="auto"/>
        <w:ind w:firstLine="640"/>
        <w:jc w:val="both"/>
      </w:pPr>
      <w:r>
        <w:rPr>
          <w:rFonts w:ascii="仿宋_GB2312" w:hAnsi="仿宋_GB2312" w:eastAsia="仿宋_GB2312"/>
          <w:b w:val="0"/>
          <w:sz w:val="32"/>
        </w:rPr>
        <w:t>八、《国有资本经营预算财政拨款收入支出决算表》</w:t>
      </w:r>
    </w:p>
    <w:p w14:paraId="0C5A5CA0">
      <w:pPr>
        <w:spacing w:line="240" w:lineRule="auto"/>
        <w:ind w:firstLine="640"/>
        <w:jc w:val="both"/>
      </w:pPr>
      <w:r>
        <w:rPr>
          <w:rFonts w:ascii="仿宋_GB2312" w:hAnsi="仿宋_GB2312" w:eastAsia="仿宋_GB2312"/>
          <w:b w:val="0"/>
          <w:sz w:val="32"/>
        </w:rPr>
        <w:t>九、《财政拨款“三公”经费支出决算表》</w:t>
      </w:r>
    </w:p>
    <w:p w14:paraId="1E955E84">
      <w:pPr>
        <w:spacing w:line="240" w:lineRule="auto"/>
        <w:ind w:firstLine="640"/>
        <w:jc w:val="both"/>
      </w:pPr>
    </w:p>
    <w:p w14:paraId="6108B6ED">
      <w:pPr>
        <w:spacing w:line="240" w:lineRule="auto"/>
        <w:ind w:firstLine="640"/>
        <w:jc w:val="both"/>
      </w:pPr>
    </w:p>
    <w:p w14:paraId="6120884D">
      <w:pPr>
        <w:spacing w:line="240" w:lineRule="auto"/>
        <w:ind w:firstLine="640"/>
        <w:jc w:val="both"/>
      </w:pPr>
    </w:p>
    <w:p w14:paraId="50D99CF4">
      <w:pPr>
        <w:spacing w:line="240" w:lineRule="auto"/>
        <w:ind w:firstLine="640"/>
        <w:jc w:val="both"/>
      </w:pPr>
    </w:p>
    <w:p w14:paraId="365917F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33E68F-F7FE-4311-81E1-6AE6793931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CBC46D6-774E-4DCD-A8ED-82DC173B0555}"/>
  </w:font>
  <w:font w:name="仿宋_GB2312">
    <w:panose1 w:val="02010609030101010101"/>
    <w:charset w:val="86"/>
    <w:family w:val="auto"/>
    <w:pitch w:val="default"/>
    <w:sig w:usb0="00000001" w:usb1="080E0000" w:usb2="00000000" w:usb3="00000000" w:csb0="00040000" w:csb1="00000000"/>
    <w:embedRegular r:id="rId3" w:fontKey="{2C92DD24-D11E-4011-87AF-EFDF3D8F9A5E}"/>
  </w:font>
  <w:font w:name="楷体_GB2312">
    <w:panose1 w:val="02010609030101010101"/>
    <w:charset w:val="86"/>
    <w:family w:val="auto"/>
    <w:pitch w:val="default"/>
    <w:sig w:usb0="00000001" w:usb1="080E0000" w:usb2="00000000" w:usb3="00000000" w:csb0="00040000" w:csb1="00000000"/>
    <w:embedRegular r:id="rId4" w:fontKey="{B74AA025-6917-46E5-9BD9-E8B3FBEC8E6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A6261E"/>
    <w:rsid w:val="19071D6C"/>
    <w:rsid w:val="19B5554D"/>
    <w:rsid w:val="1A5D1977"/>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DD5C9E"/>
    <w:rsid w:val="42E64542"/>
    <w:rsid w:val="464B7E04"/>
    <w:rsid w:val="464F7E64"/>
    <w:rsid w:val="46901EEE"/>
    <w:rsid w:val="469C74D2"/>
    <w:rsid w:val="47445515"/>
    <w:rsid w:val="476615BC"/>
    <w:rsid w:val="489C2B3B"/>
    <w:rsid w:val="4B4C0111"/>
    <w:rsid w:val="4BB23021"/>
    <w:rsid w:val="4F3F074E"/>
    <w:rsid w:val="50DB5F45"/>
    <w:rsid w:val="51330760"/>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9d4cca08-e8d5-4e37-9680-b1f819ef11c6</errorID>
      <errorWord>2月31日</errorWord>
      <group>L1_Sensitive</group>
      <groupName>敏感问题</groupName>
      <ability>L2_UserSensitive</ability>
      <abilityName>自定义敏感词</abilityName>
      <candidateList/>
      <explain>来自自定义敏感词库。</explain>
      <paraID>7207905C</paraID>
      <start>8</start>
      <end>13</end>
      <status>unmodified</status>
      <modifiedWord/>
      <trackRevisions>false</trackRevisions>
    </reviewItem>
    <reviewItem>
      <errorID>73bec3a6-e6f8-482f-a57a-8e1501a87a51</errorID>
      <errorWord>习教育</errorWord>
      <group>L1_Other</group>
      <groupName>其他问题</groupName>
      <ability>L2_UserTypo</ability>
      <abilityName>自定义错误</abilityName>
      <candidateList>
        <item>题教育</item>
      </candidateList>
      <explain>来自自定义错词库。</explain>
      <paraID>4C8A832A</paraID>
      <start>19</start>
      <end>22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56747c-9598-4aef-890f-db52fc4b4a79}">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4356</Words>
  <Characters>4903</Characters>
  <Lines>0</Lines>
  <Paragraphs>0</Paragraphs>
  <TotalTime>6</TotalTime>
  <ScaleCrop>false</ScaleCrop>
  <LinksUpToDate>false</LinksUpToDate>
  <CharactersWithSpaces>4911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