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特克斯县特克斯镇卫生院2024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8A963D">
      <w:r>
        <w:br w:type="page"/>
      </w:r>
    </w:p>
    <w:p w14:paraId="57CC667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A64E5FC">
      <w:pPr>
        <w:spacing w:line="640" w:lineRule="exact"/>
        <w:ind w:firstLine="640"/>
        <w:jc w:val="both"/>
        <w:outlineLvl w:val="2"/>
      </w:pPr>
      <w:r>
        <w:rPr>
          <w:rFonts w:ascii="黑体" w:hAnsi="黑体" w:eastAsia="黑体"/>
          <w:sz w:val="32"/>
        </w:rPr>
        <w:t>一、主要职能</w:t>
      </w:r>
    </w:p>
    <w:p w14:paraId="0332D7B1">
      <w:pPr>
        <w:spacing w:line="580" w:lineRule="exact"/>
        <w:ind w:firstLine="640"/>
        <w:jc w:val="both"/>
      </w:pPr>
      <w:r>
        <w:rPr>
          <w:rFonts w:ascii="仿宋_GB2312" w:hAnsi="仿宋_GB2312" w:eastAsia="仿宋_GB2312"/>
          <w:sz w:val="32"/>
        </w:rPr>
        <w:t>（1）为人民健康医疗与预防保健服务，常见病多发病治疗和护理。</w:t>
      </w:r>
    </w:p>
    <w:p w14:paraId="74D7E42D">
      <w:pPr>
        <w:spacing w:line="580" w:lineRule="exact"/>
        <w:ind w:firstLine="640"/>
        <w:jc w:val="both"/>
      </w:pPr>
      <w:r>
        <w:rPr>
          <w:rFonts w:ascii="仿宋_GB2312" w:hAnsi="仿宋_GB2312" w:eastAsia="仿宋_GB2312"/>
          <w:sz w:val="32"/>
        </w:rPr>
        <w:t>（2）预防保健；卫生人员技术培训。</w:t>
      </w:r>
    </w:p>
    <w:p w14:paraId="3F6BCA22">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0417C070">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14:paraId="3EE2BD9B">
      <w:pPr>
        <w:spacing w:line="640" w:lineRule="exact"/>
        <w:ind w:firstLine="640"/>
        <w:jc w:val="both"/>
        <w:outlineLvl w:val="2"/>
      </w:pPr>
      <w:r>
        <w:rPr>
          <w:rFonts w:ascii="黑体" w:hAnsi="黑体" w:eastAsia="黑体"/>
          <w:sz w:val="32"/>
        </w:rPr>
        <w:t>二、机构设置及人员情况</w:t>
      </w:r>
    </w:p>
    <w:p w14:paraId="6CA88514">
      <w:pPr>
        <w:spacing w:line="580" w:lineRule="exact"/>
        <w:ind w:firstLine="640"/>
        <w:jc w:val="both"/>
      </w:pPr>
      <w:r>
        <w:rPr>
          <w:rFonts w:ascii="仿宋_GB2312" w:hAnsi="仿宋_GB2312" w:eastAsia="仿宋_GB2312"/>
          <w:sz w:val="32"/>
        </w:rPr>
        <w:t>特克斯县特克斯镇卫生院2024年度，实有人数37人，其中：在职人员29人，增加4人；离休人员0人，增加0人；退休人员8人,增加0人。</w:t>
      </w:r>
    </w:p>
    <w:p w14:paraId="120150BD">
      <w:pPr>
        <w:spacing w:line="580" w:lineRule="exact"/>
        <w:ind w:firstLine="640"/>
        <w:jc w:val="both"/>
      </w:pPr>
      <w:r>
        <w:rPr>
          <w:rFonts w:ascii="仿宋_GB2312" w:hAnsi="仿宋_GB2312" w:eastAsia="仿宋_GB2312"/>
          <w:sz w:val="32"/>
        </w:rPr>
        <w:t>特克斯县特克斯镇卫生院无下属预算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，下设6个科室，分别是：内科、外科、妇产科、药房、公共卫生科、体检科。</w:t>
      </w:r>
    </w:p>
    <w:p w14:paraId="7E4BDD2F">
      <w:r>
        <w:br w:type="page"/>
      </w:r>
    </w:p>
    <w:p w14:paraId="5E6FF4BC">
      <w:pPr>
        <w:spacing w:line="240" w:lineRule="auto"/>
        <w:jc w:val="center"/>
        <w:outlineLvl w:val="1"/>
      </w:pPr>
      <w:r>
        <w:rPr>
          <w:rFonts w:ascii="黑体" w:hAnsi="黑体" w:eastAsia="黑体"/>
          <w:sz w:val="32"/>
        </w:rPr>
        <w:t>第二部分 部门决算情况说明</w:t>
      </w:r>
    </w:p>
    <w:p w14:paraId="0083A88F">
      <w:pPr>
        <w:spacing w:line="640" w:lineRule="exact"/>
        <w:ind w:firstLine="640"/>
        <w:jc w:val="both"/>
        <w:outlineLvl w:val="2"/>
      </w:pPr>
      <w:r>
        <w:rPr>
          <w:rFonts w:ascii="黑体" w:hAnsi="黑体" w:eastAsia="黑体"/>
          <w:sz w:val="32"/>
        </w:rPr>
        <w:t>一、收入支出决算总体情况说明</w:t>
      </w:r>
    </w:p>
    <w:p w14:paraId="48C0AE32">
      <w:pPr>
        <w:spacing w:line="580" w:lineRule="exact"/>
        <w:ind w:firstLine="640"/>
        <w:jc w:val="both"/>
      </w:pPr>
      <w:r>
        <w:rPr>
          <w:rFonts w:ascii="仿宋_GB2312" w:hAnsi="仿宋_GB2312" w:eastAsia="仿宋_GB2312"/>
          <w:b/>
          <w:sz w:val="32"/>
        </w:rPr>
        <w:t>2024年度收入总计999.40万元，</w:t>
      </w:r>
      <w:r>
        <w:rPr>
          <w:rFonts w:ascii="仿宋_GB2312" w:hAnsi="仿宋_GB2312" w:eastAsia="仿宋_GB2312"/>
          <w:b w:val="0"/>
          <w:sz w:val="32"/>
        </w:rPr>
        <w:t>其中：本年收入合计999.40万元，使用非财政拨款结余（含专用结余）0.00万元，年初结转和结余0.00万元。</w:t>
      </w:r>
    </w:p>
    <w:p w14:paraId="189180B6">
      <w:pPr>
        <w:spacing w:line="580" w:lineRule="exact"/>
        <w:ind w:firstLine="640"/>
        <w:jc w:val="both"/>
      </w:pPr>
      <w:r>
        <w:rPr>
          <w:rFonts w:ascii="仿宋_GB2312" w:hAnsi="仿宋_GB2312" w:eastAsia="仿宋_GB2312"/>
          <w:b/>
          <w:sz w:val="32"/>
        </w:rPr>
        <w:t>2024年度支出总计999.40万元，</w:t>
      </w:r>
      <w:r>
        <w:rPr>
          <w:rFonts w:ascii="仿宋_GB2312" w:hAnsi="仿宋_GB2312" w:eastAsia="仿宋_GB2312"/>
          <w:b w:val="0"/>
          <w:sz w:val="32"/>
        </w:rPr>
        <w:t>其中：本年支出合计999.40万元，结余分配0.00万元，年末结转和结余0.00万元。</w:t>
      </w:r>
    </w:p>
    <w:p w14:paraId="016BB54B">
      <w:pPr>
        <w:spacing w:line="580" w:lineRule="exact"/>
        <w:ind w:firstLine="640"/>
        <w:jc w:val="both"/>
      </w:pPr>
      <w:r>
        <w:rPr>
          <w:rFonts w:ascii="仿宋_GB2312" w:hAnsi="仿宋_GB2312" w:eastAsia="仿宋_GB2312"/>
          <w:b w:val="0"/>
          <w:sz w:val="32"/>
        </w:rPr>
        <w:t>收入支出总体与上年相比，增加73.48万元，增长7.94%，主要原因是：一是本年在职人员增加，在职人员工资调增、社保、公积金基数调增，人员经费增加；二是本年度增加基本公共卫生补助资金、地方基本公共卫生服务补助资金项目。</w:t>
      </w:r>
    </w:p>
    <w:p w14:paraId="57A22901">
      <w:pPr>
        <w:spacing w:line="640" w:lineRule="exact"/>
        <w:ind w:firstLine="640"/>
        <w:jc w:val="both"/>
        <w:outlineLvl w:val="2"/>
      </w:pPr>
      <w:r>
        <w:rPr>
          <w:rFonts w:ascii="黑体" w:hAnsi="黑体" w:eastAsia="黑体"/>
          <w:sz w:val="32"/>
        </w:rPr>
        <w:t>二、收入决算情况说明</w:t>
      </w:r>
    </w:p>
    <w:p w14:paraId="542F62FE">
      <w:pPr>
        <w:spacing w:line="580" w:lineRule="exact"/>
        <w:ind w:firstLine="640"/>
        <w:jc w:val="both"/>
      </w:pPr>
      <w:r>
        <w:rPr>
          <w:rFonts w:ascii="仿宋_GB2312" w:hAnsi="仿宋_GB2312" w:eastAsia="仿宋_GB2312"/>
          <w:b/>
          <w:sz w:val="32"/>
        </w:rPr>
        <w:t>本年收入999.40万元，</w:t>
      </w:r>
      <w:r>
        <w:rPr>
          <w:rFonts w:ascii="仿宋_GB2312" w:hAnsi="仿宋_GB2312" w:eastAsia="仿宋_GB2312"/>
          <w:b w:val="0"/>
          <w:sz w:val="32"/>
        </w:rPr>
        <w:t>其中：财政拨款收入747.32万元，占74.78%；上级补助收入0.00万元，占0.00%；事业收入251.07万元，占25.12%；经营收入0.00万元，占0.00%；附属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上缴收入0.00万元，占0.00%；其他收入1.00万元，占0.10%。</w:t>
      </w:r>
    </w:p>
    <w:p w14:paraId="175C1555">
      <w:pPr>
        <w:spacing w:line="640" w:lineRule="exact"/>
        <w:ind w:firstLine="640"/>
        <w:jc w:val="both"/>
        <w:outlineLvl w:val="2"/>
      </w:pPr>
      <w:r>
        <w:rPr>
          <w:rFonts w:ascii="黑体" w:hAnsi="黑体" w:eastAsia="黑体"/>
          <w:sz w:val="32"/>
        </w:rPr>
        <w:t>三、支出决算情况说明</w:t>
      </w:r>
    </w:p>
    <w:p w14:paraId="242A3866">
      <w:pPr>
        <w:spacing w:line="580" w:lineRule="exact"/>
        <w:ind w:firstLine="640"/>
        <w:jc w:val="both"/>
      </w:pPr>
      <w:r>
        <w:rPr>
          <w:rFonts w:ascii="仿宋_GB2312" w:hAnsi="仿宋_GB2312" w:eastAsia="仿宋_GB2312"/>
          <w:b/>
          <w:sz w:val="32"/>
        </w:rPr>
        <w:t>本年支出999.40万元，</w:t>
      </w:r>
      <w:r>
        <w:rPr>
          <w:rFonts w:ascii="仿宋_GB2312" w:hAnsi="仿宋_GB2312" w:eastAsia="仿宋_GB2312"/>
          <w:b w:val="0"/>
          <w:sz w:val="32"/>
        </w:rPr>
        <w:t>其中：基本支出671.91万元，占67.23%；项目支出327.48万元，占32.77%；上缴上级支出0.00万元，占0.00%；经营支出0.00万元，占0.00%；对附属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EBB7B26">
      <w:pPr>
        <w:spacing w:line="640" w:lineRule="exact"/>
        <w:ind w:firstLine="640"/>
        <w:jc w:val="both"/>
        <w:outlineLvl w:val="2"/>
      </w:pPr>
      <w:r>
        <w:rPr>
          <w:rFonts w:ascii="黑体" w:hAnsi="黑体" w:eastAsia="黑体"/>
          <w:sz w:val="32"/>
        </w:rPr>
        <w:t>四、财政拨款收入支出决算总体情况说明</w:t>
      </w:r>
    </w:p>
    <w:p w14:paraId="6087D30A">
      <w:pPr>
        <w:spacing w:line="580" w:lineRule="exact"/>
        <w:ind w:firstLine="640"/>
        <w:jc w:val="both"/>
      </w:pPr>
      <w:r>
        <w:rPr>
          <w:rFonts w:ascii="仿宋_GB2312" w:hAnsi="仿宋_GB2312" w:eastAsia="仿宋_GB2312"/>
          <w:b/>
          <w:sz w:val="32"/>
        </w:rPr>
        <w:t>2024年度财政拨款收入总计747.32万元，</w:t>
      </w:r>
      <w:r>
        <w:rPr>
          <w:rFonts w:ascii="仿宋_GB2312" w:hAnsi="仿宋_GB2312" w:eastAsia="仿宋_GB2312"/>
          <w:b w:val="0"/>
          <w:sz w:val="32"/>
        </w:rPr>
        <w:t>其中：年初财政拨款结转和结余0.00万元，本年财政拨款收入747.32万元。</w:t>
      </w:r>
      <w:r>
        <w:rPr>
          <w:rFonts w:ascii="仿宋_GB2312" w:hAnsi="仿宋_GB2312" w:eastAsia="仿宋_GB2312"/>
          <w:b/>
          <w:sz w:val="32"/>
        </w:rPr>
        <w:t>财政拨款支出总计747.32万元，</w:t>
      </w:r>
      <w:r>
        <w:rPr>
          <w:rFonts w:ascii="仿宋_GB2312" w:hAnsi="仿宋_GB2312" w:eastAsia="仿宋_GB2312"/>
          <w:b w:val="0"/>
          <w:sz w:val="32"/>
        </w:rPr>
        <w:t>其中：年末财政拨款结转和结余0.00万元，本年财政拨款支出747.32万元。</w:t>
      </w:r>
    </w:p>
    <w:p w14:paraId="61A1AD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增加86.55万元，增长13.10%，主要原因是：一是本年在职人员增加，在职人员工资调增、社保、公积金基数调增，人员经费增加；二是本年度增加基本公共卫生补助资金、地方基本公共卫生服务补助资金项目。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年初预算数655.14万元，决算数747.32万元，预决算差异率14.07%，主要原因是：年中追加基本公共卫生补助资金、基本药物制度补助资金、地方基本公共卫生服务补助资金项目。</w:t>
      </w:r>
    </w:p>
    <w:p w14:paraId="34C567A0">
      <w:pPr>
        <w:spacing w:line="640" w:lineRule="exact"/>
        <w:ind w:firstLine="640"/>
        <w:jc w:val="both"/>
        <w:outlineLvl w:val="2"/>
      </w:pPr>
      <w:r>
        <w:rPr>
          <w:rFonts w:ascii="黑体" w:hAnsi="黑体" w:eastAsia="黑体"/>
          <w:sz w:val="32"/>
        </w:rPr>
        <w:t>五、一般公共预算财政拨款支出决算情况说明</w:t>
      </w:r>
    </w:p>
    <w:p w14:paraId="132D0DF1">
      <w:pPr>
        <w:spacing w:line="640" w:lineRule="exact"/>
        <w:ind w:firstLine="640"/>
        <w:jc w:val="both"/>
        <w:outlineLvl w:val="3"/>
      </w:pPr>
      <w:r>
        <w:rPr>
          <w:rFonts w:ascii="楷体_GB2312" w:hAnsi="楷体_GB2312" w:eastAsia="楷体_GB2312"/>
          <w:b/>
          <w:sz w:val="32"/>
        </w:rPr>
        <w:t>（一）一般公共预算财政拨款支出决算总体情况</w:t>
      </w:r>
    </w:p>
    <w:p w14:paraId="213EA111">
      <w:pPr>
        <w:spacing w:line="580" w:lineRule="exact"/>
        <w:ind w:firstLine="640"/>
        <w:jc w:val="both"/>
      </w:pPr>
      <w:r>
        <w:rPr>
          <w:rFonts w:ascii="仿宋_GB2312" w:hAnsi="仿宋_GB2312" w:eastAsia="仿宋_GB2312"/>
          <w:b/>
          <w:sz w:val="32"/>
        </w:rPr>
        <w:t>2024年度一般公共预算财政拨款支出747.32万元，</w:t>
      </w:r>
      <w:r>
        <w:rPr>
          <w:rFonts w:ascii="仿宋_GB2312" w:hAnsi="仿宋_GB2312" w:eastAsia="仿宋_GB2312"/>
          <w:b w:val="0"/>
          <w:sz w:val="32"/>
        </w:rPr>
        <w:t>占本年支出合计的74.78%。</w:t>
      </w:r>
      <w:r>
        <w:rPr>
          <w:rFonts w:ascii="仿宋_GB2312" w:hAnsi="仿宋_GB2312" w:eastAsia="仿宋_GB2312"/>
          <w:b/>
          <w:sz w:val="32"/>
        </w:rPr>
        <w:t>与上年相比，</w:t>
      </w:r>
      <w:r>
        <w:rPr>
          <w:rFonts w:ascii="仿宋_GB2312" w:hAnsi="仿宋_GB2312" w:eastAsia="仿宋_GB2312"/>
          <w:b w:val="0"/>
          <w:sz w:val="32"/>
        </w:rPr>
        <w:t>增加86.55万元，增长13.10%，主要原因是：一是本年在职人员增加，在职人员工资调增、社保、公积金基数调增，人员经费增加；二是本年度增加基本公共卫生补助资金、地方基本公共卫生服务补助资金项目。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年初预算数655.14万元，决算数747.32万元，预决算差异率14.07%，主要原因是：年中追加基本公共卫生补助资金、基本药物制度补助资金、地方基本公共卫生服务补助资金项目。</w:t>
      </w:r>
    </w:p>
    <w:p w14:paraId="7F6F9726">
      <w:pPr>
        <w:spacing w:line="640" w:lineRule="exact"/>
        <w:ind w:firstLine="640"/>
        <w:jc w:val="both"/>
        <w:outlineLvl w:val="3"/>
      </w:pPr>
      <w:r>
        <w:rPr>
          <w:rFonts w:ascii="楷体_GB2312" w:hAnsi="楷体_GB2312" w:eastAsia="楷体_GB2312"/>
          <w:b/>
          <w:sz w:val="32"/>
        </w:rPr>
        <w:t>（二）一般公共预算财政拨款支出决算结构情况</w:t>
      </w:r>
    </w:p>
    <w:p w14:paraId="065DE455">
      <w:pPr>
        <w:spacing w:line="580" w:lineRule="exact"/>
        <w:ind w:firstLine="640"/>
        <w:jc w:val="both"/>
      </w:pPr>
      <w:r>
        <w:rPr>
          <w:rFonts w:ascii="仿宋_GB2312" w:hAnsi="仿宋_GB2312" w:eastAsia="仿宋_GB2312"/>
          <w:b w:val="0"/>
          <w:sz w:val="32"/>
        </w:rPr>
        <w:t>1.社会保障和就业支出(类)40.24万元,占5.38%。</w:t>
      </w:r>
    </w:p>
    <w:p w14:paraId="09945BC3">
      <w:pPr>
        <w:spacing w:line="580" w:lineRule="exact"/>
        <w:ind w:firstLine="640"/>
        <w:jc w:val="both"/>
      </w:pPr>
      <w:r>
        <w:rPr>
          <w:rFonts w:ascii="仿宋_GB2312" w:hAnsi="仿宋_GB2312" w:eastAsia="仿宋_GB2312"/>
          <w:b w:val="0"/>
          <w:sz w:val="32"/>
        </w:rPr>
        <w:t>2.卫生健康支出(类)673.47万元,占90.12%。</w:t>
      </w:r>
    </w:p>
    <w:p w14:paraId="1D4D3528">
      <w:pPr>
        <w:spacing w:line="580" w:lineRule="exact"/>
        <w:ind w:firstLine="640"/>
        <w:jc w:val="both"/>
      </w:pPr>
      <w:r>
        <w:rPr>
          <w:rFonts w:ascii="仿宋_GB2312" w:hAnsi="仿宋_GB2312" w:eastAsia="仿宋_GB2312"/>
          <w:b w:val="0"/>
          <w:sz w:val="32"/>
        </w:rPr>
        <w:t>3.住房保障支出(类)33.61万元,占4.50%。</w:t>
      </w:r>
    </w:p>
    <w:p w14:paraId="22009257">
      <w:pPr>
        <w:spacing w:line="640" w:lineRule="exact"/>
        <w:ind w:firstLine="640"/>
        <w:jc w:val="both"/>
        <w:outlineLvl w:val="3"/>
      </w:pPr>
      <w:r>
        <w:rPr>
          <w:rFonts w:ascii="楷体_GB2312" w:hAnsi="楷体_GB2312" w:eastAsia="楷体_GB2312"/>
          <w:b/>
          <w:sz w:val="32"/>
        </w:rPr>
        <w:t>（三）一般公共预算财政拨款支出决算具体情况</w:t>
      </w:r>
    </w:p>
    <w:p w14:paraId="37CF35A1">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基本养老保险缴费支出(项):支出决算数为39.67万元，比上年决算增加8.26万元，增长26.30%,主要原因是：本年在职人员增加，养老保险缴费较上年增加。</w:t>
      </w:r>
    </w:p>
    <w:p w14:paraId="5134D824">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职业年金缴费支出(项):支出决算数为0.00万元，比上年决算减少5.98万元，下降100.00%,主要原因是：本年无新增退休人员，职业年金缴费无支出。</w:t>
      </w:r>
    </w:p>
    <w:p w14:paraId="382DB87D">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3.社会保障和就业支出(类)抚恤(款)死亡抚恤(项):支出决算数为0.58万元，比上年决算增加0.00万元，增长0.00%,主要原因是：本年度与上年一致发放遗嘱补助金额。</w:t>
      </w:r>
    </w:p>
    <w:p w14:paraId="35CF480A">
      <w:pPr>
        <w:spacing w:line="580" w:lineRule="exact"/>
        <w:ind w:firstLine="640"/>
        <w:jc w:val="both"/>
      </w:pPr>
      <w:r>
        <w:rPr>
          <w:rFonts w:ascii="仿宋_GB2312" w:hAnsi="仿宋_GB2312" w:eastAsia="仿宋_GB2312"/>
          <w:b w:val="0"/>
          <w:sz w:val="32"/>
        </w:rPr>
        <w:t>4.卫生健康支出(类)基层医疗卫生机构(款)乡镇卫生院(项):支出决算数为328.25万元，比上年决算增加47.01万元，增长16.72%,主要原因是：在职人员增加，在职人员工资调增，人员经费增加。</w:t>
      </w:r>
    </w:p>
    <w:p w14:paraId="5CC853A6">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5.卫生健康支出(类)基层医疗卫生机构(款)其他基层医疗卫生机构支出(项):支出决算数为20.01万元，比上年决算减少9.01万元，下降31.05%,主要原因是：本年度业务量减少，基本药物补助资金降低。</w:t>
      </w:r>
    </w:p>
    <w:p w14:paraId="639B5527">
      <w:pPr>
        <w:spacing w:line="580" w:lineRule="exact"/>
        <w:ind w:firstLine="640"/>
        <w:jc w:val="both"/>
      </w:pPr>
      <w:r>
        <w:rPr>
          <w:rFonts w:ascii="仿宋_GB2312" w:hAnsi="仿宋_GB2312" w:eastAsia="仿宋_GB2312"/>
          <w:b w:val="0"/>
          <w:sz w:val="32"/>
        </w:rPr>
        <w:t>6.卫生健康支出(类)公共卫生(款)基本公共卫生服务(项):支出决算数为237.00万元，比上年决算增加6.47万元，增长2.81%,主要原因是：本年度基本公共卫生服务量提高，基本公共卫生服务资金增加。</w:t>
      </w:r>
    </w:p>
    <w:p w14:paraId="2DB9600D">
      <w:pPr>
        <w:spacing w:line="580" w:lineRule="exact"/>
        <w:ind w:firstLine="640"/>
        <w:jc w:val="both"/>
      </w:pPr>
      <w:r>
        <w:rPr>
          <w:rFonts w:ascii="仿宋_GB2312" w:hAnsi="仿宋_GB2312" w:eastAsia="仿宋_GB2312"/>
          <w:b w:val="0"/>
          <w:sz w:val="32"/>
        </w:rPr>
        <w:t>7.卫生健康支出(类)公共卫生(款)重大公共卫生服务(项):支出决算数为70.47万元，比上年决算增加70.47万元，增长100.00%,主要原因是：本年度功能科目调整，公共卫生服务（地方公共卫生）补助资金未使用其他公共卫生支出科目，调至重大公共卫生服务科目，支出较上年增加；公共卫生服务（地方公共卫生）补助资金较上年增加。</w:t>
      </w:r>
    </w:p>
    <w:p w14:paraId="55F41805">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40.23万元，下降100.00%,主要原因是：本年度功能科目调整，公共卫生服务（地方公共卫生）补助资金未使用其他公共卫生支出科目，调至重大公共卫生服务科目，支出较上年减少。</w:t>
      </w:r>
    </w:p>
    <w:p w14:paraId="5EE27C3D">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医疗(项):支出决算数为17.24万元，比上年决算增加2.50万元，增长16.96%,主要原因是：本年在职人员增加，事业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2B67C0DE">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医疗支出(项):支出决算数为0.50万元，比上年决算增加0.12万元，增长31.58%,主要原因是：本年在职人员工资基数调增，医疗缴费基数上涨，相应支出增加。</w:t>
      </w:r>
    </w:p>
    <w:p w14:paraId="1B50E0B9">
      <w:pPr>
        <w:spacing w:line="580" w:lineRule="exact"/>
        <w:ind w:firstLine="640"/>
        <w:jc w:val="both"/>
      </w:pPr>
      <w:r>
        <w:rPr>
          <w:rFonts w:ascii="仿宋_GB2312" w:hAnsi="仿宋_GB2312" w:eastAsia="仿宋_GB2312"/>
          <w:b w:val="0"/>
          <w:sz w:val="32"/>
        </w:rPr>
        <w:t>11.住房保障支出(类)住房改革支出(款)住房公积金(项):支出决算数为33.61万元，比上年决算增加6.94万元，增长26.02%,主要原因是：本年在职人员增加，住房公积金支出较上年增加。</w:t>
      </w:r>
    </w:p>
    <w:p w14:paraId="0CF2DF99">
      <w:pPr>
        <w:spacing w:line="640" w:lineRule="exact"/>
        <w:ind w:firstLine="640"/>
        <w:jc w:val="both"/>
        <w:outlineLvl w:val="2"/>
      </w:pPr>
      <w:r>
        <w:rPr>
          <w:rFonts w:ascii="黑体" w:hAnsi="黑体" w:eastAsia="黑体"/>
          <w:sz w:val="32"/>
        </w:rPr>
        <w:t>六、一般公共预算财政拨款基本支出决算情况说明</w:t>
      </w:r>
    </w:p>
    <w:p w14:paraId="2562F5F7">
      <w:pPr>
        <w:spacing w:line="580" w:lineRule="exact"/>
        <w:ind w:firstLine="640"/>
        <w:jc w:val="both"/>
      </w:pPr>
      <w:r>
        <w:rPr>
          <w:rFonts w:ascii="仿宋_GB2312" w:hAnsi="仿宋_GB2312" w:eastAsia="仿宋_GB2312"/>
          <w:b w:val="0"/>
          <w:sz w:val="32"/>
        </w:rPr>
        <w:t>2024年度一般公共预算财政拨款基本支出419.84万元，其中：</w:t>
      </w:r>
      <w:r>
        <w:rPr>
          <w:rFonts w:ascii="仿宋_GB2312" w:hAnsi="仿宋_GB2312" w:eastAsia="仿宋_GB2312"/>
          <w:b/>
          <w:sz w:val="32"/>
        </w:rPr>
        <w:t>人员经费419.56万元，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57215F12">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14:paraId="71D6E5AF">
      <w:pPr>
        <w:spacing w:line="640" w:lineRule="exact"/>
        <w:ind w:firstLine="640"/>
        <w:jc w:val="both"/>
        <w:outlineLvl w:val="2"/>
      </w:pPr>
      <w:r>
        <w:rPr>
          <w:rFonts w:ascii="黑体" w:hAnsi="黑体" w:eastAsia="黑体"/>
          <w:sz w:val="32"/>
        </w:rPr>
        <w:t>七、政府性基金预算财政拨款收入支出决算情况说明</w:t>
      </w:r>
    </w:p>
    <w:p w14:paraId="64EA7F7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13C524F0">
      <w:pPr>
        <w:spacing w:line="640" w:lineRule="exact"/>
        <w:ind w:firstLine="640"/>
        <w:jc w:val="both"/>
        <w:outlineLvl w:val="2"/>
      </w:pPr>
      <w:r>
        <w:rPr>
          <w:rFonts w:ascii="黑体" w:hAnsi="黑体" w:eastAsia="黑体"/>
          <w:sz w:val="32"/>
        </w:rPr>
        <w:t>八、国有资本经营预算财政拨款收入支出决算情况说明</w:t>
      </w:r>
    </w:p>
    <w:p w14:paraId="6D0747D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E236B1A">
      <w:pPr>
        <w:spacing w:line="640" w:lineRule="exact"/>
        <w:ind w:firstLine="640"/>
        <w:jc w:val="both"/>
        <w:outlineLvl w:val="2"/>
      </w:pPr>
      <w:r>
        <w:rPr>
          <w:rFonts w:ascii="黑体" w:hAnsi="黑体" w:eastAsia="黑体"/>
          <w:sz w:val="32"/>
        </w:rPr>
        <w:t>九、财政拨款“三公”经费支出决算情况说明</w:t>
      </w:r>
    </w:p>
    <w:p w14:paraId="7C11B0F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4D1E701">
      <w:pPr>
        <w:spacing w:line="580" w:lineRule="exact"/>
        <w:ind w:firstLine="640"/>
        <w:jc w:val="both"/>
      </w:pPr>
      <w:r>
        <w:rPr>
          <w:rFonts w:ascii="仿宋_GB2312" w:hAnsi="仿宋_GB2312" w:eastAsia="仿宋_GB2312"/>
          <w:b/>
          <w:sz w:val="32"/>
        </w:rPr>
        <w:t>具体情况如下：</w:t>
      </w:r>
    </w:p>
    <w:p w14:paraId="7B5E453D">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DA74B3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业务用车，车辆费用未使用财政拨款公务用车运行维护费支付，由自有资金保障。</w:t>
      </w:r>
    </w:p>
    <w:p w14:paraId="446BC506">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911D2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761EFA2">
      <w:pPr>
        <w:spacing w:line="640" w:lineRule="exact"/>
        <w:ind w:firstLine="640"/>
        <w:jc w:val="both"/>
        <w:outlineLvl w:val="2"/>
      </w:pPr>
      <w:r>
        <w:rPr>
          <w:rFonts w:ascii="黑体" w:hAnsi="黑体" w:eastAsia="黑体"/>
          <w:sz w:val="32"/>
        </w:rPr>
        <w:t>十、其他重要事项的情况说明</w:t>
      </w:r>
    </w:p>
    <w:p w14:paraId="0F927588">
      <w:pPr>
        <w:spacing w:line="640" w:lineRule="exact"/>
        <w:ind w:firstLine="640"/>
        <w:jc w:val="both"/>
        <w:outlineLvl w:val="3"/>
      </w:pPr>
      <w:r>
        <w:rPr>
          <w:rFonts w:ascii="楷体_GB2312" w:hAnsi="楷体_GB2312" w:eastAsia="楷体_GB2312"/>
          <w:b/>
          <w:sz w:val="32"/>
        </w:rPr>
        <w:t>（一）机关运行经费及公用经费支出情况</w:t>
      </w:r>
    </w:p>
    <w:p w14:paraId="5FBE99DC">
      <w:pPr>
        <w:spacing w:line="580" w:lineRule="exact"/>
        <w:ind w:firstLine="640"/>
        <w:jc w:val="both"/>
      </w:pPr>
      <w:r>
        <w:rPr>
          <w:rFonts w:ascii="仿宋_GB2312" w:hAnsi="仿宋_GB2312" w:eastAsia="仿宋_GB2312"/>
          <w:b w:val="0"/>
          <w:sz w:val="32"/>
        </w:rPr>
        <w:t>2024年度特克斯县特克斯镇卫生院（事业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）公用经费支出0.28万元，比上年增加0.28万元，增长100.00%，主要原因是：上年未安排公用经费，本年增加工会经费，导致公用经费较上年增加。</w:t>
      </w:r>
    </w:p>
    <w:p w14:paraId="401C2FC0">
      <w:pPr>
        <w:spacing w:line="640" w:lineRule="exact"/>
        <w:ind w:firstLine="640"/>
        <w:jc w:val="both"/>
        <w:outlineLvl w:val="3"/>
      </w:pPr>
      <w:r>
        <w:rPr>
          <w:rFonts w:ascii="楷体_GB2312" w:hAnsi="楷体_GB2312" w:eastAsia="楷体_GB2312"/>
          <w:b/>
          <w:sz w:val="32"/>
        </w:rPr>
        <w:t>（二）政府采购情况</w:t>
      </w:r>
    </w:p>
    <w:p w14:paraId="36C8EE61">
      <w:pPr>
        <w:spacing w:line="580" w:lineRule="exact"/>
        <w:ind w:firstLine="640"/>
        <w:jc w:val="both"/>
      </w:pPr>
      <w:r>
        <w:rPr>
          <w:rFonts w:ascii="仿宋_GB2312" w:hAnsi="仿宋_GB2312" w:eastAsia="仿宋_GB2312"/>
          <w:b w:val="0"/>
          <w:sz w:val="32"/>
        </w:rPr>
        <w:t>2024年度政府采购支出总额43.72万元，其中：政府采购货物支出29.49万元、政府采购工程支出0.00万元、政府采购服务支出14.23万元。</w:t>
      </w:r>
    </w:p>
    <w:p w14:paraId="787B1B14">
      <w:pPr>
        <w:spacing w:line="580" w:lineRule="exact"/>
        <w:ind w:firstLine="640"/>
        <w:jc w:val="both"/>
      </w:pPr>
      <w:r>
        <w:rPr>
          <w:rFonts w:ascii="仿宋_GB2312" w:hAnsi="仿宋_GB2312" w:eastAsia="仿宋_GB2312"/>
          <w:b w:val="0"/>
          <w:sz w:val="32"/>
        </w:rPr>
        <w:t>授予中小企业合同金额43.72万元，占政府采购支出总额的100.00%，其中：授予小微企业合同金额43.72万元，占政府采购支出总额的100.00%。</w:t>
      </w:r>
    </w:p>
    <w:p w14:paraId="50CA3274">
      <w:pPr>
        <w:spacing w:line="640" w:lineRule="exact"/>
        <w:ind w:firstLine="640"/>
        <w:jc w:val="both"/>
        <w:outlineLvl w:val="3"/>
      </w:pPr>
      <w:r>
        <w:rPr>
          <w:rFonts w:ascii="楷体_GB2312" w:hAnsi="楷体_GB2312" w:eastAsia="楷体_GB2312"/>
          <w:b/>
          <w:sz w:val="32"/>
        </w:rPr>
        <w:t>（三）国有资产占用情况说明</w:t>
      </w:r>
    </w:p>
    <w:p w14:paraId="5164FC17">
      <w:pPr>
        <w:spacing w:line="580" w:lineRule="exact"/>
        <w:ind w:firstLine="640"/>
        <w:jc w:val="both"/>
      </w:pPr>
      <w:r>
        <w:rPr>
          <w:rFonts w:ascii="仿宋_GB2312" w:hAnsi="仿宋_GB2312" w:eastAsia="仿宋_GB2312"/>
          <w:b w:val="0"/>
          <w:sz w:val="32"/>
        </w:rPr>
        <w:t>截至2024年12月31日，房屋3,928.80平方米，价值685.31万元。车辆2辆，价值10.80万元，其中：副部（省）级及以上领导用车0辆、主要负责人用车0辆、机要通信用车0辆、应急保障用车0辆、执法执勤用车0辆、特种专业技术用车0辆、离退休干部服务用车0辆、其他用车2辆，其他用车主要是：用于公共卫生服务车辆1辆及急救病人转运用车1辆。单价100万元（含）以上设备（不含车辆）1台（套）。</w:t>
      </w:r>
    </w:p>
    <w:p w14:paraId="1536AC58">
      <w:pPr>
        <w:spacing w:line="640" w:lineRule="exact"/>
        <w:ind w:firstLine="640"/>
        <w:jc w:val="both"/>
        <w:outlineLvl w:val="2"/>
      </w:pPr>
      <w:r>
        <w:rPr>
          <w:rFonts w:ascii="黑体" w:hAnsi="黑体" w:eastAsia="黑体"/>
          <w:sz w:val="32"/>
        </w:rPr>
        <w:t>十一、预算绩效的情况说明</w:t>
      </w:r>
    </w:p>
    <w:p w14:paraId="58DDDEB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999.39万元，实际执行总额999.39万元；预算绩效评价项目1个，全年预算数208.68万元，全年执行数208.68万元。预算绩效管理取得的成效：一是基本公共卫生主要实现全县卫生人才培训任务及本系统的党性教育基地建设。以儿童、孕产妇、老年人、慢性疾病患者为重点人群，面向全体居民免费提供</w:t>
      </w:r>
      <w:r>
        <w:rPr>
          <w:rFonts w:hint="eastAsia" w:ascii="仿宋_GB2312" w:hAnsi="仿宋_GB2312" w:eastAsia="仿宋_GB2312"/>
          <w:b w:val="0"/>
          <w:sz w:val="32"/>
          <w:lang w:eastAsia="zh-CN"/>
        </w:rPr>
        <w:t>的基本公共卫生服务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存在的主要问题</w:t>
      </w:r>
      <w:r>
        <w:rPr>
          <w:rFonts w:hint="eastAsia" w:ascii="仿宋_GB2312" w:hAnsi="仿宋_GB2312" w:eastAsia="仿宋_GB2312"/>
          <w:b w:val="0"/>
          <w:sz w:val="32"/>
          <w:lang w:eastAsia="zh-CN"/>
        </w:rPr>
        <w:t>单位</w:t>
      </w:r>
      <w:r>
        <w:rPr>
          <w:rFonts w:ascii="仿宋_GB2312" w:hAnsi="仿宋_GB2312" w:eastAsia="仿宋_GB2312"/>
          <w:b w:val="0"/>
          <w:sz w:val="32"/>
        </w:rPr>
        <w:t>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37D169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F0249D0">
        <w:tblPrEx>
          <w:tblCellMar>
            <w:top w:w="0" w:type="dxa"/>
            <w:left w:w="108" w:type="dxa"/>
            <w:bottom w:w="0" w:type="dxa"/>
            <w:right w:w="108" w:type="dxa"/>
          </w:tblCellMar>
        </w:tblPrEx>
        <w:tc>
          <w:tcPr>
            <w:tcW w:w="8840" w:type="dxa"/>
            <w:gridSpan w:val="8"/>
            <w:vAlign w:val="center"/>
          </w:tcPr>
          <w:p w14:paraId="6EE64381">
            <w:pPr>
              <w:jc w:val="center"/>
            </w:pPr>
            <w:r>
              <w:rPr>
                <w:rFonts w:hint="eastAsia" w:ascii="宋体" w:hAnsi="宋体"/>
                <w:sz w:val="24"/>
                <w:lang w:eastAsia="zh-CN"/>
              </w:rPr>
              <w:t>单位</w:t>
            </w:r>
            <w:r>
              <w:rPr>
                <w:rFonts w:ascii="宋体" w:hAnsi="宋体" w:eastAsia="宋体"/>
                <w:sz w:val="24"/>
              </w:rPr>
              <w:t>整体支出绩效自评表</w:t>
            </w:r>
          </w:p>
        </w:tc>
      </w:tr>
      <w:tr w14:paraId="71C28EB6">
        <w:tblPrEx>
          <w:tblCellMar>
            <w:top w:w="0" w:type="dxa"/>
            <w:left w:w="108" w:type="dxa"/>
            <w:bottom w:w="0" w:type="dxa"/>
            <w:right w:w="108" w:type="dxa"/>
          </w:tblCellMar>
        </w:tblPrEx>
        <w:tc>
          <w:tcPr>
            <w:tcW w:w="8840" w:type="dxa"/>
            <w:gridSpan w:val="8"/>
            <w:vAlign w:val="center"/>
          </w:tcPr>
          <w:p w14:paraId="3CB66461">
            <w:pPr>
              <w:jc w:val="center"/>
            </w:pPr>
            <w:r>
              <w:rPr>
                <w:rFonts w:ascii="宋体" w:hAnsi="宋体" w:eastAsia="宋体"/>
                <w:sz w:val="24"/>
              </w:rPr>
              <w:t>（2024年度）</w:t>
            </w:r>
          </w:p>
        </w:tc>
      </w:tr>
      <w:tr w14:paraId="4A3DCF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35781">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546AA">
            <w:pPr>
              <w:jc w:val="center"/>
            </w:pPr>
            <w:r>
              <w:rPr>
                <w:rFonts w:ascii="宋体" w:hAnsi="宋体" w:eastAsia="宋体"/>
                <w:sz w:val="16"/>
              </w:rPr>
              <w:t>特克斯县特克斯镇卫生院</w:t>
            </w:r>
          </w:p>
        </w:tc>
      </w:tr>
      <w:tr w14:paraId="2B8289B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8198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B50F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C048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EE06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F810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54B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444B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406E7">
            <w:pPr>
              <w:jc w:val="center"/>
            </w:pPr>
            <w:r>
              <w:rPr>
                <w:rFonts w:ascii="宋体" w:hAnsi="宋体" w:eastAsia="宋体"/>
                <w:sz w:val="16"/>
              </w:rPr>
              <w:t>得分</w:t>
            </w:r>
          </w:p>
        </w:tc>
      </w:tr>
      <w:tr w14:paraId="7B0144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B56D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C9DC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71A54">
            <w:pPr>
              <w:jc w:val="center"/>
            </w:pPr>
            <w:r>
              <w:rPr>
                <w:rFonts w:ascii="宋体" w:hAnsi="宋体" w:eastAsia="宋体"/>
                <w:sz w:val="16"/>
              </w:rPr>
              <w:t>863.82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4D643">
            <w:pPr>
              <w:jc w:val="center"/>
            </w:pPr>
            <w:r>
              <w:rPr>
                <w:rFonts w:ascii="宋体" w:hAnsi="宋体" w:eastAsia="宋体"/>
                <w:sz w:val="16"/>
              </w:rPr>
              <w:t>999.39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B3518">
            <w:pPr>
              <w:jc w:val="center"/>
            </w:pPr>
            <w:r>
              <w:rPr>
                <w:rFonts w:ascii="宋体" w:hAnsi="宋体" w:eastAsia="宋体"/>
                <w:sz w:val="16"/>
              </w:rPr>
              <w:t>999.39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AB76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BBBC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CF5D9">
            <w:pPr>
              <w:jc w:val="center"/>
            </w:pPr>
            <w:r>
              <w:rPr>
                <w:rFonts w:ascii="宋体" w:hAnsi="宋体" w:eastAsia="宋体"/>
                <w:sz w:val="16"/>
              </w:rPr>
              <w:t>10</w:t>
            </w:r>
          </w:p>
        </w:tc>
      </w:tr>
      <w:tr w14:paraId="5F409A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87C3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5EBA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B8F77">
            <w:pPr>
              <w:jc w:val="center"/>
            </w:pPr>
            <w:r>
              <w:rPr>
                <w:rFonts w:ascii="宋体" w:hAnsi="宋体" w:eastAsia="宋体"/>
                <w:sz w:val="16"/>
              </w:rPr>
              <w:t>282.69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979C6">
            <w:pPr>
              <w:jc w:val="center"/>
            </w:pPr>
            <w:r>
              <w:rPr>
                <w:rFonts w:ascii="宋体" w:hAnsi="宋体" w:eastAsia="宋体"/>
                <w:sz w:val="16"/>
              </w:rPr>
              <w:t>327.48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4F6540">
            <w:pPr>
              <w:jc w:val="center"/>
            </w:pPr>
            <w:r>
              <w:rPr>
                <w:rFonts w:ascii="宋体" w:hAnsi="宋体" w:eastAsia="宋体"/>
                <w:sz w:val="16"/>
              </w:rPr>
              <w:t>327.48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0E2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0B9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394D7">
            <w:pPr>
              <w:jc w:val="center"/>
            </w:pPr>
            <w:r>
              <w:rPr>
                <w:rFonts w:ascii="宋体" w:hAnsi="宋体" w:eastAsia="宋体"/>
                <w:sz w:val="16"/>
              </w:rPr>
              <w:t>-</w:t>
            </w:r>
          </w:p>
        </w:tc>
      </w:tr>
      <w:tr w14:paraId="189624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6999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563E3">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45276">
            <w:pPr>
              <w:jc w:val="center"/>
            </w:pPr>
            <w:r>
              <w:rPr>
                <w:rFonts w:ascii="宋体" w:hAnsi="宋体" w:eastAsia="宋体"/>
                <w:sz w:val="16"/>
              </w:rPr>
              <w:t>372.45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A7E87">
            <w:pPr>
              <w:jc w:val="center"/>
            </w:pPr>
            <w:r>
              <w:rPr>
                <w:rFonts w:ascii="宋体" w:hAnsi="宋体" w:eastAsia="宋体"/>
                <w:sz w:val="16"/>
              </w:rPr>
              <w:t>419.84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8768E">
            <w:pPr>
              <w:jc w:val="center"/>
            </w:pPr>
            <w:r>
              <w:rPr>
                <w:rFonts w:ascii="宋体" w:hAnsi="宋体" w:eastAsia="宋体"/>
                <w:sz w:val="16"/>
              </w:rPr>
              <w:t>419.84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871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716E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D905A">
            <w:pPr>
              <w:jc w:val="center"/>
            </w:pPr>
            <w:r>
              <w:rPr>
                <w:rFonts w:ascii="宋体" w:hAnsi="宋体" w:eastAsia="宋体"/>
                <w:sz w:val="16"/>
              </w:rPr>
              <w:t>-</w:t>
            </w:r>
          </w:p>
        </w:tc>
      </w:tr>
      <w:tr w14:paraId="74FDAF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B8F3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2ED6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22293">
            <w:pPr>
              <w:jc w:val="center"/>
            </w:pPr>
            <w:r>
              <w:rPr>
                <w:rFonts w:ascii="宋体" w:hAnsi="宋体" w:eastAsia="宋体"/>
                <w:sz w:val="16"/>
              </w:rPr>
              <w:t>208.68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12D8B">
            <w:pPr>
              <w:jc w:val="center"/>
            </w:pPr>
            <w:r>
              <w:rPr>
                <w:rFonts w:ascii="宋体" w:hAnsi="宋体" w:eastAsia="宋体"/>
                <w:sz w:val="16"/>
              </w:rPr>
              <w:t>252.07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82851">
            <w:pPr>
              <w:jc w:val="center"/>
            </w:pPr>
            <w:r>
              <w:rPr>
                <w:rFonts w:ascii="宋体" w:hAnsi="宋体" w:eastAsia="宋体"/>
                <w:sz w:val="16"/>
              </w:rPr>
              <w:t>252.07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F5A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ED1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D94E1">
            <w:pPr>
              <w:jc w:val="center"/>
            </w:pPr>
            <w:r>
              <w:rPr>
                <w:rFonts w:ascii="宋体" w:hAnsi="宋体" w:eastAsia="宋体"/>
                <w:sz w:val="16"/>
              </w:rPr>
              <w:t>-</w:t>
            </w:r>
          </w:p>
        </w:tc>
      </w:tr>
      <w:tr w14:paraId="15E835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D6006">
            <w:pPr>
              <w:jc w:val="center"/>
            </w:pPr>
            <w:r>
              <w:rPr>
                <w:rFonts w:ascii="宋体" w:hAnsi="宋体" w:eastAsia="宋体"/>
                <w:sz w:val="16"/>
              </w:rPr>
              <w:t>年度总体目标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337AC6">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4A8238">
            <w:pPr>
              <w:jc w:val="center"/>
            </w:pPr>
            <w:r>
              <w:rPr>
                <w:rFonts w:ascii="宋体" w:hAnsi="宋体" w:eastAsia="宋体"/>
                <w:sz w:val="16"/>
              </w:rPr>
              <w:t>实际完成情况</w:t>
            </w:r>
          </w:p>
        </w:tc>
      </w:tr>
      <w:tr w14:paraId="3CC5F8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4A427D"/>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621FD4">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8485E4">
            <w:pPr>
              <w:jc w:val="both"/>
            </w:pPr>
            <w:r>
              <w:rPr>
                <w:rFonts w:ascii="宋体" w:hAnsi="宋体" w:eastAsia="宋体"/>
                <w:sz w:val="16"/>
              </w:rPr>
              <w:t>全面完成推进乡镇卫生院体系建设，1、提供以预防保健、基本医疗、公共卫生、健康教育、</w:t>
            </w:r>
            <w:r>
              <w:rPr>
                <w:rFonts w:hint="eastAsia" w:ascii="宋体" w:hAnsi="宋体"/>
                <w:sz w:val="16"/>
                <w:lang w:eastAsia="zh-CN"/>
              </w:rPr>
              <w:t>计生</w:t>
            </w:r>
            <w:r>
              <w:rPr>
                <w:rFonts w:ascii="宋体" w:hAnsi="宋体" w:eastAsia="宋体"/>
                <w:sz w:val="16"/>
              </w:rPr>
              <w:t>、全民健康体检、康复等为主要内容的综合性服务。2、保障部门</w:t>
            </w:r>
            <w:r>
              <w:rPr>
                <w:rFonts w:hint="eastAsia" w:ascii="宋体" w:hAnsi="宋体"/>
                <w:sz w:val="16"/>
                <w:lang w:eastAsia="zh-CN"/>
              </w:rPr>
              <w:t>单位</w:t>
            </w:r>
            <w:r>
              <w:rPr>
                <w:rFonts w:ascii="宋体" w:hAnsi="宋体" w:eastAsia="宋体"/>
                <w:sz w:val="16"/>
              </w:rPr>
              <w:t>人员发放工资福利支出；3、用于开展医疗服务及其他活动中发生的编外人员人员工资、社会保障费、卫生材料费、维修维护费、办公费、水电暖、交通费等费用。</w:t>
            </w:r>
          </w:p>
        </w:tc>
      </w:tr>
      <w:tr w14:paraId="07BE405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C7D5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F2C0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0A2A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CE34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76F3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2778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3ABFF">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EA353">
            <w:pPr>
              <w:jc w:val="center"/>
            </w:pPr>
            <w:r>
              <w:rPr>
                <w:rFonts w:ascii="宋体" w:hAnsi="宋体" w:eastAsia="宋体"/>
                <w:sz w:val="16"/>
              </w:rPr>
              <w:t>得分</w:t>
            </w:r>
          </w:p>
        </w:tc>
      </w:tr>
      <w:tr w14:paraId="4B44649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CE87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ADF0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DD15A">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4F8EB">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AD674">
            <w:pPr>
              <w:jc w:val="center"/>
            </w:pPr>
            <w:r>
              <w:rPr>
                <w:rFonts w:ascii="宋体" w:hAnsi="宋体" w:eastAsia="宋体"/>
                <w:sz w:val="16"/>
              </w:rPr>
              <w:t>2024年特克斯镇卫生院工作计划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3355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88F1C">
            <w:pPr>
              <w:jc w:val="center"/>
            </w:pPr>
            <w:r>
              <w:rPr>
                <w:rFonts w:ascii="宋体" w:hAnsi="宋体" w:eastAsia="宋体"/>
                <w:sz w:val="16"/>
              </w:rPr>
              <w:t>49.89%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B74E6">
            <w:pPr>
              <w:jc w:val="center"/>
            </w:pPr>
            <w:r>
              <w:rPr>
                <w:rFonts w:ascii="宋体" w:hAnsi="宋体" w:eastAsia="宋体"/>
                <w:sz w:val="16"/>
              </w:rPr>
              <w:t>30</w:t>
            </w:r>
          </w:p>
        </w:tc>
      </w:tr>
      <w:tr w14:paraId="2FF9D8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9B6C6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A113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AE0FE">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97610">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95CD5">
            <w:pPr>
              <w:jc w:val="center"/>
            </w:pPr>
            <w:r>
              <w:rPr>
                <w:rFonts w:ascii="宋体" w:hAnsi="宋体" w:eastAsia="宋体"/>
                <w:sz w:val="16"/>
              </w:rPr>
              <w:t>2024年特克斯镇卫生院基本公共卫生工作计划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39FE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97491">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F7C07">
            <w:pPr>
              <w:jc w:val="center"/>
            </w:pPr>
            <w:r>
              <w:rPr>
                <w:rFonts w:ascii="宋体" w:hAnsi="宋体" w:eastAsia="宋体"/>
                <w:sz w:val="16"/>
              </w:rPr>
              <w:t>30</w:t>
            </w:r>
          </w:p>
        </w:tc>
      </w:tr>
      <w:tr w14:paraId="78F2CE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34BD7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2A07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C4F0E">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AF699">
            <w:pPr>
              <w:jc w:val="center"/>
            </w:pPr>
            <w:r>
              <w:rPr>
                <w:rFonts w:ascii="宋体" w:hAnsi="宋体" w:eastAsia="宋体"/>
                <w:sz w:val="16"/>
              </w:rPr>
              <w:t>=28646人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98278">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93E8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7BE81">
            <w:pPr>
              <w:jc w:val="center"/>
            </w:pPr>
            <w:r>
              <w:rPr>
                <w:rFonts w:ascii="宋体" w:hAnsi="宋体" w:eastAsia="宋体"/>
                <w:sz w:val="16"/>
              </w:rPr>
              <w:t>32345人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BBDF3">
            <w:pPr>
              <w:jc w:val="center"/>
            </w:pPr>
            <w:r>
              <w:rPr>
                <w:rFonts w:ascii="宋体" w:hAnsi="宋体" w:eastAsia="宋体"/>
                <w:sz w:val="16"/>
              </w:rPr>
              <w:t>30</w:t>
            </w:r>
          </w:p>
        </w:tc>
      </w:tr>
    </w:tbl>
    <w:p w14:paraId="22EB12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4165D25">
        <w:tblPrEx>
          <w:tblCellMar>
            <w:top w:w="0" w:type="dxa"/>
            <w:left w:w="108" w:type="dxa"/>
            <w:bottom w:w="0" w:type="dxa"/>
            <w:right w:w="108" w:type="dxa"/>
          </w:tblCellMar>
        </w:tblPrEx>
        <w:tc>
          <w:tcPr>
            <w:tcW w:w="8848" w:type="dxa"/>
            <w:gridSpan w:val="14"/>
            <w:vAlign w:val="center"/>
          </w:tcPr>
          <w:p w14:paraId="441A625F">
            <w:pPr>
              <w:jc w:val="center"/>
            </w:pPr>
            <w:r>
              <w:rPr>
                <w:rFonts w:ascii="宋体" w:hAnsi="宋体" w:eastAsia="宋体"/>
                <w:sz w:val="24"/>
              </w:rPr>
              <w:t>项目支出绩效自评表</w:t>
            </w:r>
          </w:p>
        </w:tc>
      </w:tr>
      <w:tr w14:paraId="1892C12B">
        <w:tblPrEx>
          <w:tblCellMar>
            <w:top w:w="0" w:type="dxa"/>
            <w:left w:w="108" w:type="dxa"/>
            <w:bottom w:w="0" w:type="dxa"/>
            <w:right w:w="108" w:type="dxa"/>
          </w:tblCellMar>
        </w:tblPrEx>
        <w:tc>
          <w:tcPr>
            <w:tcW w:w="8848" w:type="dxa"/>
            <w:gridSpan w:val="14"/>
            <w:vAlign w:val="center"/>
          </w:tcPr>
          <w:p w14:paraId="3FD41C6B">
            <w:pPr>
              <w:jc w:val="center"/>
            </w:pPr>
            <w:r>
              <w:rPr>
                <w:rFonts w:ascii="宋体" w:hAnsi="宋体" w:eastAsia="宋体"/>
                <w:sz w:val="24"/>
              </w:rPr>
              <w:t>(2024年度)</w:t>
            </w:r>
          </w:p>
        </w:tc>
      </w:tr>
      <w:tr w14:paraId="478E51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D1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7D8990">
            <w:pPr>
              <w:jc w:val="center"/>
            </w:pPr>
            <w:r>
              <w:rPr>
                <w:rFonts w:ascii="宋体" w:hAnsi="宋体" w:eastAsia="宋体"/>
                <w:sz w:val="16"/>
              </w:rPr>
              <w:t>2024年</w:t>
            </w:r>
            <w:r>
              <w:rPr>
                <w:rFonts w:hint="eastAsia" w:ascii="宋体" w:hAnsi="宋体"/>
                <w:sz w:val="16"/>
                <w:lang w:eastAsia="zh-CN"/>
              </w:rPr>
              <w:t>单位自有</w:t>
            </w:r>
            <w:r>
              <w:rPr>
                <w:rFonts w:ascii="宋体" w:hAnsi="宋体" w:eastAsia="宋体"/>
                <w:sz w:val="16"/>
              </w:rPr>
              <w:t>资金收入（事业收入）</w:t>
            </w:r>
          </w:p>
        </w:tc>
      </w:tr>
      <w:tr w14:paraId="3C6E2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5C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C7379">
            <w:pPr>
              <w:jc w:val="center"/>
              <w:rPr>
                <w:rFonts w:ascii="宋体" w:hAnsi="宋体" w:eastAsia="宋体"/>
                <w:sz w:val="16"/>
              </w:rPr>
            </w:pPr>
            <w:r>
              <w:rPr>
                <w:rFonts w:hint="eastAsia" w:ascii="宋体" w:hAnsi="宋体" w:eastAsia="宋体"/>
                <w:sz w:val="16"/>
                <w:lang w:eastAsia="zh-CN"/>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CA5D">
            <w:pPr>
              <w:jc w:val="center"/>
              <w:rPr>
                <w:rFonts w:hint="eastAsia" w:ascii="宋体" w:hAnsi="宋体" w:eastAsia="宋体"/>
                <w:sz w:val="16"/>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33378">
            <w:pPr>
              <w:jc w:val="center"/>
            </w:pPr>
            <w:r>
              <w:rPr>
                <w:rFonts w:ascii="宋体" w:hAnsi="宋体" w:eastAsia="宋体"/>
                <w:sz w:val="16"/>
              </w:rPr>
              <w:t>特克斯县特克斯镇卫生院</w:t>
            </w:r>
          </w:p>
        </w:tc>
      </w:tr>
      <w:tr w14:paraId="1E7E20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B35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34B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B2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A5B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1C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73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4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2F4A">
            <w:pPr>
              <w:jc w:val="center"/>
            </w:pPr>
            <w:r>
              <w:rPr>
                <w:rFonts w:ascii="宋体" w:hAnsi="宋体" w:eastAsia="宋体"/>
                <w:sz w:val="16"/>
              </w:rPr>
              <w:t>得分</w:t>
            </w:r>
          </w:p>
        </w:tc>
      </w:tr>
      <w:tr w14:paraId="748DC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0D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F2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540C">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458A">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2765">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4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E9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AB00">
            <w:pPr>
              <w:jc w:val="center"/>
            </w:pPr>
            <w:r>
              <w:rPr>
                <w:rFonts w:ascii="宋体" w:hAnsi="宋体" w:eastAsia="宋体"/>
                <w:sz w:val="16"/>
              </w:rPr>
              <w:t>10.00</w:t>
            </w:r>
          </w:p>
        </w:tc>
      </w:tr>
      <w:tr w14:paraId="590A7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74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DC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6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141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1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B9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0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7CA9">
            <w:pPr>
              <w:jc w:val="center"/>
            </w:pPr>
            <w:r>
              <w:rPr>
                <w:rFonts w:ascii="宋体" w:hAnsi="宋体" w:eastAsia="宋体"/>
                <w:sz w:val="16"/>
              </w:rPr>
              <w:t>—</w:t>
            </w:r>
          </w:p>
        </w:tc>
      </w:tr>
      <w:tr w14:paraId="5090B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A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49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6D1B">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84A8">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0D85">
            <w:pPr>
              <w:jc w:val="center"/>
            </w:pPr>
            <w:r>
              <w:rPr>
                <w:rFonts w:ascii="宋体" w:hAnsi="宋体" w:eastAsia="宋体"/>
                <w:sz w:val="16"/>
              </w:rPr>
              <w:t>208.68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12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7C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FE59">
            <w:pPr>
              <w:jc w:val="center"/>
            </w:pPr>
            <w:r>
              <w:rPr>
                <w:rFonts w:ascii="宋体" w:hAnsi="宋体" w:eastAsia="宋体"/>
                <w:sz w:val="16"/>
              </w:rPr>
              <w:t>—</w:t>
            </w:r>
          </w:p>
        </w:tc>
      </w:tr>
      <w:tr w14:paraId="4D8E4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246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0A7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3A949">
            <w:pPr>
              <w:jc w:val="center"/>
            </w:pPr>
            <w:r>
              <w:rPr>
                <w:rFonts w:ascii="宋体" w:hAnsi="宋体" w:eastAsia="宋体"/>
                <w:sz w:val="16"/>
              </w:rPr>
              <w:t>实际完成情况</w:t>
            </w:r>
          </w:p>
        </w:tc>
      </w:tr>
      <w:tr w14:paraId="2A42A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759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C8801">
            <w:pPr>
              <w:jc w:val="both"/>
            </w:pPr>
            <w:r>
              <w:rPr>
                <w:rFonts w:ascii="宋体" w:hAnsi="宋体" w:eastAsia="宋体"/>
                <w:sz w:val="16"/>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5579A">
            <w:pPr>
              <w:jc w:val="both"/>
            </w:pPr>
            <w:r>
              <w:rPr>
                <w:rFonts w:ascii="宋体" w:hAnsi="宋体" w:eastAsia="宋体"/>
                <w:sz w:val="16"/>
              </w:rPr>
              <w:t>保证人员经费发放到位，用于开展医疗服务及其他活动中发生的日常公用经费通过日常工作效率和质量，提高居民健康水平。</w:t>
            </w:r>
          </w:p>
        </w:tc>
      </w:tr>
      <w:tr w14:paraId="522C4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FD4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AC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A0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84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6E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3E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AA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7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356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94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0F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B9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F6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3286">
            <w:pPr>
              <w:jc w:val="center"/>
            </w:pPr>
            <w:r>
              <w:rPr>
                <w:rFonts w:ascii="宋体" w:hAnsi="宋体" w:eastAsia="宋体"/>
                <w:sz w:val="16"/>
              </w:rPr>
              <w:t>偏差原因分析及改进措施</w:t>
            </w:r>
          </w:p>
        </w:tc>
      </w:tr>
      <w:tr w14:paraId="31F3A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40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C0D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0E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F983">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31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DD33">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0007">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C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CCF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0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D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3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8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F8DD">
            <w:pPr>
              <w:jc w:val="center"/>
            </w:pPr>
          </w:p>
        </w:tc>
      </w:tr>
      <w:tr w14:paraId="66E5E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3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7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EC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F175">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5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6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C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C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A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F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F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6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6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63BF">
            <w:pPr>
              <w:jc w:val="center"/>
            </w:pPr>
          </w:p>
        </w:tc>
      </w:tr>
      <w:tr w14:paraId="3CF5D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0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C8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F7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AA79">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739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7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D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7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F6B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A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7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7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74D0">
            <w:pPr>
              <w:jc w:val="center"/>
            </w:pPr>
          </w:p>
        </w:tc>
      </w:tr>
      <w:tr w14:paraId="7D515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8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F94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497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B48D">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3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42D">
            <w:pPr>
              <w:jc w:val="center"/>
            </w:pPr>
            <w:r>
              <w:rPr>
                <w:rFonts w:ascii="宋体" w:hAnsi="宋体" w:eastAsia="宋体"/>
                <w:sz w:val="16"/>
              </w:rPr>
              <w:t>&lt;=130万元/年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B9CF">
            <w:pPr>
              <w:jc w:val="center"/>
            </w:pPr>
            <w:r>
              <w:rPr>
                <w:rFonts w:ascii="宋体" w:hAnsi="宋体" w:eastAsia="宋体"/>
                <w:sz w:val="16"/>
              </w:rPr>
              <w:t>130万元/年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1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0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C3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9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4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C8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D120">
            <w:pPr>
              <w:jc w:val="center"/>
            </w:pPr>
            <w:r>
              <w:rPr>
                <w:rFonts w:ascii="宋体" w:hAnsi="宋体" w:eastAsia="宋体"/>
                <w:sz w:val="16"/>
              </w:rPr>
              <w:t>偏差原因：超额完成该项工作。</w:t>
            </w:r>
          </w:p>
        </w:tc>
      </w:tr>
      <w:tr w14:paraId="61743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45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EF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5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65AC">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0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2508">
            <w:pPr>
              <w:jc w:val="center"/>
            </w:pPr>
            <w:r>
              <w:rPr>
                <w:rFonts w:ascii="宋体" w:hAnsi="宋体" w:eastAsia="宋体"/>
                <w:sz w:val="16"/>
              </w:rPr>
              <w:t>&lt;=78.68万元/年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687F">
            <w:pPr>
              <w:jc w:val="center"/>
            </w:pPr>
            <w:r>
              <w:rPr>
                <w:rFonts w:ascii="宋体" w:hAnsi="宋体" w:eastAsia="宋体"/>
                <w:sz w:val="16"/>
              </w:rPr>
              <w:t>78.68万元/年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9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A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57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3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1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C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DB72">
            <w:pPr>
              <w:jc w:val="center"/>
            </w:pPr>
            <w:r>
              <w:rPr>
                <w:rFonts w:ascii="宋体" w:hAnsi="宋体" w:eastAsia="宋体"/>
                <w:sz w:val="16"/>
              </w:rPr>
              <w:t>偏差原因：超额完成该项工作。</w:t>
            </w:r>
          </w:p>
        </w:tc>
      </w:tr>
      <w:tr w14:paraId="4583C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6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C7E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80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2F26">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3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D6E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E1C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2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11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8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1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F5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3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F958">
            <w:pPr>
              <w:jc w:val="center"/>
            </w:pPr>
          </w:p>
        </w:tc>
      </w:tr>
      <w:tr w14:paraId="1344B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2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EA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BC8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CBBF">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FF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63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3D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2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D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A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5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6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ADE2">
            <w:pPr>
              <w:jc w:val="center"/>
            </w:pPr>
          </w:p>
        </w:tc>
      </w:tr>
      <w:tr w14:paraId="564C0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B0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B7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BE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492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F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270E">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7951">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2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7F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7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A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3F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5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0838">
            <w:pPr>
              <w:jc w:val="center"/>
            </w:pPr>
          </w:p>
        </w:tc>
      </w:tr>
      <w:tr w14:paraId="5A28C0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C834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1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FCF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38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4C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DB5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0B1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E7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C1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74A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68BAA"/>
        </w:tc>
      </w:tr>
    </w:tbl>
    <w:p w14:paraId="558E834F">
      <w:r>
        <w:br w:type="page"/>
      </w:r>
    </w:p>
    <w:p w14:paraId="235DEF76">
      <w:pPr>
        <w:spacing w:line="640" w:lineRule="exact"/>
        <w:ind w:firstLine="640"/>
        <w:jc w:val="both"/>
        <w:outlineLvl w:val="2"/>
      </w:pPr>
      <w:r>
        <w:rPr>
          <w:rFonts w:ascii="黑体" w:hAnsi="黑体" w:eastAsia="黑体"/>
          <w:sz w:val="32"/>
        </w:rPr>
        <w:t>十二、其他需说明的事项</w:t>
      </w:r>
    </w:p>
    <w:p w14:paraId="0F87625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0F6B07D">
      <w:r>
        <w:br w:type="page"/>
      </w:r>
    </w:p>
    <w:p w14:paraId="3881A9A1">
      <w:pPr>
        <w:spacing w:line="240" w:lineRule="auto"/>
        <w:jc w:val="center"/>
        <w:outlineLvl w:val="1"/>
      </w:pPr>
      <w:r>
        <w:rPr>
          <w:rFonts w:ascii="黑体" w:hAnsi="黑体" w:eastAsia="黑体"/>
          <w:sz w:val="32"/>
        </w:rPr>
        <w:t>第三部分 专业名词解释</w:t>
      </w:r>
    </w:p>
    <w:p w14:paraId="5D1BC7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9925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B358D9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72A927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852538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AB93B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BB1B20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E323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488A5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3F623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6C18C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6C4FD8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41DF54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E495D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6EC6583">
      <w:r>
        <w:br w:type="page"/>
      </w:r>
    </w:p>
    <w:p w14:paraId="0D275BA9">
      <w:pPr>
        <w:spacing w:line="240" w:lineRule="auto"/>
        <w:jc w:val="center"/>
        <w:outlineLvl w:val="1"/>
      </w:pPr>
      <w:r>
        <w:rPr>
          <w:rFonts w:ascii="黑体" w:hAnsi="黑体" w:eastAsia="黑体"/>
          <w:sz w:val="32"/>
        </w:rPr>
        <w:t>第四部分 部门决算报表（见附表）</w:t>
      </w:r>
    </w:p>
    <w:p w14:paraId="7ED9B1F8">
      <w:pPr>
        <w:spacing w:line="240" w:lineRule="auto"/>
        <w:ind w:firstLine="640"/>
        <w:jc w:val="both"/>
      </w:pPr>
      <w:r>
        <w:rPr>
          <w:rFonts w:ascii="仿宋_GB2312" w:hAnsi="仿宋_GB2312" w:eastAsia="仿宋_GB2312"/>
          <w:b w:val="0"/>
          <w:sz w:val="32"/>
        </w:rPr>
        <w:t>一、《收入支出决算总表》</w:t>
      </w:r>
    </w:p>
    <w:p w14:paraId="350BD356">
      <w:pPr>
        <w:spacing w:line="240" w:lineRule="auto"/>
        <w:ind w:firstLine="640"/>
        <w:jc w:val="both"/>
      </w:pPr>
      <w:r>
        <w:rPr>
          <w:rFonts w:ascii="仿宋_GB2312" w:hAnsi="仿宋_GB2312" w:eastAsia="仿宋_GB2312"/>
          <w:b w:val="0"/>
          <w:sz w:val="32"/>
        </w:rPr>
        <w:t>二、《收入决算表》</w:t>
      </w:r>
    </w:p>
    <w:p w14:paraId="2B973A07">
      <w:pPr>
        <w:spacing w:line="240" w:lineRule="auto"/>
        <w:ind w:firstLine="640"/>
        <w:jc w:val="both"/>
      </w:pPr>
      <w:r>
        <w:rPr>
          <w:rFonts w:ascii="仿宋_GB2312" w:hAnsi="仿宋_GB2312" w:eastAsia="仿宋_GB2312"/>
          <w:b w:val="0"/>
          <w:sz w:val="32"/>
        </w:rPr>
        <w:t>三、《支出决算表》</w:t>
      </w:r>
    </w:p>
    <w:p w14:paraId="424252A1">
      <w:pPr>
        <w:spacing w:line="240" w:lineRule="auto"/>
        <w:ind w:firstLine="640"/>
        <w:jc w:val="both"/>
      </w:pPr>
      <w:r>
        <w:rPr>
          <w:rFonts w:ascii="仿宋_GB2312" w:hAnsi="仿宋_GB2312" w:eastAsia="仿宋_GB2312"/>
          <w:b w:val="0"/>
          <w:sz w:val="32"/>
        </w:rPr>
        <w:t>四、《财政拨款收入支出决算总表》</w:t>
      </w:r>
    </w:p>
    <w:p w14:paraId="2BCA9313">
      <w:pPr>
        <w:spacing w:line="240" w:lineRule="auto"/>
        <w:ind w:firstLine="640"/>
        <w:jc w:val="both"/>
      </w:pPr>
      <w:r>
        <w:rPr>
          <w:rFonts w:ascii="仿宋_GB2312" w:hAnsi="仿宋_GB2312" w:eastAsia="仿宋_GB2312"/>
          <w:b w:val="0"/>
          <w:sz w:val="32"/>
        </w:rPr>
        <w:t>五、《一般公共预算财政拨款支出决算表》</w:t>
      </w:r>
    </w:p>
    <w:p w14:paraId="47BDFB4D">
      <w:pPr>
        <w:spacing w:line="240" w:lineRule="auto"/>
        <w:ind w:firstLine="640"/>
        <w:jc w:val="both"/>
      </w:pPr>
      <w:r>
        <w:rPr>
          <w:rFonts w:ascii="仿宋_GB2312" w:hAnsi="仿宋_GB2312" w:eastAsia="仿宋_GB2312"/>
          <w:b w:val="0"/>
          <w:sz w:val="32"/>
        </w:rPr>
        <w:t>六、《一般公共预算财政拨款基本支出决算表》</w:t>
      </w:r>
    </w:p>
    <w:p w14:paraId="6BC5AAFA">
      <w:pPr>
        <w:spacing w:line="240" w:lineRule="auto"/>
        <w:ind w:firstLine="640"/>
        <w:jc w:val="both"/>
      </w:pPr>
      <w:r>
        <w:rPr>
          <w:rFonts w:ascii="仿宋_GB2312" w:hAnsi="仿宋_GB2312" w:eastAsia="仿宋_GB2312"/>
          <w:b w:val="0"/>
          <w:sz w:val="32"/>
        </w:rPr>
        <w:t>七、《政府性基金预算财政拨款收入支出决算表》</w:t>
      </w:r>
    </w:p>
    <w:p w14:paraId="2FD6D3B8">
      <w:pPr>
        <w:spacing w:line="240" w:lineRule="auto"/>
        <w:ind w:firstLine="640"/>
        <w:jc w:val="both"/>
      </w:pPr>
      <w:r>
        <w:rPr>
          <w:rFonts w:ascii="仿宋_GB2312" w:hAnsi="仿宋_GB2312" w:eastAsia="仿宋_GB2312"/>
          <w:b w:val="0"/>
          <w:sz w:val="32"/>
        </w:rPr>
        <w:t>八、《国有资本经营预算财政拨款收入支出决算表》</w:t>
      </w:r>
    </w:p>
    <w:p w14:paraId="1FAFAA17">
      <w:pPr>
        <w:spacing w:line="240" w:lineRule="auto"/>
        <w:ind w:firstLine="640"/>
        <w:jc w:val="both"/>
      </w:pPr>
      <w:r>
        <w:rPr>
          <w:rFonts w:ascii="仿宋_GB2312" w:hAnsi="仿宋_GB2312" w:eastAsia="仿宋_GB2312"/>
          <w:b w:val="0"/>
          <w:sz w:val="32"/>
        </w:rPr>
        <w:t>九、《财政拨款“三公”经费支出决算表》</w:t>
      </w:r>
    </w:p>
    <w:p w14:paraId="465B8A27">
      <w:pPr>
        <w:spacing w:line="240" w:lineRule="auto"/>
        <w:ind w:firstLine="640"/>
        <w:jc w:val="both"/>
      </w:pPr>
    </w:p>
    <w:p w14:paraId="37270F4A">
      <w:pPr>
        <w:spacing w:line="240" w:lineRule="auto"/>
        <w:ind w:firstLine="640"/>
        <w:jc w:val="both"/>
      </w:pPr>
    </w:p>
    <w:p w14:paraId="590E3EEF">
      <w:pPr>
        <w:spacing w:line="240" w:lineRule="auto"/>
        <w:ind w:firstLine="640"/>
        <w:jc w:val="both"/>
      </w:pPr>
    </w:p>
    <w:p w14:paraId="41CBF78D">
      <w:pPr>
        <w:spacing w:line="240" w:lineRule="auto"/>
        <w:ind w:firstLine="640"/>
        <w:jc w:val="both"/>
      </w:pPr>
    </w:p>
    <w:p w14:paraId="6B86A1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7030AC"/>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191A94"/>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8928E8"/>
    <w:rsid w:val="50DB5F45"/>
    <w:rsid w:val="52F92565"/>
    <w:rsid w:val="543D17CB"/>
    <w:rsid w:val="55DA564E"/>
    <w:rsid w:val="56E07045"/>
    <w:rsid w:val="583059FA"/>
    <w:rsid w:val="587E6212"/>
    <w:rsid w:val="5AFC6609"/>
    <w:rsid w:val="5E164E3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dbae9b-b53e-4d30-af4b-d686956bee5e}">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5015</Words>
  <Characters>5723</Characters>
  <Lines>0</Lines>
  <Paragraphs>0</Paragraphs>
  <TotalTime>0</TotalTime>
  <ScaleCrop>false</ScaleCrop>
  <LinksUpToDate>false</LinksUpToDate>
  <CharactersWithSpaces>5731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