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63201"/>
    <w:p w14:paraId="3D4E8348">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14:paraId="6F069061">
      <w:pPr>
        <w:pBdr>
          <w:top w:val="none" w:color="auto" w:sz="0" w:space="0"/>
          <w:left w:val="none" w:color="auto" w:sz="0" w:space="0"/>
          <w:bottom w:val="none" w:color="auto" w:sz="0" w:space="0"/>
          <w:right w:val="none" w:color="auto" w:sz="0" w:space="0"/>
          <w:between w:val="none" w:color="auto" w:sz="0" w:space="0"/>
        </w:pBdr>
        <w:spacing w:line="540" w:lineRule="exact"/>
        <w:rPr>
          <w:rFonts w:hint="default" w:ascii="Times New Roman" w:hAnsi="Times New Roman" w:eastAsia="华文中宋" w:cs="Times New Roman"/>
          <w:b/>
          <w:kern w:val="0"/>
          <w:sz w:val="52"/>
          <w:szCs w:val="52"/>
        </w:rPr>
      </w:pPr>
    </w:p>
    <w:p w14:paraId="55F10025">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14:paraId="617503DE">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14:paraId="6FAB7A7C">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特克斯县特克斯镇特色馕产业发展和</w:t>
      </w:r>
    </w:p>
    <w:p w14:paraId="49E82257">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装修</w:t>
      </w:r>
      <w:r>
        <w:rPr>
          <w:rFonts w:hint="eastAsia" w:ascii="方正小标宋简体" w:hAnsi="方正小标宋简体" w:eastAsia="方正小标宋简体" w:cs="方正小标宋简体"/>
          <w:kern w:val="0"/>
          <w:sz w:val="44"/>
          <w:szCs w:val="44"/>
        </w:rPr>
        <w:t>项目支出绩效评价报告</w:t>
      </w:r>
    </w:p>
    <w:p w14:paraId="1D5BB4E0">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14:paraId="0E1141F9">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6A832F0B">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p>
    <w:p w14:paraId="262968FF">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p>
    <w:p w14:paraId="64D84250">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p>
    <w:p w14:paraId="69542C14">
      <w:pPr>
        <w:pBdr>
          <w:top w:val="none" w:color="auto" w:sz="0" w:space="0"/>
          <w:left w:val="none" w:color="auto" w:sz="0" w:space="0"/>
          <w:bottom w:val="none" w:color="auto" w:sz="0" w:space="0"/>
          <w:right w:val="none" w:color="auto" w:sz="0" w:space="0"/>
          <w:between w:val="none" w:color="auto" w:sz="0" w:space="0"/>
        </w:pBdr>
        <w:spacing w:line="540" w:lineRule="exact"/>
        <w:jc w:val="both"/>
        <w:rPr>
          <w:rFonts w:hint="default" w:ascii="Times New Roman" w:hAnsi="Times New Roman" w:eastAsia="仿宋_GB2312" w:cs="Times New Roman"/>
          <w:kern w:val="0"/>
          <w:sz w:val="32"/>
          <w:szCs w:val="32"/>
        </w:rPr>
      </w:pPr>
    </w:p>
    <w:p w14:paraId="0BEB21E8">
      <w:pPr>
        <w:pBdr>
          <w:top w:val="none" w:color="auto" w:sz="0" w:space="0"/>
          <w:left w:val="none" w:color="auto" w:sz="0" w:space="0"/>
          <w:bottom w:val="none" w:color="auto" w:sz="0" w:space="0"/>
          <w:right w:val="none" w:color="auto" w:sz="0" w:space="0"/>
          <w:between w:val="none" w:color="auto" w:sz="0" w:space="0"/>
        </w:pBdr>
        <w:spacing w:line="540" w:lineRule="exact"/>
        <w:rPr>
          <w:rFonts w:hint="default" w:ascii="Times New Roman" w:hAnsi="Times New Roman" w:eastAsia="仿宋_GB2312" w:cs="Times New Roman"/>
          <w:kern w:val="0"/>
          <w:sz w:val="32"/>
          <w:szCs w:val="32"/>
        </w:rPr>
      </w:pPr>
    </w:p>
    <w:p w14:paraId="12673D13">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w w:val="95"/>
          <w:kern w:val="0"/>
          <w:sz w:val="32"/>
          <w:szCs w:val="32"/>
        </w:rPr>
      </w:pPr>
      <w:r>
        <w:rPr>
          <w:rFonts w:hint="default" w:ascii="Times New Roman" w:hAnsi="Times New Roman" w:eastAsia="仿宋_GB2312" w:cs="Times New Roman"/>
          <w:kern w:val="0"/>
          <w:sz w:val="32"/>
          <w:szCs w:val="32"/>
        </w:rPr>
        <w:t>项目名称：</w:t>
      </w:r>
      <w:r>
        <w:rPr>
          <w:rFonts w:hint="default" w:ascii="Times New Roman" w:hAnsi="Times New Roman" w:eastAsia="仿宋_GB2312" w:cs="Times New Roman"/>
          <w:w w:val="95"/>
          <w:kern w:val="0"/>
          <w:sz w:val="32"/>
          <w:szCs w:val="32"/>
        </w:rPr>
        <w:t>特克斯镇特色馕产业发展和装修项目</w:t>
      </w:r>
    </w:p>
    <w:p w14:paraId="447E71D0">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spacing w:val="-20"/>
          <w:w w:val="80"/>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特克斯镇人民政府</w:t>
      </w:r>
    </w:p>
    <w:p w14:paraId="2E5083EE">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特克斯镇人民政府</w:t>
      </w:r>
    </w:p>
    <w:p w14:paraId="245557F5">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w:t>
      </w:r>
      <w:r>
        <w:rPr>
          <w:rFonts w:hint="eastAsia" w:eastAsia="仿宋_GB2312" w:cs="Times New Roman"/>
          <w:kern w:val="0"/>
          <w:sz w:val="32"/>
          <w:szCs w:val="32"/>
          <w:lang w:val="en-US" w:eastAsia="zh-CN"/>
        </w:rPr>
        <w:t>翟卫龙</w:t>
      </w:r>
    </w:p>
    <w:p w14:paraId="4A7C804A">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日</w:t>
      </w:r>
    </w:p>
    <w:p w14:paraId="57BA151C">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0"/>
          <w:szCs w:val="30"/>
        </w:rPr>
      </w:pPr>
    </w:p>
    <w:p w14:paraId="6907074C">
      <w:pPr>
        <w:pBdr>
          <w:top w:val="none" w:color="auto" w:sz="0" w:space="0"/>
          <w:left w:val="none" w:color="auto" w:sz="0" w:space="0"/>
          <w:bottom w:val="none" w:color="auto" w:sz="0" w:space="0"/>
          <w:right w:val="none" w:color="auto" w:sz="0" w:space="0"/>
          <w:between w:val="none" w:color="auto" w:sz="0" w:space="0"/>
        </w:pBdr>
        <w:spacing w:line="540" w:lineRule="exact"/>
        <w:rPr>
          <w:rStyle w:val="15"/>
          <w:rFonts w:hint="default" w:ascii="Times New Roman" w:hAnsi="Times New Roman" w:eastAsia="黑体" w:cs="Times New Roman"/>
          <w:b w:val="0"/>
          <w:spacing w:val="-4"/>
          <w:sz w:val="32"/>
          <w:szCs w:val="32"/>
        </w:rPr>
      </w:pPr>
    </w:p>
    <w:p w14:paraId="6161F5EE">
      <w:pPr>
        <w:pBdr>
          <w:top w:val="none" w:color="auto" w:sz="0" w:space="0"/>
          <w:left w:val="none" w:color="auto" w:sz="0" w:space="0"/>
          <w:bottom w:val="none" w:color="auto" w:sz="0" w:space="0"/>
          <w:right w:val="none" w:color="auto" w:sz="0" w:space="0"/>
          <w:between w:val="none" w:color="auto" w:sz="0" w:space="0"/>
        </w:pBdr>
        <w:spacing w:line="540" w:lineRule="exact"/>
        <w:ind w:firstLine="640"/>
        <w:rPr>
          <w:rStyle w:val="15"/>
          <w:rFonts w:hint="default" w:ascii="Times New Roman" w:hAnsi="Times New Roman" w:eastAsia="黑体" w:cs="Times New Roman"/>
          <w:b w:val="0"/>
          <w:spacing w:val="-4"/>
          <w:sz w:val="32"/>
          <w:szCs w:val="32"/>
        </w:rPr>
      </w:pPr>
    </w:p>
    <w:p w14:paraId="3108BE7F">
      <w:pPr>
        <w:pBdr>
          <w:top w:val="none" w:color="auto" w:sz="0" w:space="0"/>
          <w:left w:val="none" w:color="auto" w:sz="0" w:space="0"/>
          <w:bottom w:val="none" w:color="auto" w:sz="0" w:space="0"/>
          <w:right w:val="none" w:color="auto" w:sz="0" w:space="0"/>
          <w:between w:val="none" w:color="auto" w:sz="0" w:space="0"/>
        </w:pBdr>
        <w:spacing w:line="540" w:lineRule="exact"/>
        <w:rPr>
          <w:rStyle w:val="15"/>
          <w:rFonts w:hint="default" w:ascii="Times New Roman" w:hAnsi="Times New Roman" w:eastAsia="黑体" w:cs="Times New Roman"/>
          <w:b w:val="0"/>
          <w:spacing w:val="-4"/>
          <w:sz w:val="32"/>
          <w:szCs w:val="32"/>
        </w:rPr>
      </w:pPr>
    </w:p>
    <w:p w14:paraId="4F6351E8">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798A10E">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8A90412">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0D8A42F">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Style w:val="15"/>
          <w:rFonts w:hint="default" w:ascii="Times New Roman" w:hAnsi="Times New Roman" w:eastAsia="黑体" w:cs="Times New Roman"/>
          <w:b w:val="0"/>
          <w:bCs/>
          <w:spacing w:val="-4"/>
          <w:sz w:val="32"/>
          <w:szCs w:val="32"/>
          <w:highlight w:val="yellow"/>
          <w:lang w:eastAsia="zh-CN"/>
        </w:rPr>
      </w:pPr>
      <w:r>
        <w:rPr>
          <w:rFonts w:hint="default" w:ascii="Times New Roman" w:hAnsi="Times New Roman" w:eastAsia="仿宋_GB2312" w:cs="Times New Roman"/>
          <w:sz w:val="32"/>
          <w:szCs w:val="32"/>
          <w:lang w:val="en-US" w:eastAsia="en-US"/>
        </w:rPr>
        <w:t>2018年自治区提出大力发展馕产业的重要部署以来，新疆馕产业发展进入新的时期。全区各地以市场需求为依托，以解决就业促进增收为导向，以促进全产业链发展为重点，推进馕产业多元化发展，生产规模迅速扩大，产业集中度不断提升，品牌意识逐渐增强，产业发展格局初步形成，在增加就业、助力脱贫攻坚、推动特色农产品加工业发展、弘扬传统饮食文化、促进经济社会发展与和谐稳定等方面取得了显著成效。</w:t>
      </w:r>
    </w:p>
    <w:p w14:paraId="75B9EE58">
      <w:pPr>
        <w:pStyle w:val="9"/>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C8F30A7">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特克斯镇特色馕产业发展和装修项目：文化演艺及餐饮区600平方米，内部装修3000平方米。</w:t>
      </w:r>
    </w:p>
    <w:p w14:paraId="26DABF47">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已完工</w:t>
      </w:r>
    </w:p>
    <w:p w14:paraId="3AD6BB5C">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738EE1B6">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E8177E3">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年初追加预算</w:t>
      </w:r>
      <w:r>
        <w:rPr>
          <w:rFonts w:hint="default" w:ascii="Times New Roman" w:hAnsi="Times New Roman" w:eastAsia="仿宋_GB2312" w:cs="Times New Roman"/>
          <w:sz w:val="32"/>
          <w:szCs w:val="32"/>
          <w:highlight w:val="none"/>
          <w:lang w:val="en-US" w:eastAsia="zh-CN"/>
        </w:rPr>
        <w:t>。</w:t>
      </w:r>
    </w:p>
    <w:p w14:paraId="49B95F68">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197B3233">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特克斯县特克斯镇特色馕产业发展和装修项目年初预算数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%，主要用于：特克斯镇特色馕产业发展和装修项目</w:t>
      </w:r>
      <w:r>
        <w:rPr>
          <w:rFonts w:hint="eastAsia" w:eastAsia="仿宋_GB2312" w:cs="Times New Roman"/>
          <w:sz w:val="32"/>
          <w:szCs w:val="32"/>
          <w:highlight w:val="none"/>
          <w:lang w:val="en-US" w:eastAsia="zh-CN"/>
        </w:rPr>
        <w:t>建设</w:t>
      </w:r>
      <w:r>
        <w:rPr>
          <w:rFonts w:hint="default" w:ascii="Times New Roman" w:hAnsi="Times New Roman" w:eastAsia="仿宋_GB2312" w:cs="Times New Roman"/>
          <w:sz w:val="32"/>
          <w:szCs w:val="32"/>
          <w:highlight w:val="none"/>
          <w:lang w:val="en-US" w:eastAsia="zh-CN"/>
        </w:rPr>
        <w:t>。</w:t>
      </w:r>
    </w:p>
    <w:p w14:paraId="0D017C25">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E496EEC">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1E573BF">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文化演艺及餐饮区600平方米，内部装修3000平方米。</w:t>
      </w:r>
    </w:p>
    <w:p w14:paraId="1C426471">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09ED443D">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Style w:val="15"/>
          <w:rFonts w:hint="default" w:ascii="Times New Roman" w:hAnsi="Times New Roman" w:eastAsia="方正仿宋简体" w:cs="Times New Roman"/>
          <w:b w:val="0"/>
          <w:bCs/>
          <w:spacing w:val="-4"/>
          <w:sz w:val="32"/>
          <w:szCs w:val="32"/>
          <w:highlight w:val="none"/>
          <w:lang w:eastAsia="zh-CN"/>
        </w:rPr>
      </w:pPr>
      <w:r>
        <w:rPr>
          <w:rFonts w:hint="eastAsia" w:eastAsia="仿宋_GB2312" w:cs="Times New Roman"/>
          <w:sz w:val="32"/>
          <w:szCs w:val="32"/>
          <w:lang w:val="en-US" w:eastAsia="zh-CN"/>
        </w:rPr>
        <w:t>2024年1-6月：完成文化演艺及餐饮区600平方米，内部装修3000平方米任务6</w:t>
      </w:r>
      <w:r>
        <w:rPr>
          <w:rStyle w:val="15"/>
          <w:rFonts w:hint="eastAsia" w:eastAsia="方正仿宋简体" w:cs="Times New Roman"/>
          <w:b w:val="0"/>
          <w:bCs/>
          <w:spacing w:val="-4"/>
          <w:sz w:val="32"/>
          <w:szCs w:val="32"/>
          <w:highlight w:val="none"/>
          <w:lang w:val="en-US" w:eastAsia="zh-CN"/>
        </w:rPr>
        <w:t>0%</w:t>
      </w:r>
      <w:r>
        <w:rPr>
          <w:rStyle w:val="15"/>
          <w:rFonts w:hint="default" w:ascii="Times New Roman" w:hAnsi="Times New Roman" w:eastAsia="方正仿宋简体" w:cs="Times New Roman"/>
          <w:b w:val="0"/>
          <w:bCs/>
          <w:spacing w:val="-4"/>
          <w:sz w:val="32"/>
          <w:szCs w:val="32"/>
          <w:highlight w:val="none"/>
          <w:lang w:eastAsia="zh-CN"/>
        </w:rPr>
        <w:t>；</w:t>
      </w:r>
    </w:p>
    <w:p w14:paraId="4ED65B3B">
      <w:pPr>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24" w:firstLineChars="200"/>
        <w:rPr>
          <w:rStyle w:val="15"/>
          <w:rFonts w:hint="eastAsia" w:ascii="仿宋" w:hAnsi="仿宋" w:eastAsia="仿宋" w:cs="仿宋"/>
          <w:b w:val="0"/>
          <w:bCs/>
          <w:spacing w:val="-4"/>
          <w:sz w:val="32"/>
          <w:szCs w:val="32"/>
          <w:highlight w:val="none"/>
          <w:lang w:val="en-US" w:eastAsia="zh-CN"/>
        </w:rPr>
      </w:pPr>
      <w:r>
        <w:rPr>
          <w:rStyle w:val="15"/>
          <w:rFonts w:hint="eastAsia" w:ascii="仿宋" w:hAnsi="仿宋" w:eastAsia="仿宋" w:cs="仿宋"/>
          <w:b w:val="0"/>
          <w:bCs/>
          <w:spacing w:val="-4"/>
          <w:sz w:val="32"/>
          <w:szCs w:val="32"/>
          <w:highlight w:val="none"/>
          <w:lang w:val="en-US" w:eastAsia="zh-CN"/>
        </w:rPr>
        <w:t>2024年7-12月：完成</w:t>
      </w:r>
      <w:r>
        <w:rPr>
          <w:rFonts w:hint="eastAsia" w:ascii="仿宋" w:hAnsi="仿宋" w:eastAsia="仿宋" w:cs="仿宋"/>
          <w:sz w:val="32"/>
          <w:szCs w:val="32"/>
          <w:lang w:val="en-US" w:eastAsia="zh-CN"/>
        </w:rPr>
        <w:t>文化演艺及餐饮区600平方米，内部装修3000平方米任务4</w:t>
      </w:r>
      <w:r>
        <w:rPr>
          <w:rStyle w:val="15"/>
          <w:rFonts w:hint="eastAsia" w:ascii="仿宋" w:hAnsi="仿宋" w:eastAsia="仿宋" w:cs="仿宋"/>
          <w:b w:val="0"/>
          <w:bCs/>
          <w:spacing w:val="-4"/>
          <w:sz w:val="32"/>
          <w:szCs w:val="32"/>
          <w:highlight w:val="none"/>
          <w:lang w:val="en-US" w:eastAsia="zh-CN"/>
        </w:rPr>
        <w:t>0%</w:t>
      </w:r>
      <w:r>
        <w:rPr>
          <w:rStyle w:val="15"/>
          <w:rFonts w:hint="eastAsia" w:ascii="仿宋" w:hAnsi="仿宋" w:eastAsia="仿宋" w:cs="仿宋"/>
          <w:b w:val="0"/>
          <w:bCs/>
          <w:spacing w:val="-4"/>
          <w:sz w:val="32"/>
          <w:szCs w:val="32"/>
          <w:highlight w:val="none"/>
        </w:rPr>
        <w:t>。</w:t>
      </w:r>
    </w:p>
    <w:p w14:paraId="58455A75">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5A0D7685">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2059A2F">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66EA38A1">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2FAB3E4">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14:paraId="152C1FEF">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在数据收集与分析环节，采用问卷调查</w:t>
      </w:r>
      <w:r>
        <w:rPr>
          <w:rFonts w:hint="eastAsia" w:eastAsia="仿宋_GB2312" w:cs="Times New Roman"/>
          <w:sz w:val="32"/>
          <w:szCs w:val="32"/>
          <w:highlight w:val="none"/>
          <w:lang w:val="en-US" w:eastAsia="zh-CN"/>
        </w:rPr>
        <w:t>的方式</w:t>
      </w:r>
      <w:r>
        <w:rPr>
          <w:rFonts w:hint="default" w:ascii="Times New Roman" w:hAnsi="Times New Roman" w:eastAsia="仿宋_GB2312" w:cs="Times New Roman"/>
          <w:sz w:val="32"/>
          <w:szCs w:val="32"/>
          <w:highlight w:val="none"/>
          <w:lang w:val="en-US" w:eastAsia="zh-CN"/>
        </w:rPr>
        <w:t>，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570FE40">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8DD9387">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B50C0DE">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58AE59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1C2E681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rPr>
        <w:t>等多维度指标，为项目后续的改进与优化提供科学依据。</w:t>
      </w:r>
    </w:p>
    <w:p w14:paraId="6B43639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37F0DA4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675491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6685C5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C11A32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（4）促进项目持续改进</w:t>
      </w:r>
    </w:p>
    <w:p w14:paraId="213C46E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26FAF0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6F13CAF">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71529370">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本项目预算绩效评价报告的评价对象是特克斯镇特色馕产业发展和装修项目及其预算执行情况。该项目由</w:t>
      </w:r>
      <w:r>
        <w:rPr>
          <w:rFonts w:hint="eastAsia" w:ascii="Times New Roman" w:hAnsi="Times New Roman" w:eastAsia="仿宋_GB2312" w:cs="Times New Roman"/>
          <w:b w:val="0"/>
          <w:bCs w:val="0"/>
          <w:highlight w:val="none"/>
          <w:lang w:val="en-US" w:eastAsia="zh-CN"/>
        </w:rPr>
        <w:t>特克斯大有工程建设有限公司</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实现：文化演艺及餐饮区600平方米，内部装修3000平方米。</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2024年2月1日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2024年12月30日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167.83</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261BADBE">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6AEB5537">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03888BA9">
      <w:pPr>
        <w:pStyle w:val="9"/>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650E11D8">
      <w:pPr>
        <w:pStyle w:val="9"/>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656D9FFA">
      <w:pPr>
        <w:pStyle w:val="9"/>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2900AD9A">
      <w:pPr>
        <w:pStyle w:val="9"/>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影响：考察项目对社会、经济</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可持续性</w:t>
      </w:r>
      <w:r>
        <w:rPr>
          <w:rFonts w:hint="default" w:ascii="Times New Roman" w:hAnsi="Times New Roman" w:eastAsia="仿宋_GB2312" w:cs="Times New Roman"/>
          <w:b w:val="0"/>
          <w:bCs w:val="0"/>
          <w:highlight w:val="none"/>
        </w:rPr>
        <w:t>等方面的综合影响。</w:t>
      </w:r>
    </w:p>
    <w:p w14:paraId="365CF6D0">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14:paraId="2D66E216">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14:paraId="52B734C0">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30A0B3D2">
      <w:pPr>
        <w:pStyle w:val="9"/>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51708297">
      <w:pPr>
        <w:pStyle w:val="9"/>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196BA9A4">
      <w:pPr>
        <w:pStyle w:val="9"/>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379D2CD">
      <w:pPr>
        <w:pStyle w:val="9"/>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4F6445B">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14:paraId="7FEAD443">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680FCEAB">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14:paraId="11182044">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3E74B3C5">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14:paraId="7B79E25E">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44AB27C5">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14:paraId="2CE7AA60">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11CD6B9F">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663E4F13">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14:paraId="77474FDD">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14:paraId="65006410">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508894F0">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本次评价指标中，既有定性指标又有定量指标，各类指标因考核内容不同和客观标准不同存在较大差异，因此核定具体指标时采用成本效益分析法</w:t>
      </w:r>
      <w:r>
        <w:rPr>
          <w:rFonts w:hint="eastAsia" w:ascii="Times New Roman" w:hAnsi="Times New Roman" w:eastAsia="仿宋_GB2312" w:cs="Times New Roman"/>
          <w:b w:val="0"/>
          <w:bCs w:val="0"/>
          <w:kern w:val="2"/>
          <w:sz w:val="32"/>
          <w:szCs w:val="32"/>
          <w:highlight w:val="none"/>
          <w:lang w:val="en-US" w:eastAsia="zh-CN" w:bidi="ar-SA"/>
        </w:rPr>
        <w:t>，该方法为</w:t>
      </w:r>
      <w:r>
        <w:rPr>
          <w:rFonts w:hint="default" w:ascii="Times New Roman" w:hAnsi="Times New Roman" w:eastAsia="仿宋_GB2312" w:cs="Times New Roman"/>
          <w:b w:val="0"/>
          <w:bCs w:val="0"/>
          <w:kern w:val="2"/>
          <w:sz w:val="32"/>
          <w:szCs w:val="32"/>
          <w:highlight w:val="none"/>
          <w:lang w:val="en-US" w:eastAsia="zh-CN" w:bidi="ar-SA"/>
        </w:rPr>
        <w:t>将投入与产出、效益进行关联性分析的方法</w:t>
      </w:r>
      <w:r>
        <w:rPr>
          <w:rFonts w:hint="eastAsia" w:ascii="Times New Roman" w:hAnsi="Times New Roman" w:eastAsia="仿宋_GB2312" w:cs="Times New Roman"/>
          <w:b w:val="0"/>
          <w:bCs w:val="0"/>
          <w:kern w:val="2"/>
          <w:sz w:val="32"/>
          <w:szCs w:val="32"/>
          <w:highlight w:val="none"/>
          <w:lang w:val="en-US" w:eastAsia="zh-CN" w:bidi="ar-SA"/>
        </w:rPr>
        <w:t>，不仅考虑了项目直接的、短期的成本与效益，还能考虑到间接地的、长期的成本与效益，可以将项目的成本和效益都以货币形式直接量化，从而使各项指标更加清晰直观。</w:t>
      </w:r>
      <w:r>
        <w:rPr>
          <w:rFonts w:hint="default" w:ascii="Times New Roman" w:hAnsi="Times New Roman" w:eastAsia="仿宋_GB2312" w:cs="Times New Roman"/>
          <w:b w:val="0"/>
          <w:bCs w:val="0"/>
          <w:kern w:val="2"/>
          <w:sz w:val="32"/>
          <w:szCs w:val="32"/>
          <w:highlight w:val="none"/>
          <w:lang w:val="en-US" w:eastAsia="zh-CN" w:bidi="ar-SA"/>
        </w:rPr>
        <w:t xml:space="preserve"> </w:t>
      </w:r>
    </w:p>
    <w:p w14:paraId="4A8AEE0E">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14:paraId="46590F85">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hint="default" w:ascii="Times New Roman" w:hAnsi="Times New Roman" w:eastAsia="仿宋_GB2312" w:cs="Times New Roman"/>
          <w:b w:val="0"/>
          <w:bCs w:val="0"/>
          <w:kern w:val="2"/>
          <w:sz w:val="32"/>
          <w:szCs w:val="32"/>
          <w:highlight w:val="none"/>
          <w:lang w:val="en-US" w:eastAsia="zh-CN" w:bidi="ar-SA"/>
        </w:rPr>
        <w:t>标准。</w:t>
      </w:r>
      <w:r>
        <w:rPr>
          <w:rFonts w:hint="eastAsia" w:ascii="Times New Roman" w:hAnsi="Times New Roman" w:eastAsia="仿宋_GB2312" w:cs="Times New Roman"/>
          <w:b w:val="0"/>
          <w:bCs w:val="0"/>
          <w:kern w:val="2"/>
          <w:sz w:val="32"/>
          <w:szCs w:val="32"/>
          <w:highlight w:val="none"/>
          <w:lang w:val="en-US" w:eastAsia="zh-CN" w:bidi="ar-SA"/>
        </w:rPr>
        <w:t>该标准</w:t>
      </w:r>
      <w:r>
        <w:rPr>
          <w:rFonts w:hint="default" w:ascii="Times New Roman" w:hAnsi="Times New Roman" w:eastAsia="仿宋_GB2312" w:cs="Times New Roman"/>
          <w:b w:val="0"/>
          <w:bCs w:val="0"/>
          <w:kern w:val="2"/>
          <w:sz w:val="32"/>
          <w:szCs w:val="32"/>
          <w:highlight w:val="none"/>
          <w:lang w:val="en-US" w:eastAsia="zh-CN" w:bidi="ar-SA"/>
        </w:rPr>
        <w:t>指以预先制定的目标、计划、预算、定额等作为评价标准</w:t>
      </w:r>
      <w:r>
        <w:rPr>
          <w:rFonts w:hint="eastAsia" w:ascii="Times New Roman" w:hAnsi="Times New Roman" w:eastAsia="仿宋_GB2312" w:cs="Times New Roman"/>
          <w:b w:val="0"/>
          <w:bCs w:val="0"/>
          <w:kern w:val="2"/>
          <w:sz w:val="32"/>
          <w:szCs w:val="32"/>
          <w:highlight w:val="none"/>
          <w:lang w:val="en-US" w:eastAsia="zh-CN" w:bidi="ar-SA"/>
        </w:rPr>
        <w:t>，为项目设定了明确的目标和方向，提供了客观、具体的依据，能够及时发现偏差和问题，便于采取相应的纠正措施。</w:t>
      </w:r>
    </w:p>
    <w:p w14:paraId="41AB05B4">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绩效评价工作过程</w:t>
      </w:r>
    </w:p>
    <w:p w14:paraId="7DF9C098">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（1）指标体系构建</w:t>
      </w:r>
    </w:p>
    <w:p w14:paraId="55333856">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69F1C352">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）数据收集与整理</w:t>
      </w:r>
    </w:p>
    <w:p w14:paraId="455AE92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4D9673B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）数据分析与评估</w:t>
      </w:r>
    </w:p>
    <w:p w14:paraId="514EEBB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C2B8B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）报告撰写与反馈</w:t>
      </w:r>
    </w:p>
    <w:p w14:paraId="26161A6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738DFA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）后续跟踪与改进</w:t>
      </w:r>
    </w:p>
    <w:p w14:paraId="7213E1D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5C040D4">
      <w:pPr>
        <w:numPr>
          <w:ilvl w:val="0"/>
          <w:numId w:val="2"/>
        </w:num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19ACB7D5">
      <w:pPr>
        <w:pStyle w:val="9"/>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32267E22">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特克斯县特克斯镇特色馕产业发展和装修项目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lang w:val="en-US" w:eastAsia="zh-CN"/>
        </w:rPr>
        <w:t>文化演艺及餐饮区600平方米，内部装修3000平方米施工</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项目实施环节</w:t>
      </w:r>
      <w:r>
        <w:rPr>
          <w:rFonts w:hint="default" w:ascii="Times New Roman" w:hAnsi="Times New Roman" w:eastAsia="仿宋_GB2312" w:cs="Times New Roman"/>
          <w:sz w:val="32"/>
          <w:szCs w:val="32"/>
          <w:highlight w:val="none"/>
        </w:rPr>
        <w:t>取得了显著的成效，如项目实施期限为202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2月1日</w:t>
      </w:r>
      <w:r>
        <w:rPr>
          <w:rFonts w:hint="default" w:ascii="Times New Roman" w:hAnsi="Times New Roman" w:eastAsia="仿宋_GB2312" w:cs="Times New Roman"/>
          <w:sz w:val="32"/>
          <w:szCs w:val="32"/>
          <w:highlight w:val="none"/>
        </w:rPr>
        <w:t>至</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30日</w:t>
      </w:r>
      <w:r>
        <w:rPr>
          <w:rFonts w:hint="default" w:ascii="Times New Roman" w:hAnsi="Times New Roman" w:eastAsia="仿宋_GB2312" w:cs="Times New Roman"/>
          <w:sz w:val="32"/>
          <w:szCs w:val="32"/>
          <w:highlight w:val="none"/>
        </w:rPr>
        <w:t>，实际完成时限为202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1日至12月30日</w:t>
      </w:r>
      <w:r>
        <w:rPr>
          <w:rFonts w:hint="default" w:ascii="Times New Roman" w:hAnsi="Times New Roman" w:eastAsia="仿宋_GB2312" w:cs="Times New Roman"/>
          <w:sz w:val="32"/>
          <w:szCs w:val="32"/>
          <w:highlight w:val="none"/>
        </w:rPr>
        <w:t>。</w:t>
      </w:r>
    </w:p>
    <w:p w14:paraId="4D5D213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在项目管理方面，特克斯大有工程建设有限责任公司通过有效的规划、组织与协调，项目得以顺利实施，并在预算与时间上保持了良好的控制。</w:t>
      </w:r>
    </w:p>
    <w:p w14:paraId="0FF508B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经济效益、可持续性</w:t>
      </w:r>
      <w:r>
        <w:rPr>
          <w:rFonts w:hint="default" w:ascii="Times New Roman" w:hAnsi="Times New Roman" w:eastAsia="仿宋_GB2312" w:cs="Times New Roman"/>
          <w:sz w:val="32"/>
          <w:szCs w:val="32"/>
          <w:highlight w:val="none"/>
        </w:rPr>
        <w:t>等方面产生了积极的影响。具体而言，社会效益、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效益等方面的提升，为项目的利益相关者带来了实实在在的利益。</w:t>
      </w:r>
    </w:p>
    <w:p w14:paraId="22E0590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综上所述，特克斯县特克斯镇特色馕产业发展和装修项目在绩效评价中表现出色，达到了项目的预期目标，并在多个方面取得了显著的成效。</w:t>
      </w:r>
    </w:p>
    <w:p w14:paraId="10305421">
      <w:pPr>
        <w:pStyle w:val="9"/>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BEAD314">
      <w:pPr>
        <w:pStyle w:val="9"/>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w:t>
      </w:r>
      <w:r>
        <w:rPr>
          <w:rFonts w:hint="default" w:ascii="Times New Roman" w:hAnsi="Times New Roman" w:eastAsia="仿宋_GB2312" w:cs="Times New Roman"/>
          <w:b w:val="0"/>
          <w:bCs w:val="0"/>
          <w:highlight w:val="none"/>
        </w:rPr>
        <w:t>问卷调查及访谈等方式，对本项目进行客观评价，最终评分结果：总得分为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4E1D5263">
      <w:pPr>
        <w:pStyle w:val="9"/>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5697E7F6">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4F98E68">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0BC49528">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62846366">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457A1AB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28527A">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4EB243CD">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F602BFE">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42855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BBA7A3">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107B37CF">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B7507FC">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C10AE5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1CFA5F">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9E0ADA4">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41FE23E">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58F4BE6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747B5C">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6B62DE0">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CAE5826">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8C0509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DA1BEE5">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04754A97">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12B3F66">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05F44CAA">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D16505C">
      <w:pPr>
        <w:pStyle w:val="9"/>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6EBC242">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D857330">
      <w:pPr>
        <w:pStyle w:val="2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1CE8103">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E134A60">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3DBE9C5">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786B154">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23FF756">
      <w:pPr>
        <w:pStyle w:val="2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17DE803">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FFB4257">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E59E21B">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DACA9A5">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6ADB175">
      <w:pPr>
        <w:pStyle w:val="2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488D4F68">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7BFB14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68E4425">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148AA32">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4C64472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BE305A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E882FE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6FE23C6D">
      <w:pPr>
        <w:pStyle w:val="9"/>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3" w:firstLineChars="200"/>
        <w:jc w:val="both"/>
        <w:rPr>
          <w:rFonts w:hint="default" w:ascii="Times New Roman" w:hAnsi="Times New Roman" w:eastAsia="楷体" w:cs="Times New Roman"/>
        </w:rPr>
      </w:pPr>
      <w:r>
        <w:rPr>
          <w:rFonts w:hint="eastAsia" w:ascii="Times New Roman" w:hAnsi="Times New Roman" w:eastAsia="楷体" w:cs="Times New Roman"/>
          <w:b/>
          <w:bCs/>
          <w:kern w:val="28"/>
          <w:sz w:val="32"/>
          <w:szCs w:val="32"/>
          <w:lang w:val="en-US" w:eastAsia="zh-CN" w:bidi="ar-SA"/>
        </w:rPr>
        <w:t>（二）</w:t>
      </w:r>
      <w:r>
        <w:rPr>
          <w:rFonts w:hint="default" w:ascii="Times New Roman" w:hAnsi="Times New Roman" w:eastAsia="楷体" w:cs="Times New Roman"/>
        </w:rPr>
        <w:t>项目过程情况</w:t>
      </w:r>
    </w:p>
    <w:p w14:paraId="1A2C7160">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1BAF297">
      <w:pPr>
        <w:pStyle w:val="2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2676A554">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455661B">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4BAE3116">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454DCAB7">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B9A303C">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298882E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9C1E9A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8FECC5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34B5C6C0">
      <w:pPr>
        <w:pStyle w:val="2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3A4ECB43">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B3B778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D2A42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A78A00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BE073FC">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2445959F">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0C26027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1EF8D7C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6B9D46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F6F8CBB">
      <w:pPr>
        <w:pStyle w:val="10"/>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highlight w:val="none"/>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kern w:val="2"/>
          <w:sz w:val="32"/>
          <w:szCs w:val="32"/>
          <w:highlight w:val="none"/>
          <w:lang w:val="en-US" w:eastAsia="zh-CN" w:bidi="ar-SA"/>
        </w:rPr>
        <w:t>）</w:t>
      </w: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55EDF945">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3329D13F">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F466FFB">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文艺演艺及餐饮区</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600平方米，</w:t>
      </w:r>
      <w:r>
        <w:rPr>
          <w:rFonts w:hint="eastAsia" w:eastAsia="仿宋_GB2312" w:cs="Times New Roman"/>
          <w:sz w:val="32"/>
          <w:szCs w:val="32"/>
          <w:highlight w:val="none"/>
          <w:lang w:val="en-US" w:eastAsia="zh-CN"/>
        </w:rPr>
        <w:t>实际完成值：600平方米，指标完成率：100%，偏差原因：无。</w:t>
      </w:r>
    </w:p>
    <w:p w14:paraId="27BEDFD6">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指标2：内部装修，指标值：3000平方米，实际完成值3000平方米，指标完成率：100%，偏差原因：无。</w:t>
      </w:r>
    </w:p>
    <w:p w14:paraId="06757989">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471BC3E9">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指标1：项目验收合格率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%，实际</w:t>
      </w:r>
      <w:r>
        <w:rPr>
          <w:rFonts w:hint="eastAsia" w:eastAsia="仿宋_GB2312" w:cs="Times New Roman"/>
          <w:sz w:val="32"/>
          <w:szCs w:val="32"/>
          <w:highlight w:val="none"/>
          <w:lang w:val="en-US" w:eastAsia="zh-CN"/>
        </w:rPr>
        <w:t>完成值：</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，指标完成率：100%，偏差原因：无。</w:t>
      </w:r>
    </w:p>
    <w:p w14:paraId="45FEE729">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5620D6E">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指标1：项目完成及时率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100%，实际完成</w:t>
      </w:r>
      <w:r>
        <w:rPr>
          <w:rFonts w:hint="eastAsia" w:eastAsia="仿宋_GB2312" w:cs="Times New Roman"/>
          <w:sz w:val="32"/>
          <w:szCs w:val="32"/>
          <w:highlight w:val="none"/>
          <w:lang w:val="en-US" w:eastAsia="zh-CN"/>
        </w:rPr>
        <w:t>值：</w:t>
      </w:r>
      <w:r>
        <w:rPr>
          <w:rFonts w:hint="default" w:ascii="Times New Roman" w:hAnsi="Times New Roman" w:eastAsia="仿宋_GB2312" w:cs="Times New Roman"/>
          <w:sz w:val="32"/>
          <w:szCs w:val="32"/>
          <w:highlight w:val="none"/>
          <w:lang w:val="en-US" w:eastAsia="zh-CN"/>
        </w:rPr>
        <w:t>100%</w:t>
      </w:r>
      <w:r>
        <w:rPr>
          <w:rFonts w:hint="eastAsia" w:eastAsia="仿宋_GB2312" w:cs="Times New Roman"/>
          <w:sz w:val="32"/>
          <w:szCs w:val="32"/>
          <w:highlight w:val="none"/>
          <w:lang w:val="en-US" w:eastAsia="zh-CN"/>
        </w:rPr>
        <w:t>，指标完成率：100%，偏差原因：无。</w:t>
      </w:r>
    </w:p>
    <w:p w14:paraId="1CBC34BE">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指标2</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项目实施期限</w:t>
      </w:r>
      <w:r>
        <w:rPr>
          <w:rFonts w:hint="eastAsia" w:eastAsia="仿宋_GB2312" w:cs="Times New Roman"/>
          <w:sz w:val="32"/>
          <w:szCs w:val="32"/>
          <w:highlight w:val="none"/>
          <w:lang w:val="en-US" w:eastAsia="zh-CN"/>
        </w:rPr>
        <w:t>，指标值：</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1日</w:t>
      </w:r>
      <w:r>
        <w:rPr>
          <w:rFonts w:hint="default" w:ascii="Times New Roman" w:hAnsi="Times New Roman" w:eastAsia="仿宋_GB2312" w:cs="Times New Roman"/>
          <w:sz w:val="32"/>
          <w:szCs w:val="32"/>
          <w:highlight w:val="none"/>
          <w:lang w:val="en-US" w:eastAsia="zh-CN"/>
        </w:rPr>
        <w:t>至1</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30日</w:t>
      </w:r>
      <w:r>
        <w:rPr>
          <w:rFonts w:hint="default" w:ascii="Times New Roman" w:hAnsi="Times New Roman" w:eastAsia="仿宋_GB2312" w:cs="Times New Roman"/>
          <w:sz w:val="32"/>
          <w:szCs w:val="32"/>
          <w:highlight w:val="none"/>
          <w:lang w:val="en-US" w:eastAsia="zh-CN"/>
        </w:rPr>
        <w:t>，实际完成</w:t>
      </w:r>
      <w:r>
        <w:rPr>
          <w:rFonts w:hint="eastAsia" w:eastAsia="仿宋_GB2312" w:cs="Times New Roman"/>
          <w:sz w:val="32"/>
          <w:szCs w:val="32"/>
          <w:highlight w:val="none"/>
          <w:lang w:val="en-US" w:eastAsia="zh-CN"/>
        </w:rPr>
        <w:t>值：</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1日</w:t>
      </w:r>
      <w:r>
        <w:rPr>
          <w:rFonts w:hint="default" w:ascii="Times New Roman" w:hAnsi="Times New Roman" w:eastAsia="仿宋_GB2312" w:cs="Times New Roman"/>
          <w:sz w:val="32"/>
          <w:szCs w:val="32"/>
          <w:highlight w:val="none"/>
          <w:lang w:val="en-US" w:eastAsia="zh-CN"/>
        </w:rPr>
        <w:t>至1</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30日，指标完成率：100%，偏差原因：无。</w:t>
      </w:r>
    </w:p>
    <w:p w14:paraId="05BF1754">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45AB5DE5">
      <w:pPr>
        <w:pStyle w:val="10"/>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文化演艺及餐饮区成本，</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90万</w:t>
      </w:r>
      <w:r>
        <w:rPr>
          <w:rFonts w:hint="default" w:ascii="Times New Roman" w:hAnsi="Times New Roman" w:eastAsia="仿宋_GB2312" w:cs="Times New Roman"/>
          <w:sz w:val="32"/>
          <w:szCs w:val="32"/>
          <w:highlight w:val="none"/>
          <w:lang w:val="en-US" w:eastAsia="zh-CN"/>
        </w:rPr>
        <w:t>元，实际指标值</w:t>
      </w:r>
      <w:r>
        <w:rPr>
          <w:rFonts w:hint="eastAsia" w:eastAsia="仿宋_GB2312" w:cs="Times New Roman"/>
          <w:sz w:val="32"/>
          <w:szCs w:val="32"/>
          <w:highlight w:val="none"/>
          <w:lang w:val="en-US" w:eastAsia="zh-CN"/>
        </w:rPr>
        <w:t>90万</w:t>
      </w:r>
      <w:r>
        <w:rPr>
          <w:rFonts w:hint="default" w:ascii="Times New Roman" w:hAnsi="Times New Roman" w:eastAsia="仿宋_GB2312" w:cs="Times New Roman"/>
          <w:sz w:val="32"/>
          <w:szCs w:val="32"/>
          <w:highlight w:val="none"/>
          <w:lang w:val="en-US" w:eastAsia="zh-CN"/>
        </w:rPr>
        <w:t>元</w:t>
      </w:r>
      <w:r>
        <w:rPr>
          <w:rFonts w:hint="eastAsia" w:eastAsia="仿宋_GB2312" w:cs="Times New Roman"/>
          <w:sz w:val="32"/>
          <w:szCs w:val="32"/>
          <w:highlight w:val="none"/>
          <w:lang w:val="en-US" w:eastAsia="zh-CN"/>
        </w:rPr>
        <w:t>，指标完成率：100%，偏差原因：无</w:t>
      </w:r>
      <w:r>
        <w:rPr>
          <w:rFonts w:hint="default" w:ascii="Times New Roman" w:hAnsi="Times New Roman" w:eastAsia="仿宋_GB2312" w:cs="Times New Roman"/>
          <w:sz w:val="32"/>
          <w:szCs w:val="32"/>
          <w:highlight w:val="none"/>
          <w:lang w:val="en-US" w:eastAsia="zh-CN"/>
        </w:rPr>
        <w:t>。</w:t>
      </w:r>
    </w:p>
    <w:p w14:paraId="39105BE4">
      <w:pPr>
        <w:pStyle w:val="10"/>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指标2：内部装修成本</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指标值：</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77.83</w:t>
      </w:r>
      <w:r>
        <w:rPr>
          <w:rFonts w:hint="eastAsia"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lang w:val="en-US" w:eastAsia="zh-CN"/>
        </w:rPr>
        <w:t>元</w:t>
      </w:r>
      <w:r>
        <w:rPr>
          <w:rFonts w:hint="eastAsia" w:eastAsia="仿宋_GB2312" w:cs="Times New Roman"/>
          <w:sz w:val="32"/>
          <w:szCs w:val="32"/>
          <w:highlight w:val="none"/>
          <w:lang w:val="en-US" w:eastAsia="zh-CN"/>
        </w:rPr>
        <w:t>，实际指标值：77.83</w:t>
      </w:r>
      <w:r>
        <w:rPr>
          <w:rFonts w:hint="eastAsia"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，指标完成率：100%，偏差原因：无</w:t>
      </w:r>
      <w:r>
        <w:rPr>
          <w:rFonts w:hint="default" w:ascii="Times New Roman" w:hAnsi="Times New Roman" w:eastAsia="仿宋_GB2312" w:cs="Times New Roman"/>
          <w:sz w:val="32"/>
          <w:szCs w:val="32"/>
          <w:highlight w:val="none"/>
          <w:lang w:val="en-US" w:eastAsia="zh-CN"/>
        </w:rPr>
        <w:t>。</w:t>
      </w:r>
    </w:p>
    <w:p w14:paraId="07AD8C75">
      <w:pPr>
        <w:pStyle w:val="10"/>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kern w:val="2"/>
          <w:sz w:val="32"/>
          <w:szCs w:val="32"/>
          <w:highlight w:val="none"/>
          <w:lang w:val="en-US" w:eastAsia="zh-CN" w:bidi="ar-SA"/>
        </w:rPr>
        <w:t>（</w:t>
      </w:r>
      <w:r>
        <w:rPr>
          <w:rFonts w:hint="eastAsia" w:eastAsia="楷体_GB2312" w:cs="Times New Roman"/>
          <w:b/>
          <w:bCs/>
          <w:kern w:val="2"/>
          <w:sz w:val="32"/>
          <w:szCs w:val="32"/>
          <w:highlight w:val="none"/>
          <w:lang w:val="en-US" w:eastAsia="zh-CN" w:bidi="ar-SA"/>
        </w:rPr>
        <w:t>四</w:t>
      </w:r>
      <w:r>
        <w:rPr>
          <w:rFonts w:hint="eastAsia" w:ascii="Times New Roman" w:hAnsi="Times New Roman" w:eastAsia="楷体_GB2312" w:cs="Times New Roman"/>
          <w:b/>
          <w:bCs/>
          <w:kern w:val="2"/>
          <w:sz w:val="32"/>
          <w:szCs w:val="32"/>
          <w:highlight w:val="none"/>
          <w:lang w:val="en-US" w:eastAsia="zh-CN" w:bidi="ar-SA"/>
        </w:rPr>
        <w:t>）</w:t>
      </w:r>
      <w:r>
        <w:rPr>
          <w:rFonts w:hint="default" w:ascii="Times New Roman" w:hAnsi="Times New Roman" w:eastAsia="楷体_GB2312" w:cs="Times New Roman"/>
          <w:b/>
          <w:bCs/>
          <w:sz w:val="32"/>
          <w:szCs w:val="32"/>
          <w:highlight w:val="none"/>
          <w:lang w:val="en-US" w:eastAsia="zh-CN"/>
        </w:rPr>
        <w:t>项目效益情况</w:t>
      </w:r>
    </w:p>
    <w:p w14:paraId="739D88FA">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5376A1CA">
      <w:pPr>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kern w:val="2"/>
          <w:sz w:val="32"/>
          <w:szCs w:val="32"/>
          <w:highlight w:val="none"/>
          <w:lang w:val="en-US" w:eastAsia="zh-CN" w:bidi="ar-SA"/>
        </w:rPr>
        <w:t>1.</w:t>
      </w:r>
      <w:r>
        <w:rPr>
          <w:rFonts w:hint="default" w:ascii="Times New Roman" w:hAnsi="Times New Roman" w:eastAsia="仿宋_GB2312" w:cs="Times New Roman"/>
          <w:sz w:val="32"/>
          <w:szCs w:val="32"/>
          <w:highlight w:val="none"/>
          <w:lang w:val="en-US" w:eastAsia="zh-CN"/>
        </w:rPr>
        <w:t>实施效益</w:t>
      </w:r>
    </w:p>
    <w:p w14:paraId="6C6F5B10">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09791844">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带动地方经济发展，</w:t>
      </w:r>
      <w:r>
        <w:rPr>
          <w:rFonts w:hint="default"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：明显带动</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实际指标值：明显带动，指标完成率：100%，偏差原因：无</w:t>
      </w:r>
      <w:r>
        <w:rPr>
          <w:rFonts w:hint="default" w:ascii="Times New Roman" w:hAnsi="Times New Roman" w:eastAsia="仿宋_GB2312" w:cs="Times New Roman"/>
          <w:sz w:val="32"/>
          <w:szCs w:val="32"/>
          <w:highlight w:val="none"/>
          <w:lang w:val="en-US" w:eastAsia="zh-CN"/>
        </w:rPr>
        <w:t xml:space="preserve">。 </w:t>
      </w:r>
    </w:p>
    <w:p w14:paraId="64811A67">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lang w:val="en-US" w:eastAsia="zh-CN"/>
        </w:rPr>
        <w:t>指标：</w:t>
      </w:r>
    </w:p>
    <w:p w14:paraId="7DA75713">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指标1：改善项目区环境，指标值：明显改善，实际指标值：明显改善，指标完成率：100%，偏差原因：无</w:t>
      </w:r>
      <w:r>
        <w:rPr>
          <w:rFonts w:hint="default" w:ascii="Times New Roman" w:hAnsi="Times New Roman" w:eastAsia="仿宋_GB2312" w:cs="Times New Roman"/>
          <w:sz w:val="32"/>
          <w:szCs w:val="32"/>
          <w:highlight w:val="none"/>
          <w:lang w:val="en-US" w:eastAsia="zh-CN"/>
        </w:rPr>
        <w:t xml:space="preserve">。 </w:t>
      </w:r>
    </w:p>
    <w:p w14:paraId="615464E4">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C58FB81">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满意度指标</w:t>
      </w:r>
    </w:p>
    <w:p w14:paraId="7752B1BE">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服务对象</w:t>
      </w:r>
      <w:r>
        <w:rPr>
          <w:rFonts w:hint="default" w:ascii="Times New Roman" w:hAnsi="Times New Roman" w:eastAsia="仿宋_GB2312" w:cs="Times New Roman"/>
          <w:sz w:val="32"/>
          <w:szCs w:val="32"/>
          <w:highlight w:val="none"/>
          <w:lang w:val="en-US" w:eastAsia="zh-CN"/>
        </w:rPr>
        <w:t>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实际指标值：</w:t>
      </w:r>
      <w:r>
        <w:rPr>
          <w:rFonts w:hint="default"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，指标完成率：100%，偏差原因：无</w:t>
      </w:r>
      <w:r>
        <w:rPr>
          <w:rFonts w:hint="default" w:ascii="Times New Roman" w:hAnsi="Times New Roman" w:eastAsia="仿宋_GB2312" w:cs="Times New Roman"/>
          <w:sz w:val="32"/>
          <w:szCs w:val="32"/>
          <w:highlight w:val="none"/>
          <w:lang w:val="en-US" w:eastAsia="zh-CN"/>
        </w:rPr>
        <w:t xml:space="preserve">。 </w:t>
      </w:r>
    </w:p>
    <w:p w14:paraId="1552D9B8">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0F12A2F6">
      <w:pPr>
        <w:pStyle w:val="20"/>
        <w:pBdr>
          <w:top w:val="none" w:color="auto" w:sz="0" w:space="0"/>
          <w:left w:val="none" w:color="auto" w:sz="0" w:space="0"/>
          <w:bottom w:val="none" w:color="auto" w:sz="0" w:space="0"/>
          <w:right w:val="none" w:color="auto" w:sz="0" w:space="0"/>
          <w:between w:val="none" w:color="auto" w:sz="0" w:space="0"/>
        </w:pBdr>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highlight w:val="none"/>
          <w:lang w:val="en-US" w:eastAsia="zh-CN"/>
        </w:rPr>
        <w:t>特克斯镇特色馕产业发展</w:t>
      </w:r>
      <w:r>
        <w:rPr>
          <w:rFonts w:hint="eastAsia" w:eastAsia="方正仿宋_GBK" w:cs="Times New Roman"/>
          <w:sz w:val="32"/>
          <w:szCs w:val="32"/>
          <w:highlight w:val="none"/>
          <w:lang w:val="en-US" w:eastAsia="zh-CN"/>
        </w:rPr>
        <w:t>和装修</w:t>
      </w:r>
      <w:r>
        <w:rPr>
          <w:rFonts w:hint="default" w:ascii="Times New Roman" w:hAnsi="Times New Roman" w:eastAsia="方正仿宋_GBK" w:cs="Times New Roman"/>
          <w:sz w:val="32"/>
          <w:szCs w:val="32"/>
          <w:highlight w:val="none"/>
        </w:rPr>
        <w:t>项目年初预算</w:t>
      </w:r>
      <w:r>
        <w:rPr>
          <w:rFonts w:hint="eastAsia" w:eastAsia="方正仿宋_GBK" w:cs="Times New Roman"/>
          <w:sz w:val="32"/>
          <w:szCs w:val="32"/>
          <w:highlight w:val="none"/>
          <w:lang w:val="en-US" w:eastAsia="zh-CN"/>
        </w:rPr>
        <w:t>167.83</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167.83</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167.83</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0</w:t>
      </w:r>
      <w:r>
        <w:rPr>
          <w:rFonts w:hint="default" w:ascii="Times New Roman" w:hAnsi="Times New Roman" w:eastAsia="方正仿宋_GBK" w:cs="Times New Roman"/>
          <w:sz w:val="32"/>
          <w:szCs w:val="32"/>
          <w:highlight w:val="none"/>
        </w:rPr>
        <w:t>%。</w:t>
      </w:r>
    </w:p>
    <w:p w14:paraId="0000AC49">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7F332B80">
      <w:pPr>
        <w:pBdr>
          <w:top w:val="none" w:color="auto" w:sz="0" w:space="0"/>
          <w:left w:val="none" w:color="auto" w:sz="0" w:space="0"/>
          <w:bottom w:val="none" w:color="auto" w:sz="0" w:space="0"/>
          <w:right w:val="none" w:color="auto" w:sz="0" w:space="0"/>
          <w:between w:val="none" w:color="auto" w:sz="0" w:space="0"/>
        </w:pBdr>
        <w:spacing w:line="560" w:lineRule="exact"/>
        <w:ind w:firstLine="627" w:firstLineChars="200"/>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（一）主要经验及做法</w:t>
      </w:r>
    </w:p>
    <w:p w14:paraId="1057A522">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349B350">
      <w:pPr>
        <w:pStyle w:val="9"/>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FE5A4B1">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67D14BD">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22B0755">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3A74A09F">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CF32341">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086DE45B">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3B76980">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6EBF2C1">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424F4378">
      <w:pPr>
        <w:pBdr>
          <w:top w:val="none" w:color="auto" w:sz="0" w:space="0"/>
          <w:left w:val="none" w:color="auto" w:sz="0" w:space="0"/>
          <w:bottom w:val="none" w:color="auto" w:sz="0" w:space="0"/>
          <w:right w:val="none" w:color="auto" w:sz="0" w:space="0"/>
          <w:between w:val="none" w:color="auto" w:sz="0" w:space="0"/>
        </w:pBd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50F4B2D">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1404FDF">
      <w:pPr>
        <w:pStyle w:val="11"/>
        <w:pBdr>
          <w:top w:val="none" w:color="auto" w:sz="0" w:space="0"/>
          <w:left w:val="none" w:color="auto" w:sz="0" w:space="0"/>
          <w:bottom w:val="none" w:color="auto" w:sz="0" w:space="0"/>
          <w:right w:val="none" w:color="auto" w:sz="0" w:space="0"/>
          <w:between w:val="none" w:color="auto" w:sz="0" w:space="0"/>
        </w:pBdr>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172EDC7B">
      <w:pPr>
        <w:pStyle w:val="11"/>
        <w:pBdr>
          <w:top w:val="none" w:color="auto" w:sz="0" w:space="0"/>
          <w:left w:val="none" w:color="auto" w:sz="0" w:space="0"/>
          <w:bottom w:val="none" w:color="auto" w:sz="0" w:space="0"/>
          <w:right w:val="none" w:color="auto" w:sz="0" w:space="0"/>
          <w:between w:val="none" w:color="auto" w:sz="0" w:space="0"/>
        </w:pBdr>
        <w:spacing w:after="0" w:line="560" w:lineRule="exact"/>
        <w:ind w:left="0" w:leftChars="0" w:firstLine="0" w:firstLineChars="0"/>
        <w:rPr>
          <w:rFonts w:hint="default" w:ascii="Times New Roman" w:hAnsi="Times New Roman" w:eastAsia="仿宋_GB2312" w:cs="Times New Roman"/>
          <w:sz w:val="32"/>
          <w:szCs w:val="32"/>
        </w:rPr>
      </w:pPr>
    </w:p>
    <w:p w14:paraId="6B20E348">
      <w:pPr>
        <w:pBdr>
          <w:top w:val="none" w:color="auto" w:sz="0" w:space="0"/>
          <w:left w:val="none" w:color="auto" w:sz="0" w:space="0"/>
          <w:bottom w:val="none" w:color="auto" w:sz="0" w:space="0"/>
          <w:right w:val="none" w:color="auto" w:sz="0" w:space="0"/>
          <w:between w:val="none" w:color="auto" w:sz="0" w:space="0"/>
        </w:pBd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14:paraId="6A654575">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rPr>
      </w:pPr>
      <w:bookmarkStart w:id="1" w:name="_GoBack"/>
      <w:bookmarkEnd w:id="1"/>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E01494-DB5C-4788-989D-808630899F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543FC9DA-88B9-4E7C-8966-E3223F6675D1}"/>
  </w:font>
  <w:font w:name="华文中宋">
    <w:panose1 w:val="02010600040101010101"/>
    <w:charset w:val="86"/>
    <w:family w:val="auto"/>
    <w:pitch w:val="default"/>
    <w:sig w:usb0="00000287" w:usb1="080F0000" w:usb2="00000000" w:usb3="00000000" w:csb0="0004009F" w:csb1="DFD70000"/>
    <w:embedRegular r:id="rId3" w:fontKey="{D3299D38-E4E2-46FD-B6B6-162F602F9E95}"/>
  </w:font>
  <w:font w:name="方正小标宋简体">
    <w:panose1 w:val="03000509000000000000"/>
    <w:charset w:val="86"/>
    <w:family w:val="auto"/>
    <w:pitch w:val="default"/>
    <w:sig w:usb0="00000001" w:usb1="080E0000" w:usb2="00000000" w:usb3="00000000" w:csb0="00040000" w:csb1="00000000"/>
    <w:embedRegular r:id="rId4" w:fontKey="{ADDF8873-CCDE-4B89-ABB7-37B51B2A17E4}"/>
  </w:font>
  <w:font w:name="方正小标宋_GBK">
    <w:panose1 w:val="02000000000000000000"/>
    <w:charset w:val="86"/>
    <w:family w:val="script"/>
    <w:pitch w:val="default"/>
    <w:sig w:usb0="A00002BF" w:usb1="38CF7CFA" w:usb2="00082016" w:usb3="00000000" w:csb0="00040001" w:csb1="00000000"/>
    <w:embedRegular r:id="rId5" w:fontKey="{F42779B8-BEDE-4DA3-9092-FA38AEE034BE}"/>
  </w:font>
  <w:font w:name="楷体_GB2312">
    <w:panose1 w:val="02010609030101010101"/>
    <w:charset w:val="86"/>
    <w:family w:val="auto"/>
    <w:pitch w:val="default"/>
    <w:sig w:usb0="00000001" w:usb1="080E0000" w:usb2="00000000" w:usb3="00000000" w:csb0="00040000" w:csb1="00000000"/>
    <w:embedRegular r:id="rId6" w:fontKey="{DCC03BFB-1E4B-4C89-B2CB-545DD2003EEC}"/>
  </w:font>
  <w:font w:name="方正仿宋简体">
    <w:altName w:val="微软雅黑"/>
    <w:panose1 w:val="02010601030101010101"/>
    <w:charset w:val="86"/>
    <w:family w:val="auto"/>
    <w:pitch w:val="default"/>
    <w:sig w:usb0="00000000" w:usb1="00000000" w:usb2="00000000" w:usb3="00000000" w:csb0="00040000" w:csb1="00000000"/>
    <w:embedRegular r:id="rId7" w:fontKey="{6CBDE87F-D204-4D4E-A3EF-74D7C83BA1B7}"/>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8" w:fontKey="{14DCFF17-0E94-44DC-8659-B626BEBE32D7}"/>
  </w:font>
  <w:font w:name="方正仿宋_GBK">
    <w:panose1 w:val="02000000000000000000"/>
    <w:charset w:val="86"/>
    <w:family w:val="auto"/>
    <w:pitch w:val="default"/>
    <w:sig w:usb0="A00002BF" w:usb1="38CF7CFA" w:usb2="00082016" w:usb3="00000000" w:csb0="00040001" w:csb1="00000000"/>
    <w:embedRegular r:id="rId9" w:fontKey="{8EE395AA-EF5A-49FD-AEF9-17533146DE15}"/>
  </w:font>
  <w:font w:name="楷体">
    <w:panose1 w:val="02010609060101010101"/>
    <w:charset w:val="86"/>
    <w:family w:val="modern"/>
    <w:pitch w:val="default"/>
    <w:sig w:usb0="800002BF" w:usb1="38CF7CFA" w:usb2="00000016" w:usb3="00000000" w:csb0="00040001" w:csb1="00000000"/>
    <w:embedRegular r:id="rId10" w:fontKey="{F87C9448-5556-42AF-9262-C3A463D6C502}"/>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7223A821">
        <w:pPr>
          <w:pStyle w:val="6"/>
          <w:jc w:val="center"/>
        </w:pPr>
        <w:r>
          <w:fldChar w:fldCharType="begin"/>
        </w:r>
        <w:r>
          <w:instrText xml:space="preserve">PAGE   \* MERGEFORMAT</w:instrText>
        </w:r>
        <w:r>
          <w:fldChar w:fldCharType="separate"/>
        </w:r>
        <w:r>
          <w:rPr>
            <w:lang w:val="zh-CN"/>
          </w:rPr>
          <w:t>13</w:t>
        </w:r>
        <w:r>
          <w:fldChar w:fldCharType="end"/>
        </w:r>
      </w:p>
    </w:sdtContent>
  </w:sdt>
  <w:p w14:paraId="6F7E97F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chineseCounting"/>
      <w:suff w:val="nothing"/>
      <w:lvlText w:val="%1、"/>
      <w:lvlJc w:val="left"/>
      <w:rPr>
        <w:rFonts w:hint="eastAsia"/>
      </w:rPr>
    </w:lvl>
  </w:abstractNum>
  <w:abstractNum w:abstractNumId="1">
    <w:nsid w:val="0053208E"/>
    <w:multiLevelType w:val="singleLevel"/>
    <w:tmpl w:val="0053208E"/>
    <w:lvl w:ilvl="0" w:tentative="0">
      <w:start w:val="1"/>
      <w:numFmt w:val="decimal"/>
      <w:suff w:val="nothing"/>
      <w:lvlText w:val="（%1）"/>
      <w:lvlJc w:val="left"/>
    </w:lvl>
  </w:abstractNum>
  <w:abstractNum w:abstractNumId="2">
    <w:nsid w:val="59ADCABA"/>
    <w:multiLevelType w:val="singleLevel"/>
    <w:tmpl w:val="59ADCABA"/>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4421490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03DC5BED024048DCA299C65C5B63FF0E_13</vt:lpwstr>
  </property>
  <property fmtid="{D5CDD505-2E9C-101B-9397-08002B2CF9AE}" pid="4" name="KSOTemplateDocerSaveRecord">
    <vt:lpwstr>eyJoZGlkIjoiMGEwZTYyMzM2OTJhNTUwNWVkNWY4OWRmOTNlYjkzOTEiLCJ1c2VySWQiOiIzNjk4NzAxNDIifQ==</vt:lpwstr>
  </property>
</Properties>
</file>

<file path=customXml/itemProps1.xml><?xml version="1.0" encoding="utf-8"?>
<ds:datastoreItem xmlns:ds="http://schemas.openxmlformats.org/officeDocument/2006/customXml" ds:itemID="{58d2c874-eaff-41aa-b312-b7df1beac8df}">
  <ds:schemaRefs/>
</ds:datastoreItem>
</file>

<file path=docProps/app.xml><?xml version="1.0" encoding="utf-8"?>
<Properties xmlns="http://schemas.openxmlformats.org/officeDocument/2006/extended-properties" xmlns:vt="http://schemas.openxmlformats.org/officeDocument/2006/docPropsVTypes">
  <Template>Normal</Template>
  <Pages>22</Pages>
  <Words>132</Words>
  <Characters>138</Characters>
  <Lines>58</Lines>
  <Paragraphs>16</Paragraphs>
  <TotalTime>0</TotalTime>
  <ScaleCrop>false</ScaleCrop>
  <LinksUpToDate>false</LinksUpToDate>
  <CharactersWithSpaces>138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2025-11-13T05:37:35Z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03DC5BED024048DCA299C65C5B63FF0E_13</vt:lpwstr>
  </property>
  <property fmtid="{D5CDD505-2E9C-101B-9397-08002B2CF9AE}" pid="4" name="KSOTemplateDocerSaveRecord">
    <vt:lpwstr>eyJoZGlkIjoiMGIxZTI3ODM4ZmVjOGE5NDFiYmE3OTRiMjQ5OTEyNzIiLCJ1c2VySWQiOiIyNTk4NTcxMjUifQ==</vt:lpwstr>
  </property>
</Properties>
</file>