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E818E"/>
    <w:p w14:paraId="1D0A1CB4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88A404A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5A6851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B653068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EC166AE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伊州财教【2023】74号2024年中央义务教育薄弱环节改善与能力提升补助资金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项目支出绩效评价报告</w:t>
      </w:r>
    </w:p>
    <w:p w14:paraId="3AA9F796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5D21E4D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3B19CAD3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6D3F4F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A7EFE9C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E9EB299">
      <w:pPr>
        <w:pStyle w:val="10"/>
        <w:rPr>
          <w:rFonts w:hint="default" w:ascii="Times New Roman" w:hAnsi="Times New Roman" w:cs="Times New Roman"/>
        </w:rPr>
      </w:pPr>
    </w:p>
    <w:p w14:paraId="16C9493E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66615D8">
      <w:pPr>
        <w:spacing w:line="700" w:lineRule="exact"/>
        <w:ind w:left="2877" w:leftChars="608" w:hanging="1600" w:hangingChars="5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伊州财教【2023】74号2024年中央义务教育薄弱环节改善与能力提升补助资金项目</w:t>
      </w:r>
    </w:p>
    <w:p w14:paraId="4BB4B7ED">
      <w:pPr>
        <w:spacing w:line="700" w:lineRule="exact"/>
        <w:ind w:firstLine="1280" w:firstLineChars="400"/>
        <w:jc w:val="left"/>
        <w:rPr>
          <w:rFonts w:hint="eastAsia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特克斯县教育局</w:t>
      </w:r>
    </w:p>
    <w:p w14:paraId="43527988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特克斯县教育局</w:t>
      </w:r>
    </w:p>
    <w:p w14:paraId="596B3D5C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阿热依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·扎瓦提别克</w:t>
      </w:r>
    </w:p>
    <w:p w14:paraId="4566A2EC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22590AE7">
      <w:pPr>
        <w:spacing w:line="540" w:lineRule="exact"/>
        <w:rPr>
          <w:rStyle w:val="16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675E1E5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0204FB0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466A666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20EEF8AB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3BB58F8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特克斯县坚持把教育摆在优先发展地位，大力实施“人才强区”战略，满足全县各民族学生求学的需求，为实现教育强县打下坚实的基础，现结合我县初级中学的实际情况，每年秋季开学时入学压力较大，为决绝县城初级中学大班额大校额现象，拟建特克斯县第三中学教学楼建设项目势在必行，项目总投资789万元，新建校舍面积2636平方米。</w:t>
      </w:r>
    </w:p>
    <w:p w14:paraId="66A45D43">
      <w:pPr>
        <w:pStyle w:val="10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59DDBDF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总投资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789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万元，新建学生宿舍楼面积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2636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平方米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63EEBBC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完成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2636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平方米宿舍，解决了第三中学宿舍住宿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2553FD3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5E67F43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04B4CF4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财政拨款。</w:t>
      </w:r>
    </w:p>
    <w:p w14:paraId="128BFA8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1FB0EAE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特克斯县第三中学学生宿舍楼建设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0578F2DF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5D676E0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：完成新建第三中学学生宿舍楼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2636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平方米，同时完成资金支付要求。项目建成后将进一步解决乡镇中学到县城集中办学的要求，同时进一步解决县城中学大班额现场，改善特克斯县初级中学的办学条件，提高特克斯县教育教学质量，让乡镇场农牧民子女到县城就学享受县城优质的教学资源。</w:t>
      </w:r>
    </w:p>
    <w:p w14:paraId="257657C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1-3月前期准备阶段，完成勘察设计，确保设计合理，4-8月主体施工阶段，完成宿舍主体框架搭建，主体结构质量达到优质标准，9-11月阶段，完成装饰装修阶段，调试各类设施设备，验收通过。</w:t>
      </w:r>
    </w:p>
    <w:p w14:paraId="2C69276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7FE9EA3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6A4B83A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70DEF78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63759E1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经济效益、社会效益等多个维度，力求全方位反映项目的绩效状况。同时，对于每个指标的评价标准和数据来源均进行了明确说明，确保评价结果的客观性和可追溯性。</w:t>
      </w:r>
    </w:p>
    <w:p w14:paraId="4147FA3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12314D2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7176B05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6119759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52F9E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687C0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通过对项目预算执行情况及各项绩效目标达成程度的系统性分析，全面、客观地评估项目在预定周期内的实施效果，包括经济效益、社会效益等多维度指标，为项目后续的改进与优化提供科学依据。</w:t>
      </w:r>
    </w:p>
    <w:p w14:paraId="7DDB3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58EFF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0CA03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5FBEE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5708E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1CA65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25130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29465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0C200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115C4AF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绩效评价的对象</w:t>
      </w:r>
    </w:p>
    <w:p w14:paraId="49CCB5F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gree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伊州财教【2023】74号2024年中央义务教育薄弱环节改善与能力提升补助资金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特克斯县教育局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建成学生宿舍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2636平方米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2024年12月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4BC068F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33F552E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1F15A127">
      <w:pPr>
        <w:pStyle w:val="10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242423C4">
      <w:pPr>
        <w:pStyle w:val="10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7D87FAFD">
      <w:pPr>
        <w:pStyle w:val="10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0C541FAA">
      <w:pPr>
        <w:pStyle w:val="10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经济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效益持续改善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、经济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效益使用安全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等方面的综合影响。</w:t>
      </w:r>
    </w:p>
    <w:p w14:paraId="2AF98301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3FA93CA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1.绩效评价原则</w:t>
      </w:r>
    </w:p>
    <w:p w14:paraId="2149053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本次项目绩效评价遵循以下基本原则：</w:t>
      </w:r>
    </w:p>
    <w:p w14:paraId="4CD8D704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37D9CE88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2A202DA7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1A10516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（4）公开透明。绩效评价结果应依法依规公开，并自觉接受社会监督。</w:t>
      </w:r>
    </w:p>
    <w:p w14:paraId="5231D30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2.评价指标体系</w:t>
      </w:r>
    </w:p>
    <w:p w14:paraId="626CDEC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671AFAC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（1）确定评价指标</w:t>
      </w:r>
    </w:p>
    <w:p w14:paraId="04A40C5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6E482F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（2）确定权重</w:t>
      </w:r>
    </w:p>
    <w:p w14:paraId="7ECA9D7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51ADEE2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（3）确定指标标准值</w:t>
      </w:r>
    </w:p>
    <w:p w14:paraId="0140730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C2AE91D">
      <w:pPr>
        <w:pStyle w:val="10"/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绩效评价总分值100分，根据综合评分结果，90（含）-100分为优、80（含）-90分为良、60（含）-80分为中、60分以下为差。</w:t>
      </w:r>
    </w:p>
    <w:p w14:paraId="6B886AE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具体评价指标体系详情见附件1</w:t>
      </w:r>
    </w:p>
    <w:p w14:paraId="6E93F88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3.绩效评价方法</w:t>
      </w:r>
    </w:p>
    <w:p w14:paraId="7A7074A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657F9CF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3BF21C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（二）因素分析法。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设施建设与维护，建筑质量、设施设备的维护，安全管理，涉及安全制度的执行及安全事故的发生率，运营管理效率，管理人员的服务水平，资源效率以及运营成本控制等方面。</w:t>
      </w:r>
    </w:p>
    <w:p w14:paraId="6045050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4.评价标准</w:t>
      </w:r>
    </w:p>
    <w:p w14:paraId="642AFA5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绩效评价标准通常包括计划标准、行业标准、历史标准等，用于对绩效指标完成情况进行比较、分析、评价。本次评价主要采用了计划标准。指以预先制定的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建设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目标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宿舍楼应在计划工期内完成，设施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计划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配备各类设施设备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建设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预算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实际建设费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用在预算范围内</w:t>
      </w:r>
      <w:r>
        <w:rPr>
          <w:rFonts w:hint="default" w:ascii="Times New Roman" w:hAnsi="Times New Roman" w:eastAsia="仿宋_GB2312" w:cs="Times New Roman"/>
          <w:b w:val="0"/>
          <w:bCs w:val="0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施工</w:t>
      </w:r>
      <w:r>
        <w:rPr>
          <w:rFonts w:hint="default" w:ascii="Times New Roman" w:hAnsi="Times New Roman" w:eastAsia="仿宋_GB2312" w:cs="Times New Roman"/>
          <w:b w:val="0"/>
          <w:bCs w:val="0"/>
        </w:rPr>
        <w:t>定额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达到定额要求</w:t>
      </w:r>
      <w:r>
        <w:rPr>
          <w:rFonts w:hint="default" w:ascii="Times New Roman" w:hAnsi="Times New Roman" w:eastAsia="仿宋_GB2312" w:cs="Times New Roman"/>
          <w:b w:val="0"/>
          <w:bCs w:val="0"/>
        </w:rPr>
        <w:t>等作为评价标准。</w:t>
      </w:r>
    </w:p>
    <w:p w14:paraId="60F7A898">
      <w:pPr>
        <w:pStyle w:val="10"/>
        <w:numPr>
          <w:ilvl w:val="0"/>
          <w:numId w:val="0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eastAsia" w:ascii="Times New Roman" w:hAnsi="Times New Roman" w:eastAsia="楷体" w:cs="Times New Roman"/>
          <w:color w:val="000000"/>
          <w:spacing w:val="17"/>
          <w:lang w:eastAsia="zh-CN"/>
        </w:rPr>
        <w:t>（三）</w:t>
      </w: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585F2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4EC3C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5F1CB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6EB1D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356E1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5B720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0D9D7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75184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5AA03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0497A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9081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21C99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8C72682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44C4B7DA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3EE025F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伊州财教【2023】74号2024年中央义务教育薄弱环节改善与能力提升补助资金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在完成新建第三中学学生宿舍楼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2636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平方米，同时完成资金支付要求。项目建成后将进一步解决乡镇中学到县城集中办学的要求，同时进一步解决县城中学大班额现场，改善特克斯县初级中学的办学条件，提高特克斯县教育教学质量，让乡镇场农牧民子女到县城就学享受县城优质的教学资源。等方面表现出色，达到了预期的标准与要求。同时，项目也在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学生宿舍方面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满足了学生住宿需求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4EFBBD0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特克斯县教育局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45B0D8D1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满足农牧民学生县城就学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0D74B1D1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伊州财教【2023】74号2024年中央义务教育薄弱环节改善与能力提升补助资金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243F8BD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52606875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：总得分为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65DDDDC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899A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12CBDE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030757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5E5D7F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3208B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24EC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47C3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1BF2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2C437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9379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FEBE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8B2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92C6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652B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BA13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C2CC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4C892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982E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8384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2EF0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2AB70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5964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11F5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EF70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5879AF3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0A4CDFEE">
      <w:pPr>
        <w:pStyle w:val="10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4852C5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198CCA45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20F174E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4C2E1F0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7DECAC1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6F51C77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D84E26A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5C1182A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45374F3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04A815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14DB410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8224C77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252C489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479D9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4974A3E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2CD2684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17D02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1ACAE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2AE9D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1D1869DE">
      <w:pPr>
        <w:pStyle w:val="10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eastAsia" w:ascii="Times New Roman" w:hAnsi="Times New Roman" w:eastAsia="楷体" w:cs="Times New Roman"/>
          <w:lang w:eastAsia="zh-CN"/>
        </w:rPr>
        <w:t>（二）</w:t>
      </w:r>
      <w:r>
        <w:rPr>
          <w:rFonts w:hint="default" w:ascii="Times New Roman" w:hAnsi="Times New Roman" w:eastAsia="楷体" w:cs="Times New Roman"/>
        </w:rPr>
        <w:t>项目过程情况</w:t>
      </w:r>
    </w:p>
    <w:p w14:paraId="2DFBB4D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063C9E8A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3E2264D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49AB868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164E2F0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78CF33E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789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7E5BA73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174C3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23FFB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6062E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4841232F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05639DE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51197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666EF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02804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4571B88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3F74DA8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（2）制度执行有效性</w:t>
      </w:r>
    </w:p>
    <w:p w14:paraId="0D86D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3CE20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78CE8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728B9795">
      <w:pPr>
        <w:pStyle w:val="11"/>
        <w:numPr>
          <w:ilvl w:val="0"/>
          <w:numId w:val="0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 w:eastAsia="楷体_GB2312" w:cs="Times New Roman"/>
          <w:b/>
          <w:bCs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7492060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标完成情况如下：</w:t>
      </w:r>
    </w:p>
    <w:p w14:paraId="646BF36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260457B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指标1：新建建筑面积，指标值：=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2636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平方米，实际完成值：=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2636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平方米，指标完成率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AF5BCA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：新建楼栋数，指标值：=1栋，实际完成值：=1栋，指标完成率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2533437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420D6C0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：项目验收合格率，指标值：=100%，实际完成值：=100%，指标完成率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16DFAD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1B1F41C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：项目计划完成率，指标值：=100%，实际完成值：=100%，指标完成率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8EB54A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7B24D60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：校舍成本，指标值：=2990元，实际完成值：=2990元，指标完成率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94FD833">
      <w:pPr>
        <w:pStyle w:val="11"/>
        <w:numPr>
          <w:ilvl w:val="0"/>
          <w:numId w:val="0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eastAsia="楷体_GB2312" w:cs="Times New Roman"/>
          <w:b/>
          <w:bCs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1F8A71B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标完成情况如下：</w:t>
      </w:r>
    </w:p>
    <w:p w14:paraId="77D05FD9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71850F71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经济效益指标：</w:t>
      </w:r>
    </w:p>
    <w:p w14:paraId="2D0E45D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资金监管，指标值：财政资金使用安全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，实际完成值：财政资金使用安全，指标完成率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08C3A8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577D8BE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：义务教育办学条件，指标值：持续改善，实际完成值：持续改善，指标完成率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38D65AA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5E708E1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：家长满意度，指标值：&gt;=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%，实际完成值：=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%元，指标完成率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410B4D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：师生满意度，指标值：&gt;=9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%，实际完成值：=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%元，指标完成率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289DFB4A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62BB2AE6">
      <w:pPr>
        <w:pStyle w:val="21"/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  <w:highlight w:val="yellow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伊州财教【2023】74号2024年中央义务教育薄弱环节改善与能力提升补助资金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项目年初预算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789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万元，全年预算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789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789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措施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7F071294">
      <w:pPr>
        <w:spacing w:line="560" w:lineRule="exact"/>
        <w:ind w:firstLine="640" w:firstLineChars="200"/>
        <w:rPr>
          <w:rStyle w:val="20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428EDA9F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0A0FE0A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52694C4B">
      <w:pPr>
        <w:pStyle w:val="10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25C8DD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 w:eastAsia="楷体_GB2312" w:cs="Times New Roman"/>
          <w:b/>
          <w:bCs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5A75AEF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0746ADB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793620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1210841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7C8733E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政资金管理制度，严格按照项目实施方案、招投标管理办法等稳步推进工作，各部门单位根据自己项目的特点进行总结。</w:t>
      </w:r>
    </w:p>
    <w:p w14:paraId="5DA45E5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3EDCB33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37B414A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79227997">
      <w:pPr>
        <w:pStyle w:val="1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7918F4C6">
      <w:pPr>
        <w:pStyle w:val="12"/>
        <w:spacing w:after="0" w:line="560" w:lineRule="exact"/>
        <w:ind w:left="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67781E6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</w:p>
    <w:p w14:paraId="0508BFDE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800" w:right="1440" w:bottom="155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6BE005-4215-4BAA-9381-505331759A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77F8CCFA-4318-4964-AFF6-16B0CCFBE08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DF1712D8-909D-4C4D-995E-B2A1C135AA7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CABAE80-3969-4888-B577-8F6870F9097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9D94964A-F44F-4893-BE8D-12503FFA8AE6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F0B2DB74-8393-4D45-9097-DE5543E72D1B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7" w:fontKey="{23A0BDF9-6520-4B00-AF7D-7F68968F652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A5E78E53-2782-4DEB-A0CD-181693A29AE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3E4ACF45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1AF0ED4A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NotDisplayPageBoundaries w:val="1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33564BF5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2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"/>
    <w:basedOn w:val="4"/>
    <w:qFormat/>
    <w:uiPriority w:val="0"/>
    <w:pPr>
      <w:spacing w:after="0"/>
      <w:ind w:firstLine="200" w:firstLineChars="200"/>
    </w:pPr>
  </w:style>
  <w:style w:type="paragraph" w:styleId="12">
    <w:name w:val="Body Text First Indent 2"/>
    <w:basedOn w:val="5"/>
    <w:qFormat/>
    <w:uiPriority w:val="0"/>
    <w:pPr>
      <w:ind w:firstLine="420" w:firstLineChars="200"/>
    </w:pPr>
  </w:style>
  <w:style w:type="table" w:styleId="14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字符"/>
    <w:basedOn w:val="15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字符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字符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字符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eyJoZGlkIjoiMmRkYjI5YmE5ZTYwMTBhMGYzYmFlZjBiZjJiMmExMmIiLCJ1c2VySWQiOiI1NTM5MTk2NjMifQ==</vt:lpwstr>
  </property>
</Properties>
</file>

<file path=customXml/itemProps1.xml><?xml version="1.0" encoding="utf-8"?>
<ds:datastoreItem xmlns:ds="http://schemas.openxmlformats.org/officeDocument/2006/customXml" ds:itemID="{7069676a-31c3-4275-9731-85b777636d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2104</Words>
  <Characters>2168</Characters>
  <Lines>58</Lines>
  <Paragraphs>16</Paragraphs>
  <TotalTime>259</TotalTime>
  <ScaleCrop>false</ScaleCrop>
  <LinksUpToDate>false</LinksUpToDate>
  <CharactersWithSpaces>2168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周丽君</cp:lastModifiedBy>
  <dcterms:modified xsi:type="dcterms:W3CDTF">2025-11-13T04:36:13Z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eyJoZGlkIjoiMjEwMjVmNmU3OTQwZDBjNjI0ZTM3MTBmNDI0OGIzYzIiLCJ1c2VySWQiOiIyMDM3MTI1NTkifQ==</vt:lpwstr>
  </property>
</Properties>
</file>