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09DC41A">
      <w:r>
        <w:br w:type="page"/>
      </w:r>
    </w:p>
    <w:p w14:paraId="4CC64EE8">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EB7A89B">
      <w:pPr>
        <w:spacing w:line="640" w:lineRule="exact"/>
        <w:ind w:firstLine="640"/>
        <w:jc w:val="both"/>
        <w:outlineLvl w:val="2"/>
      </w:pPr>
      <w:r>
        <w:rPr>
          <w:rFonts w:ascii="黑体" w:hAnsi="黑体" w:eastAsia="黑体"/>
          <w:sz w:val="32"/>
        </w:rPr>
        <w:t>一、主要职能</w:t>
      </w:r>
    </w:p>
    <w:p w14:paraId="476F2C1A">
      <w:pPr>
        <w:spacing w:line="580" w:lineRule="exact"/>
        <w:ind w:firstLine="640"/>
        <w:jc w:val="both"/>
      </w:pPr>
      <w:r>
        <w:rPr>
          <w:rFonts w:ascii="仿宋_GB2312" w:hAnsi="仿宋_GB2312" w:eastAsia="仿宋_GB2312"/>
          <w:sz w:val="32"/>
        </w:rPr>
        <w:t>（一）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w:t>
      </w:r>
      <w:r>
        <w:rPr>
          <w:rFonts w:hint="eastAsia" w:ascii="仿宋_GB2312" w:hAnsi="仿宋_GB2312" w:eastAsia="仿宋_GB2312"/>
          <w:sz w:val="32"/>
          <w:lang w:eastAsia="zh-CN"/>
        </w:rPr>
        <w:t>单位</w:t>
      </w:r>
      <w:r>
        <w:rPr>
          <w:rFonts w:ascii="仿宋_GB2312" w:hAnsi="仿宋_GB2312" w:eastAsia="仿宋_GB2312"/>
          <w:sz w:val="32"/>
        </w:rPr>
        <w:t>整改的责任。</w:t>
      </w:r>
    </w:p>
    <w:p w14:paraId="24967080">
      <w:pPr>
        <w:spacing w:line="580" w:lineRule="exact"/>
        <w:ind w:firstLine="640"/>
        <w:jc w:val="both"/>
      </w:pPr>
      <w:r>
        <w:rPr>
          <w:rFonts w:ascii="仿宋_GB2312" w:hAnsi="仿宋_GB2312" w:eastAsia="仿宋_GB2312"/>
          <w:sz w:val="32"/>
        </w:rPr>
        <w:t>（二）贯彻执行国家、自治区、自治州有关审计法律法规和方针政策、制定并组织实施审计工作发展规划、专业领域审计工作规划和年度审计计划、调查和核查的事项依法进行审计评</w:t>
      </w:r>
      <w:r>
        <w:rPr>
          <w:rFonts w:hint="eastAsia" w:ascii="仿宋_GB2312" w:hAnsi="仿宋_GB2312" w:eastAsia="仿宋_GB2312"/>
          <w:sz w:val="32"/>
          <w:lang w:eastAsia="zh-CN"/>
        </w:rPr>
        <w:t>价并</w:t>
      </w:r>
      <w:r>
        <w:rPr>
          <w:rFonts w:ascii="仿宋_GB2312" w:hAnsi="仿宋_GB2312" w:eastAsia="仿宋_GB2312"/>
          <w:sz w:val="32"/>
        </w:rPr>
        <w:t>做出审计决定或提出审计建议。</w:t>
      </w:r>
    </w:p>
    <w:p w14:paraId="47435B98">
      <w:pPr>
        <w:spacing w:line="580" w:lineRule="exact"/>
        <w:ind w:firstLine="640"/>
        <w:jc w:val="both"/>
      </w:pPr>
      <w:r>
        <w:rPr>
          <w:rFonts w:ascii="仿宋_GB2312" w:hAnsi="仿宋_GB2312" w:eastAsia="仿宋_GB2312"/>
          <w:sz w:val="32"/>
        </w:rPr>
        <w:t>（三）向特克斯县委审计委员会提出年度特克斯县预算执行和其他财政支出情况审计报告。向特克斯县人民政府提出年度特克斯县预算执行和其他财政收支情况的审计结果报告。受特克斯县人民政府委托向特克斯县人大常委会提出特克斯县本级预算执行和其他财政收支情况的审计工作报告、审计查出问题整改情况报告。向特克斯</w:t>
      </w:r>
      <w:r>
        <w:rPr>
          <w:rFonts w:hint="eastAsia" w:ascii="仿宋_GB2312" w:hAnsi="仿宋_GB2312" w:eastAsia="仿宋_GB2312"/>
          <w:sz w:val="32"/>
          <w:lang w:eastAsia="zh-CN"/>
        </w:rPr>
        <w:t>县委</w:t>
      </w:r>
      <w:r>
        <w:rPr>
          <w:rFonts w:ascii="仿宋_GB2312" w:hAnsi="仿宋_GB2312" w:eastAsia="仿宋_GB2312"/>
          <w:sz w:val="32"/>
        </w:rPr>
        <w:t>、特克斯县人民政府报告对其他事项的审计和专项审计调查情况及结果。依法向社会公布审计结果。向特克斯县有关部门通报审计情况和审计结果。</w:t>
      </w:r>
    </w:p>
    <w:p w14:paraId="533852C4">
      <w:pPr>
        <w:spacing w:line="580" w:lineRule="exact"/>
        <w:ind w:firstLine="640"/>
        <w:jc w:val="both"/>
      </w:pPr>
      <w:r>
        <w:rPr>
          <w:rFonts w:ascii="仿宋_GB2312" w:hAnsi="仿宋_GB2312" w:eastAsia="仿宋_GB2312"/>
          <w:sz w:val="32"/>
        </w:rPr>
        <w:t>（四）直接审计下列事项，出具审计报告，在法定职权范围内作出审计决定，包括国家有关重大政策措施贯彻落实情况；特克斯县本级预算执行情况和其他财政收支，特克斯县本级各部门（含直属</w:t>
      </w:r>
      <w:r>
        <w:rPr>
          <w:rFonts w:hint="eastAsia" w:ascii="仿宋_GB2312" w:hAnsi="仿宋_GB2312" w:eastAsia="仿宋_GB2312"/>
          <w:sz w:val="32"/>
          <w:lang w:eastAsia="zh-CN"/>
        </w:rPr>
        <w:t>单位</w:t>
      </w:r>
      <w:r>
        <w:rPr>
          <w:rFonts w:ascii="仿宋_GB2312" w:hAnsi="仿宋_GB2312" w:eastAsia="仿宋_GB2312"/>
          <w:sz w:val="32"/>
        </w:rPr>
        <w:t>）预算的执行情况、决算草案和其他财政收支，特克斯县本级财政转移支付资金；使用特克斯县财政资金的事业</w:t>
      </w:r>
      <w:r>
        <w:rPr>
          <w:rFonts w:hint="eastAsia" w:ascii="仿宋_GB2312" w:hAnsi="仿宋_GB2312" w:eastAsia="仿宋_GB2312"/>
          <w:sz w:val="32"/>
          <w:lang w:eastAsia="zh-CN"/>
        </w:rPr>
        <w:t>单位</w:t>
      </w:r>
      <w:r>
        <w:rPr>
          <w:rFonts w:ascii="仿宋_GB2312" w:hAnsi="仿宋_GB2312" w:eastAsia="仿宋_GB2312"/>
          <w:sz w:val="32"/>
        </w:rPr>
        <w:t>和社会团体的财务收支；特克斯县投资和以特克斯县投资为主的建设项目的预算执行情况和决算；特克斯县重大公共工程项目的资金管理使用和建设运营情况；自然资源管理、污染防治和生态保护与修复情况；特克斯县国有企业和金融机构、特克斯县人民政府规定的特克斯县国有资本占控股或占主导地位的企业和金融机构境内外资产、负债和损益；有关社会保障基金、社会捐赠资金</w:t>
      </w:r>
      <w:r>
        <w:rPr>
          <w:rFonts w:hint="eastAsia" w:ascii="仿宋_GB2312" w:hAnsi="仿宋_GB2312" w:eastAsia="仿宋_GB2312"/>
          <w:sz w:val="32"/>
          <w:lang w:eastAsia="zh-CN"/>
        </w:rPr>
        <w:t>及其</w:t>
      </w:r>
      <w:r>
        <w:rPr>
          <w:rFonts w:ascii="仿宋_GB2312" w:hAnsi="仿宋_GB2312" w:eastAsia="仿宋_GB2312"/>
          <w:sz w:val="32"/>
        </w:rPr>
        <w:t>他基金、资金的财务收支；法律法规规定的其他事项。</w:t>
      </w:r>
    </w:p>
    <w:p w14:paraId="0C6C8993">
      <w:pPr>
        <w:spacing w:line="580" w:lineRule="exact"/>
        <w:ind w:firstLine="640"/>
        <w:jc w:val="both"/>
      </w:pPr>
      <w:r>
        <w:rPr>
          <w:rFonts w:ascii="仿宋_GB2312" w:hAnsi="仿宋_GB2312" w:eastAsia="仿宋_GB2312"/>
          <w:sz w:val="32"/>
        </w:rPr>
        <w:t>（五）按规定对属于本级审计机关审计监督对象的党政主要领导干部及其他</w:t>
      </w:r>
      <w:r>
        <w:rPr>
          <w:rFonts w:hint="eastAsia" w:ascii="仿宋_GB2312" w:hAnsi="仿宋_GB2312" w:eastAsia="仿宋_GB2312"/>
          <w:sz w:val="32"/>
          <w:lang w:eastAsia="zh-CN"/>
        </w:rPr>
        <w:t>单位</w:t>
      </w:r>
      <w:r>
        <w:rPr>
          <w:rFonts w:ascii="仿宋_GB2312" w:hAnsi="仿宋_GB2312" w:eastAsia="仿宋_GB2312"/>
          <w:sz w:val="32"/>
        </w:rPr>
        <w:t>主要负责人实施经济责任审计和自然资源资产离任审计。</w:t>
      </w:r>
    </w:p>
    <w:p w14:paraId="5BFA7D59">
      <w:pPr>
        <w:spacing w:line="580" w:lineRule="exact"/>
        <w:ind w:firstLine="640"/>
        <w:jc w:val="both"/>
      </w:pPr>
      <w:r>
        <w:rPr>
          <w:rFonts w:ascii="仿宋_GB2312" w:hAnsi="仿宋_GB2312" w:eastAsia="仿宋_GB2312"/>
          <w:sz w:val="32"/>
        </w:rPr>
        <w:t>（六）完成特克斯县委、特克斯县人民政府交办的其他任务。</w:t>
      </w:r>
    </w:p>
    <w:p w14:paraId="3C2F4614">
      <w:pPr>
        <w:spacing w:line="640" w:lineRule="exact"/>
        <w:ind w:firstLine="640"/>
        <w:jc w:val="both"/>
        <w:outlineLvl w:val="2"/>
      </w:pPr>
      <w:r>
        <w:rPr>
          <w:rFonts w:ascii="黑体" w:hAnsi="黑体" w:eastAsia="黑体"/>
          <w:sz w:val="32"/>
        </w:rPr>
        <w:t>二、机构设置及人员情况</w:t>
      </w:r>
    </w:p>
    <w:p w14:paraId="22A8434B">
      <w:pPr>
        <w:spacing w:line="580" w:lineRule="exact"/>
        <w:ind w:firstLine="640"/>
        <w:jc w:val="both"/>
      </w:pPr>
      <w:r>
        <w:rPr>
          <w:rFonts w:ascii="仿宋_GB2312" w:hAnsi="仿宋_GB2312" w:eastAsia="仿宋_GB2312"/>
          <w:sz w:val="32"/>
        </w:rPr>
        <w:t>特克斯县审计局2024年度，实有人数23人，其中：在职人员14人，减少1人；离休人员0人，增加0人；退休人员9人,减少2人。</w:t>
      </w:r>
    </w:p>
    <w:p w14:paraId="37D4F75D">
      <w:pPr>
        <w:spacing w:line="580" w:lineRule="exact"/>
        <w:ind w:firstLine="640"/>
        <w:jc w:val="both"/>
      </w:pPr>
      <w:r>
        <w:rPr>
          <w:rFonts w:ascii="仿宋_GB2312" w:hAnsi="仿宋_GB2312" w:eastAsia="仿宋_GB2312"/>
          <w:sz w:val="32"/>
        </w:rPr>
        <w:t>特克斯县审计局无下属预算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，下设2个科室，分别是：综合科、审计业务科。</w:t>
      </w:r>
    </w:p>
    <w:p w14:paraId="7A88A904">
      <w:r>
        <w:br w:type="page"/>
      </w:r>
    </w:p>
    <w:p w14:paraId="2924DA32">
      <w:pPr>
        <w:spacing w:line="240" w:lineRule="auto"/>
        <w:jc w:val="center"/>
        <w:outlineLvl w:val="1"/>
      </w:pPr>
      <w:r>
        <w:rPr>
          <w:rFonts w:ascii="黑体" w:hAnsi="黑体" w:eastAsia="黑体"/>
          <w:sz w:val="32"/>
        </w:rPr>
        <w:t>第二部分 部门决算情况说明</w:t>
      </w:r>
    </w:p>
    <w:p w14:paraId="5465C230">
      <w:pPr>
        <w:spacing w:line="640" w:lineRule="exact"/>
        <w:ind w:firstLine="640"/>
        <w:jc w:val="both"/>
        <w:outlineLvl w:val="2"/>
      </w:pPr>
      <w:r>
        <w:rPr>
          <w:rFonts w:ascii="黑体" w:hAnsi="黑体" w:eastAsia="黑体"/>
          <w:sz w:val="32"/>
        </w:rPr>
        <w:t>一、收入支出决算总体情况说明</w:t>
      </w:r>
    </w:p>
    <w:p w14:paraId="1DAA6585">
      <w:pPr>
        <w:spacing w:line="580" w:lineRule="exact"/>
        <w:ind w:firstLine="640"/>
        <w:jc w:val="both"/>
      </w:pPr>
      <w:r>
        <w:rPr>
          <w:rFonts w:ascii="仿宋_GB2312" w:hAnsi="仿宋_GB2312" w:eastAsia="仿宋_GB2312"/>
          <w:b/>
          <w:sz w:val="32"/>
        </w:rPr>
        <w:t>2024年度收入总计293.89万元，</w:t>
      </w:r>
      <w:r>
        <w:rPr>
          <w:rFonts w:ascii="仿宋_GB2312" w:hAnsi="仿宋_GB2312" w:eastAsia="仿宋_GB2312"/>
          <w:b w:val="0"/>
          <w:sz w:val="32"/>
        </w:rPr>
        <w:t>其中：本年收入合计293.89万元，使用非财政拨款结余（含专用结余）0.00万元，年初结转和结余0.00万元。</w:t>
      </w:r>
    </w:p>
    <w:p w14:paraId="4E9AF502">
      <w:pPr>
        <w:spacing w:line="580" w:lineRule="exact"/>
        <w:ind w:firstLine="640"/>
        <w:jc w:val="both"/>
      </w:pPr>
      <w:r>
        <w:rPr>
          <w:rFonts w:ascii="仿宋_GB2312" w:hAnsi="仿宋_GB2312" w:eastAsia="仿宋_GB2312"/>
          <w:b/>
          <w:sz w:val="32"/>
        </w:rPr>
        <w:t>2024年度支出总计293.89万元，</w:t>
      </w:r>
      <w:r>
        <w:rPr>
          <w:rFonts w:ascii="仿宋_GB2312" w:hAnsi="仿宋_GB2312" w:eastAsia="仿宋_GB2312"/>
          <w:b w:val="0"/>
          <w:sz w:val="32"/>
        </w:rPr>
        <w:t>其中：本年支出合计293.89万元，结余分配0.00万元，年末结转和结余0.00万元。</w:t>
      </w:r>
    </w:p>
    <w:p w14:paraId="55A59CD8">
      <w:pPr>
        <w:spacing w:line="580" w:lineRule="exact"/>
        <w:ind w:firstLine="640"/>
        <w:jc w:val="both"/>
      </w:pPr>
      <w:r>
        <w:rPr>
          <w:rFonts w:ascii="仿宋_GB2312" w:hAnsi="仿宋_GB2312" w:eastAsia="仿宋_GB2312"/>
          <w:b w:val="0"/>
          <w:sz w:val="32"/>
        </w:rPr>
        <w:t>收入支出总体与上年相比，增加0.25万元，增长0.09%，主要原因是：本年新增死亡人员，死亡抚恤支出增加。</w:t>
      </w:r>
    </w:p>
    <w:p w14:paraId="2993A2D4">
      <w:pPr>
        <w:spacing w:line="640" w:lineRule="exact"/>
        <w:ind w:firstLine="640"/>
        <w:jc w:val="both"/>
        <w:outlineLvl w:val="2"/>
      </w:pPr>
      <w:r>
        <w:rPr>
          <w:rFonts w:ascii="黑体" w:hAnsi="黑体" w:eastAsia="黑体"/>
          <w:sz w:val="32"/>
        </w:rPr>
        <w:t>二、收入决算情况说明</w:t>
      </w:r>
    </w:p>
    <w:p w14:paraId="3CE8B09E">
      <w:pPr>
        <w:spacing w:line="580" w:lineRule="exact"/>
        <w:ind w:firstLine="640"/>
        <w:jc w:val="both"/>
      </w:pPr>
      <w:r>
        <w:rPr>
          <w:rFonts w:ascii="仿宋_GB2312" w:hAnsi="仿宋_GB2312" w:eastAsia="仿宋_GB2312"/>
          <w:b/>
          <w:sz w:val="32"/>
        </w:rPr>
        <w:t>本年收入293.89万元，</w:t>
      </w:r>
      <w:r>
        <w:rPr>
          <w:rFonts w:ascii="仿宋_GB2312" w:hAnsi="仿宋_GB2312" w:eastAsia="仿宋_GB2312"/>
          <w:b w:val="0"/>
          <w:sz w:val="32"/>
        </w:rPr>
        <w:t>其中：财政拨款收入272.87万元，占92.85%；上级补助收入0.00万元，占0.00%；事业收入0.00万元，占0.00%；经营收入0.00万元，占0.00%；附属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上缴收入0.00万元，占0.00%；其他收入21.02万元，占7.15%。</w:t>
      </w:r>
    </w:p>
    <w:p w14:paraId="2B38FBD1">
      <w:pPr>
        <w:spacing w:line="640" w:lineRule="exact"/>
        <w:ind w:firstLine="640"/>
        <w:jc w:val="both"/>
        <w:outlineLvl w:val="2"/>
      </w:pPr>
      <w:r>
        <w:rPr>
          <w:rFonts w:ascii="黑体" w:hAnsi="黑体" w:eastAsia="黑体"/>
          <w:sz w:val="32"/>
        </w:rPr>
        <w:t>三、支出决算情况说明</w:t>
      </w:r>
    </w:p>
    <w:p w14:paraId="72E68020">
      <w:pPr>
        <w:spacing w:line="580" w:lineRule="exact"/>
        <w:ind w:firstLine="640"/>
        <w:jc w:val="both"/>
      </w:pPr>
      <w:r>
        <w:rPr>
          <w:rFonts w:ascii="仿宋_GB2312" w:hAnsi="仿宋_GB2312" w:eastAsia="仿宋_GB2312"/>
          <w:b/>
          <w:sz w:val="32"/>
        </w:rPr>
        <w:t>本年支出293.89万元，</w:t>
      </w:r>
      <w:r>
        <w:rPr>
          <w:rFonts w:ascii="仿宋_GB2312" w:hAnsi="仿宋_GB2312" w:eastAsia="仿宋_GB2312"/>
          <w:b w:val="0"/>
          <w:sz w:val="32"/>
        </w:rPr>
        <w:t>其中：基本支出293.89万元，占100.00%；项目支出0.00万元，占0.00%；上缴上级支出0.00万元，占0.00%；经营支出0.00万元，占0.00%；对附属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A78D3C5">
      <w:pPr>
        <w:spacing w:line="640" w:lineRule="exact"/>
        <w:ind w:firstLine="640"/>
        <w:jc w:val="both"/>
        <w:outlineLvl w:val="2"/>
      </w:pPr>
      <w:r>
        <w:rPr>
          <w:rFonts w:ascii="黑体" w:hAnsi="黑体" w:eastAsia="黑体"/>
          <w:sz w:val="32"/>
        </w:rPr>
        <w:t>四、财政拨款收入支出决算总体情况说明</w:t>
      </w:r>
    </w:p>
    <w:p w14:paraId="2E6A53EB">
      <w:pPr>
        <w:spacing w:line="580" w:lineRule="exact"/>
        <w:ind w:firstLine="640"/>
        <w:jc w:val="both"/>
      </w:pPr>
      <w:r>
        <w:rPr>
          <w:rFonts w:ascii="仿宋_GB2312" w:hAnsi="仿宋_GB2312" w:eastAsia="仿宋_GB2312"/>
          <w:b/>
          <w:sz w:val="32"/>
        </w:rPr>
        <w:t>2024年度财政拨款收入总计272.87万元，</w:t>
      </w:r>
      <w:r>
        <w:rPr>
          <w:rFonts w:ascii="仿宋_GB2312" w:hAnsi="仿宋_GB2312" w:eastAsia="仿宋_GB2312"/>
          <w:b w:val="0"/>
          <w:sz w:val="32"/>
        </w:rPr>
        <w:t>其中：年初财政拨款结转和结余0.00万元，本年财政拨款收入272.87万元。</w:t>
      </w:r>
      <w:r>
        <w:rPr>
          <w:rFonts w:ascii="仿宋_GB2312" w:hAnsi="仿宋_GB2312" w:eastAsia="仿宋_GB2312"/>
          <w:b/>
          <w:sz w:val="32"/>
        </w:rPr>
        <w:t>财政拨款支出总计272.87万元，</w:t>
      </w:r>
      <w:r>
        <w:rPr>
          <w:rFonts w:ascii="仿宋_GB2312" w:hAnsi="仿宋_GB2312" w:eastAsia="仿宋_GB2312"/>
          <w:b w:val="0"/>
          <w:sz w:val="32"/>
        </w:rPr>
        <w:t>其中：年末财政拨款结转和结余0.00万元，本年财政拨款支出272.87万元。</w:t>
      </w:r>
    </w:p>
    <w:p w14:paraId="5F4131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增加0.04万元，增长0.01%，主要原因是：本年新增死亡人员，死亡抚恤支出增加。</w:t>
      </w:r>
      <w:r>
        <w:rPr>
          <w:rFonts w:ascii="仿宋_GB2312" w:hAnsi="仿宋_GB2312" w:eastAsia="仿宋_GB2312"/>
          <w:b/>
          <w:sz w:val="32"/>
        </w:rPr>
        <w:t>与年初预算相比，</w:t>
      </w:r>
      <w:r>
        <w:rPr>
          <w:rFonts w:ascii="仿宋_GB2312" w:hAnsi="仿宋_GB2312" w:eastAsia="仿宋_GB2312"/>
          <w:b w:val="0"/>
          <w:sz w:val="32"/>
        </w:rPr>
        <w:t>年初预算数270.84万元，决算数272.87万元，预决算差异率0.75%，主要原因是：年中追加人员工资、社保、公积金基数调增部分资金，导致预决算存在差异。</w:t>
      </w:r>
    </w:p>
    <w:p w14:paraId="2A7395D9">
      <w:pPr>
        <w:spacing w:line="640" w:lineRule="exact"/>
        <w:ind w:firstLine="640"/>
        <w:jc w:val="both"/>
        <w:outlineLvl w:val="2"/>
      </w:pPr>
      <w:r>
        <w:rPr>
          <w:rFonts w:ascii="黑体" w:hAnsi="黑体" w:eastAsia="黑体"/>
          <w:sz w:val="32"/>
        </w:rPr>
        <w:t>五、一般公共预算财政拨款支出决算情况说明</w:t>
      </w:r>
    </w:p>
    <w:p w14:paraId="6807D682">
      <w:pPr>
        <w:spacing w:line="640" w:lineRule="exact"/>
        <w:ind w:firstLine="640"/>
        <w:jc w:val="both"/>
        <w:outlineLvl w:val="3"/>
      </w:pPr>
      <w:r>
        <w:rPr>
          <w:rFonts w:ascii="楷体_GB2312" w:hAnsi="楷体_GB2312" w:eastAsia="楷体_GB2312"/>
          <w:b/>
          <w:sz w:val="32"/>
        </w:rPr>
        <w:t>（一）一般公共预算财政拨款支出决算总体情况</w:t>
      </w:r>
    </w:p>
    <w:p w14:paraId="45C6B6A9">
      <w:pPr>
        <w:spacing w:line="580" w:lineRule="exact"/>
        <w:ind w:firstLine="640"/>
        <w:jc w:val="both"/>
      </w:pPr>
      <w:r>
        <w:rPr>
          <w:rFonts w:ascii="仿宋_GB2312" w:hAnsi="仿宋_GB2312" w:eastAsia="仿宋_GB2312"/>
          <w:b/>
          <w:sz w:val="32"/>
        </w:rPr>
        <w:t>2024年度一般公共预算财政拨款支出272.87万元，</w:t>
      </w:r>
      <w:r>
        <w:rPr>
          <w:rFonts w:ascii="仿宋_GB2312" w:hAnsi="仿宋_GB2312" w:eastAsia="仿宋_GB2312"/>
          <w:b w:val="0"/>
          <w:sz w:val="32"/>
        </w:rPr>
        <w:t>占本年支出合计的92.85%。</w:t>
      </w:r>
      <w:r>
        <w:rPr>
          <w:rFonts w:ascii="仿宋_GB2312" w:hAnsi="仿宋_GB2312" w:eastAsia="仿宋_GB2312"/>
          <w:b/>
          <w:sz w:val="32"/>
        </w:rPr>
        <w:t>与上年相比，</w:t>
      </w:r>
      <w:r>
        <w:rPr>
          <w:rFonts w:ascii="仿宋_GB2312" w:hAnsi="仿宋_GB2312" w:eastAsia="仿宋_GB2312"/>
          <w:b w:val="0"/>
          <w:sz w:val="32"/>
        </w:rPr>
        <w:t>增加0.04万元，增长0.01%，主要原因是：本年新增死亡人员，死亡抚恤支出增加。</w:t>
      </w:r>
      <w:r>
        <w:rPr>
          <w:rFonts w:ascii="仿宋_GB2312" w:hAnsi="仿宋_GB2312" w:eastAsia="仿宋_GB2312"/>
          <w:b/>
          <w:sz w:val="32"/>
        </w:rPr>
        <w:t>与年初预算相比,</w:t>
      </w:r>
      <w:r>
        <w:rPr>
          <w:rFonts w:ascii="仿宋_GB2312" w:hAnsi="仿宋_GB2312" w:eastAsia="仿宋_GB2312"/>
          <w:b w:val="0"/>
          <w:sz w:val="32"/>
        </w:rPr>
        <w:t>年初预算数270.84万元，决算数272.87万元，预决算差异率0.75%，主要原因是：年中追加人员工资、社保、公积金基数调增部分资金，导致预决算存在差异。</w:t>
      </w:r>
    </w:p>
    <w:p w14:paraId="170A15EA">
      <w:pPr>
        <w:spacing w:line="640" w:lineRule="exact"/>
        <w:ind w:firstLine="640"/>
        <w:jc w:val="both"/>
        <w:outlineLvl w:val="3"/>
      </w:pPr>
      <w:r>
        <w:rPr>
          <w:rFonts w:ascii="楷体_GB2312" w:hAnsi="楷体_GB2312" w:eastAsia="楷体_GB2312"/>
          <w:b/>
          <w:sz w:val="32"/>
        </w:rPr>
        <w:t>（二）一般公共预算财政拨款支出决算结构情况</w:t>
      </w:r>
    </w:p>
    <w:p w14:paraId="18726E41">
      <w:pPr>
        <w:spacing w:line="580" w:lineRule="exact"/>
        <w:ind w:firstLine="640"/>
        <w:jc w:val="both"/>
      </w:pPr>
      <w:r>
        <w:rPr>
          <w:rFonts w:ascii="仿宋_GB2312" w:hAnsi="仿宋_GB2312" w:eastAsia="仿宋_GB2312"/>
          <w:b w:val="0"/>
          <w:sz w:val="32"/>
        </w:rPr>
        <w:t>1.一般公共服务支出(类)179.07万元,占65.62%。</w:t>
      </w:r>
    </w:p>
    <w:p w14:paraId="38A844CB">
      <w:pPr>
        <w:spacing w:line="580" w:lineRule="exact"/>
        <w:ind w:firstLine="640"/>
        <w:jc w:val="both"/>
      </w:pPr>
      <w:r>
        <w:rPr>
          <w:rFonts w:ascii="仿宋_GB2312" w:hAnsi="仿宋_GB2312" w:eastAsia="仿宋_GB2312"/>
          <w:b w:val="0"/>
          <w:sz w:val="32"/>
        </w:rPr>
        <w:t>2.社会保障和就业支出(类)66.08万元,占24.22%。</w:t>
      </w:r>
    </w:p>
    <w:p w14:paraId="227BE873">
      <w:pPr>
        <w:spacing w:line="580" w:lineRule="exact"/>
        <w:ind w:firstLine="640"/>
        <w:jc w:val="both"/>
      </w:pPr>
      <w:r>
        <w:rPr>
          <w:rFonts w:ascii="仿宋_GB2312" w:hAnsi="仿宋_GB2312" w:eastAsia="仿宋_GB2312"/>
          <w:b w:val="0"/>
          <w:sz w:val="32"/>
        </w:rPr>
        <w:t>3.卫生健康支出(类)9.76万元,占3.58%。</w:t>
      </w:r>
    </w:p>
    <w:p w14:paraId="47BA6189">
      <w:pPr>
        <w:spacing w:line="580" w:lineRule="exact"/>
        <w:ind w:firstLine="640"/>
        <w:jc w:val="both"/>
      </w:pPr>
      <w:r>
        <w:rPr>
          <w:rFonts w:ascii="仿宋_GB2312" w:hAnsi="仿宋_GB2312" w:eastAsia="仿宋_GB2312"/>
          <w:b w:val="0"/>
          <w:sz w:val="32"/>
        </w:rPr>
        <w:t>4.住房保障支出(类)17.97万元,占6.59%。</w:t>
      </w:r>
    </w:p>
    <w:p w14:paraId="4248C22A">
      <w:pPr>
        <w:spacing w:line="640" w:lineRule="exact"/>
        <w:ind w:firstLine="640"/>
        <w:jc w:val="both"/>
        <w:outlineLvl w:val="3"/>
      </w:pPr>
      <w:r>
        <w:rPr>
          <w:rFonts w:ascii="楷体_GB2312" w:hAnsi="楷体_GB2312" w:eastAsia="楷体_GB2312"/>
          <w:b/>
          <w:sz w:val="32"/>
        </w:rPr>
        <w:t>（三）一般公共预算财政拨款支出决算具体情况</w:t>
      </w:r>
    </w:p>
    <w:p w14:paraId="181312C9">
      <w:pPr>
        <w:spacing w:line="580" w:lineRule="exact"/>
        <w:ind w:firstLine="640"/>
        <w:jc w:val="both"/>
      </w:pPr>
      <w:r>
        <w:rPr>
          <w:rFonts w:ascii="仿宋_GB2312" w:hAnsi="仿宋_GB2312" w:eastAsia="仿宋_GB2312"/>
          <w:b w:val="0"/>
          <w:sz w:val="32"/>
        </w:rPr>
        <w:t>1.一般公共服务支出(类)审计事务(款)行政运行(项):支出决算数为179.07万元，比上年决算减少0.50万元，下降0.28%,主要原因是：本年在职人员减少，相应人员经费较上年减少。</w:t>
      </w:r>
    </w:p>
    <w:p w14:paraId="7E152CE9">
      <w:pPr>
        <w:spacing w:line="580" w:lineRule="exact"/>
        <w:ind w:firstLine="640"/>
        <w:jc w:val="both"/>
      </w:pPr>
      <w:r>
        <w:rPr>
          <w:rFonts w:ascii="仿宋_GB2312" w:hAnsi="仿宋_GB2312" w:eastAsia="仿宋_GB2312"/>
          <w:b w:val="0"/>
          <w:sz w:val="32"/>
        </w:rPr>
        <w:t>2.一般公共服务支出(类)审计事务(款)审计业务(项):支出决算数为0.00万元，比上年决算减少30.00万元，下降100.00%,主要原因是：本年度未安排项目审核结算费。</w:t>
      </w:r>
    </w:p>
    <w:p w14:paraId="67E6DE18">
      <w:pPr>
        <w:spacing w:line="580" w:lineRule="exact"/>
        <w:ind w:firstLine="640"/>
        <w:jc w:val="both"/>
      </w:pPr>
      <w:r>
        <w:rPr>
          <w:rFonts w:ascii="仿宋_GB2312" w:hAnsi="仿宋_GB2312" w:eastAsia="仿宋_GB2312"/>
          <w:b w:val="0"/>
          <w:sz w:val="32"/>
        </w:rPr>
        <w:t>3.一般公共服务支出(类)审计事务(款)信息化建设(项):支出决算数为0.00万元，比上年决算减少7.00万元，下降100.00%,主要原因是：上年安排审计事务信息化建设资金，本年未安排该项资金。</w:t>
      </w:r>
    </w:p>
    <w:p w14:paraId="5195DEA8">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基本养老保险缴费支出(项):支出决算数为23.00万元，比上年决算增加1.72万元，增长8.08%,主要原因是：本年在职人员工资基数调增，养老缴费基数上涨，相应支出增加。</w:t>
      </w:r>
    </w:p>
    <w:p w14:paraId="22D982F4">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职业年金缴费支出(项):支出决算数为5.45万元，比上年决算减少0.96万元，下降14.98%,主要原因是：本年新退休人员较上年减少，职业年金缴费较上年减少。</w:t>
      </w:r>
    </w:p>
    <w:p w14:paraId="470759C1">
      <w:pPr>
        <w:spacing w:line="580" w:lineRule="exact"/>
        <w:ind w:firstLine="640"/>
        <w:jc w:val="both"/>
      </w:pPr>
      <w:r>
        <w:rPr>
          <w:rFonts w:ascii="仿宋_GB2312" w:hAnsi="仿宋_GB2312" w:eastAsia="仿宋_GB2312"/>
          <w:b w:val="0"/>
          <w:sz w:val="32"/>
        </w:rPr>
        <w:t>6.社会保障和就业支出(类)抚恤(款)死亡抚恤(项):支出决算数为37.63万元，比上年决算增加36.48万元，增长3,172.17%,主要原因是：本年新增死亡人员，死亡抚恤支出增加。</w:t>
      </w:r>
    </w:p>
    <w:p w14:paraId="104FD185">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医疗(项):支出决算数为9.40万元，比上年决算减少0.66万元，下降6.56%,主要原因是：本年在职人员减少，行政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50E01811">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医疗(款)公务员医疗补助(项):支出决算数为0.18万元，比上年决算减少0.05万元，下降21.74%,主要原因是：本年在职人员减少，公务员医疗补助较上年减少。</w:t>
      </w:r>
    </w:p>
    <w:p w14:paraId="419EB5D6">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医疗支出(项):支出决算数为0.17万元，比上年决算减少0.13万元，下降43.33%,主要原因是：本年在职人员减少，其他行政事业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5C783B0">
      <w:pPr>
        <w:spacing w:line="580" w:lineRule="exact"/>
        <w:ind w:firstLine="640"/>
        <w:jc w:val="both"/>
      </w:pPr>
      <w:r>
        <w:rPr>
          <w:rFonts w:ascii="仿宋_GB2312" w:hAnsi="仿宋_GB2312" w:eastAsia="仿宋_GB2312"/>
          <w:b w:val="0"/>
          <w:sz w:val="32"/>
        </w:rPr>
        <w:t>10.住房保障支出(类)住房改革支出(款)住房公积金(项):支出决算数为17.97万元，比上年决算增加1.15万元，增长6.84%,主要原因是：本年在职人员工资基数调增，公积金缴费基数上涨，相应支出增加。</w:t>
      </w:r>
    </w:p>
    <w:p w14:paraId="5A6D936B">
      <w:pPr>
        <w:spacing w:line="640" w:lineRule="exact"/>
        <w:ind w:firstLine="640"/>
        <w:jc w:val="both"/>
        <w:outlineLvl w:val="2"/>
      </w:pPr>
      <w:r>
        <w:rPr>
          <w:rFonts w:ascii="黑体" w:hAnsi="黑体" w:eastAsia="黑体"/>
          <w:sz w:val="32"/>
        </w:rPr>
        <w:t>六、一般公共预算财政拨款基本支出决算情况说明</w:t>
      </w:r>
    </w:p>
    <w:p w14:paraId="36BE0FEA">
      <w:pPr>
        <w:spacing w:line="580" w:lineRule="exact"/>
        <w:ind w:firstLine="640"/>
        <w:jc w:val="both"/>
      </w:pPr>
      <w:r>
        <w:rPr>
          <w:rFonts w:ascii="仿宋_GB2312" w:hAnsi="仿宋_GB2312" w:eastAsia="仿宋_GB2312"/>
          <w:b w:val="0"/>
          <w:sz w:val="32"/>
        </w:rPr>
        <w:t>2024年度一般公共预算财政拨款基本支出272.87万元，其中：</w:t>
      </w:r>
      <w:r>
        <w:rPr>
          <w:rFonts w:ascii="仿宋_GB2312" w:hAnsi="仿宋_GB2312" w:eastAsia="仿宋_GB2312"/>
          <w:b/>
          <w:sz w:val="32"/>
        </w:rPr>
        <w:t>人员经费269.27万元，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11FC28DE">
      <w:pPr>
        <w:spacing w:line="580" w:lineRule="exact"/>
        <w:ind w:firstLine="640"/>
        <w:jc w:val="both"/>
      </w:pPr>
      <w:r>
        <w:rPr>
          <w:rFonts w:ascii="仿宋_GB2312" w:hAnsi="仿宋_GB2312" w:eastAsia="仿宋_GB2312"/>
          <w:b/>
          <w:sz w:val="32"/>
        </w:rPr>
        <w:t>公用经费3.61万元，</w:t>
      </w:r>
      <w:r>
        <w:rPr>
          <w:rFonts w:ascii="仿宋_GB2312" w:hAnsi="仿宋_GB2312" w:eastAsia="仿宋_GB2312"/>
          <w:b w:val="0"/>
          <w:sz w:val="32"/>
        </w:rPr>
        <w:t>包括：办公费、邮电费、差旅费、工会经费、公务用车运行维护费。</w:t>
      </w:r>
    </w:p>
    <w:p w14:paraId="20FC8FE2">
      <w:pPr>
        <w:spacing w:line="640" w:lineRule="exact"/>
        <w:ind w:firstLine="640"/>
        <w:jc w:val="both"/>
        <w:outlineLvl w:val="2"/>
      </w:pPr>
      <w:r>
        <w:rPr>
          <w:rFonts w:ascii="黑体" w:hAnsi="黑体" w:eastAsia="黑体"/>
          <w:sz w:val="32"/>
        </w:rPr>
        <w:t>七、政府性基金预算财政拨款收入支出决算情况说明</w:t>
      </w:r>
    </w:p>
    <w:p w14:paraId="525B983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4B7A947">
      <w:pPr>
        <w:spacing w:line="640" w:lineRule="exact"/>
        <w:ind w:firstLine="640"/>
        <w:jc w:val="both"/>
        <w:outlineLvl w:val="2"/>
      </w:pPr>
      <w:r>
        <w:rPr>
          <w:rFonts w:ascii="黑体" w:hAnsi="黑体" w:eastAsia="黑体"/>
          <w:sz w:val="32"/>
        </w:rPr>
        <w:t>八、国有资本经营预算财政拨款收入支出决算情况说明</w:t>
      </w:r>
    </w:p>
    <w:p w14:paraId="7A3B5B9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E2C1333">
      <w:pPr>
        <w:spacing w:line="640" w:lineRule="exact"/>
        <w:ind w:firstLine="640"/>
        <w:jc w:val="both"/>
        <w:outlineLvl w:val="2"/>
      </w:pPr>
      <w:r>
        <w:rPr>
          <w:rFonts w:ascii="黑体" w:hAnsi="黑体" w:eastAsia="黑体"/>
          <w:sz w:val="32"/>
        </w:rPr>
        <w:t>九、财政拨款“三公”经费支出决算情况说明</w:t>
      </w:r>
    </w:p>
    <w:p w14:paraId="111437F6">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减少0.25万元，下降38.46%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0.40万元，占100.00%，比上年减少0.25万元，下降38.46%，主要原因是：严格落实中央八项规定精神，厉行节约，减少公务用车运行维护费。公务接待费支出0.00万元，占0.00%，比上年增加0.00万元，增长0.00%，主要原因是：2023年与2024年均未安排公务接待费支出。</w:t>
      </w:r>
    </w:p>
    <w:p w14:paraId="3E0DDD3D">
      <w:pPr>
        <w:spacing w:line="580" w:lineRule="exact"/>
        <w:ind w:firstLine="640"/>
        <w:jc w:val="both"/>
      </w:pPr>
      <w:r>
        <w:rPr>
          <w:rFonts w:ascii="仿宋_GB2312" w:hAnsi="仿宋_GB2312" w:eastAsia="仿宋_GB2312"/>
          <w:b/>
          <w:sz w:val="32"/>
        </w:rPr>
        <w:t>具体情况如下：</w:t>
      </w:r>
    </w:p>
    <w:p w14:paraId="61B2EF41">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D4CDCE9">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加油费、维修费、保险费、审车费、过路费等。公务用车购置数0辆，公务用车保有量1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5FB5856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F2435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0.40万元，决算数0.40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252EEBD">
      <w:pPr>
        <w:spacing w:line="640" w:lineRule="exact"/>
        <w:ind w:firstLine="640"/>
        <w:jc w:val="both"/>
        <w:outlineLvl w:val="2"/>
      </w:pPr>
      <w:r>
        <w:rPr>
          <w:rFonts w:ascii="黑体" w:hAnsi="黑体" w:eastAsia="黑体"/>
          <w:sz w:val="32"/>
        </w:rPr>
        <w:t>十、其他重要事项的情况说明</w:t>
      </w:r>
    </w:p>
    <w:p w14:paraId="26A43478">
      <w:pPr>
        <w:spacing w:line="640" w:lineRule="exact"/>
        <w:ind w:firstLine="640"/>
        <w:jc w:val="both"/>
        <w:outlineLvl w:val="3"/>
      </w:pPr>
      <w:r>
        <w:rPr>
          <w:rFonts w:ascii="楷体_GB2312" w:hAnsi="楷体_GB2312" w:eastAsia="楷体_GB2312"/>
          <w:b/>
          <w:sz w:val="32"/>
        </w:rPr>
        <w:t>（一）机关运行经费及公用经费支出情况</w:t>
      </w:r>
    </w:p>
    <w:p w14:paraId="51ADFB97">
      <w:pPr>
        <w:spacing w:line="580" w:lineRule="exact"/>
        <w:ind w:firstLine="640"/>
        <w:jc w:val="both"/>
      </w:pPr>
      <w:r>
        <w:rPr>
          <w:rFonts w:ascii="仿宋_GB2312" w:hAnsi="仿宋_GB2312" w:eastAsia="仿宋_GB2312"/>
          <w:b w:val="0"/>
          <w:sz w:val="32"/>
        </w:rPr>
        <w:t>2024年度特克斯县审计局（行政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）机关运行经费支出3.61万元，比上年减少36.64万元，下降91.03%，主要原因是：本年减少审计业务费和信息化建设经费，导致公用经费减少。</w:t>
      </w:r>
    </w:p>
    <w:p w14:paraId="5F8A688D">
      <w:pPr>
        <w:spacing w:line="640" w:lineRule="exact"/>
        <w:ind w:firstLine="640"/>
        <w:jc w:val="both"/>
        <w:outlineLvl w:val="3"/>
      </w:pPr>
      <w:r>
        <w:rPr>
          <w:rFonts w:ascii="楷体_GB2312" w:hAnsi="楷体_GB2312" w:eastAsia="楷体_GB2312"/>
          <w:b/>
          <w:sz w:val="32"/>
        </w:rPr>
        <w:t>（二）政府采购情况</w:t>
      </w:r>
    </w:p>
    <w:p w14:paraId="2E57B73A">
      <w:pPr>
        <w:spacing w:line="580" w:lineRule="exact"/>
        <w:ind w:firstLine="640"/>
        <w:jc w:val="both"/>
      </w:pPr>
      <w:r>
        <w:rPr>
          <w:rFonts w:ascii="仿宋_GB2312" w:hAnsi="仿宋_GB2312" w:eastAsia="仿宋_GB2312"/>
          <w:b w:val="0"/>
          <w:sz w:val="32"/>
        </w:rPr>
        <w:t>2024年度政府采购支出总额6.73万元，其中：政府采购货物支出2.02万元、政府采购工程支出0.00万元、政府采购服务支出4.71万元。</w:t>
      </w:r>
    </w:p>
    <w:p w14:paraId="28B972BA">
      <w:pPr>
        <w:spacing w:line="580" w:lineRule="exact"/>
        <w:ind w:firstLine="640"/>
        <w:jc w:val="both"/>
      </w:pPr>
      <w:r>
        <w:rPr>
          <w:rFonts w:ascii="仿宋_GB2312" w:hAnsi="仿宋_GB2312" w:eastAsia="仿宋_GB2312"/>
          <w:b w:val="0"/>
          <w:sz w:val="32"/>
        </w:rPr>
        <w:t>授予中小企业合同金额5.10万元，占政府采购支出总额的75.78%，其中：授予小微企业合同金额5.10万元，占政府采购支出总额的75.78%。</w:t>
      </w:r>
    </w:p>
    <w:p w14:paraId="3C3E34CA">
      <w:pPr>
        <w:spacing w:line="640" w:lineRule="exact"/>
        <w:ind w:firstLine="640"/>
        <w:jc w:val="both"/>
        <w:outlineLvl w:val="3"/>
      </w:pPr>
      <w:r>
        <w:rPr>
          <w:rFonts w:ascii="楷体_GB2312" w:hAnsi="楷体_GB2312" w:eastAsia="楷体_GB2312"/>
          <w:b/>
          <w:sz w:val="32"/>
        </w:rPr>
        <w:t>（三）国有资产占用情况说明</w:t>
      </w:r>
    </w:p>
    <w:p w14:paraId="00C18721">
      <w:pPr>
        <w:spacing w:line="580" w:lineRule="exact"/>
        <w:ind w:firstLine="640"/>
        <w:jc w:val="both"/>
      </w:pPr>
      <w:r>
        <w:rPr>
          <w:rFonts w:ascii="仿宋_GB2312" w:hAnsi="仿宋_GB2312" w:eastAsia="仿宋_GB2312"/>
          <w:b w:val="0"/>
          <w:sz w:val="32"/>
        </w:rPr>
        <w:t>截至2024年12月31日，房屋0.00平方米，价值0.00万元。车辆1辆，价值14.38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3A11057">
      <w:pPr>
        <w:spacing w:line="640" w:lineRule="exact"/>
        <w:ind w:firstLine="640"/>
        <w:jc w:val="both"/>
        <w:outlineLvl w:val="2"/>
      </w:pPr>
      <w:r>
        <w:rPr>
          <w:rFonts w:ascii="黑体" w:hAnsi="黑体" w:eastAsia="黑体"/>
          <w:sz w:val="32"/>
        </w:rPr>
        <w:t>十一、预算绩效的情况说明</w:t>
      </w:r>
    </w:p>
    <w:p w14:paraId="0A8C708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293.89万元，实际执行总额293.89万元；预算绩效评价项目3个，全年预算数112.83万元，全年执行数112.83万元。预算绩效管理取得的成效：全面部署大数据产业发展工作，加快建设数据强国，为实现制造强国和网络强国提供强大的产业支撑。再聚焦到审计行业，随着业务应用的不断深化，需要对某一领域的全范围的数据开展数据分析，将被审计</w:t>
      </w:r>
      <w:r>
        <w:rPr>
          <w:rFonts w:hint="eastAsia" w:ascii="仿宋_GB2312" w:hAnsi="仿宋_GB2312" w:eastAsia="仿宋_GB2312"/>
          <w:b w:val="0"/>
          <w:sz w:val="32"/>
          <w:lang w:eastAsia="zh-CN"/>
        </w:rPr>
        <w:t>单位</w:t>
      </w:r>
      <w:r>
        <w:rPr>
          <w:rFonts w:ascii="仿宋_GB2312" w:hAnsi="仿宋_GB2312" w:eastAsia="仿宋_GB2312"/>
          <w:b w:val="0"/>
          <w:sz w:val="32"/>
        </w:rPr>
        <w:t>的业务数据与其他行业部门的数据关联分析，对审计每年产生的审计报告进行聚类汇总分析等等。发现的问题及原因：一是由于缺乏相关绩效管理专业知识，在绩效指标申报设置时理解有误，后期在绩效自评过程中，存在偏差较大。二是因轮岗、调动</w:t>
      </w:r>
      <w:r>
        <w:rPr>
          <w:rFonts w:hint="eastAsia" w:ascii="仿宋_GB2312" w:hAnsi="仿宋_GB2312" w:eastAsia="仿宋_GB2312"/>
          <w:b w:val="0"/>
          <w:sz w:val="32"/>
          <w:lang w:eastAsia="zh-CN"/>
        </w:rPr>
        <w:t>等</w:t>
      </w:r>
      <w:r>
        <w:rPr>
          <w:rFonts w:ascii="仿宋_GB2312" w:hAnsi="仿宋_GB2312" w:eastAsia="仿宋_GB2312"/>
          <w:b w:val="0"/>
          <w:sz w:val="32"/>
        </w:rPr>
        <w:t>因素使</w:t>
      </w:r>
      <w:r>
        <w:rPr>
          <w:rFonts w:hint="eastAsia" w:ascii="仿宋_GB2312" w:hAnsi="仿宋_GB2312" w:eastAsia="仿宋_GB2312"/>
          <w:b w:val="0"/>
          <w:sz w:val="32"/>
          <w:lang w:eastAsia="zh-CN"/>
        </w:rPr>
        <w:t>本单位</w:t>
      </w:r>
      <w:r>
        <w:rPr>
          <w:rFonts w:ascii="仿宋_GB2312" w:hAnsi="仿宋_GB2312" w:eastAsia="仿宋_GB2312"/>
          <w:b w:val="0"/>
          <w:sz w:val="32"/>
        </w:rPr>
        <w:t>绩效工作人员流动频繁，造成了工作衔接不到位的情况。下一步改进措施：一是多进行有关绩效管理工作方面的培训。积极组织第三方开展绩效管理工作培训，进一步夯实业务基础，提高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绩效人员水平；二是专门设定对绩效工作人员定职、定岗、定责等相关制度措施，进一步提升</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业务水平，扎实做好绩效管理工作；三是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具体附整体支出绩效自评表，项目支出绩效自评表和评价报告。</w:t>
      </w:r>
    </w:p>
    <w:p w14:paraId="4F4BA60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63093DA">
        <w:tblPrEx>
          <w:tblCellMar>
            <w:top w:w="0" w:type="dxa"/>
            <w:left w:w="108" w:type="dxa"/>
            <w:bottom w:w="0" w:type="dxa"/>
            <w:right w:w="108" w:type="dxa"/>
          </w:tblCellMar>
        </w:tblPrEx>
        <w:tc>
          <w:tcPr>
            <w:tcW w:w="8840" w:type="dxa"/>
            <w:gridSpan w:val="8"/>
            <w:vAlign w:val="center"/>
          </w:tcPr>
          <w:p w14:paraId="686CB8AD">
            <w:pPr>
              <w:jc w:val="center"/>
            </w:pPr>
            <w:r>
              <w:rPr>
                <w:rFonts w:hint="eastAsia" w:ascii="宋体" w:hAnsi="宋体"/>
                <w:sz w:val="24"/>
                <w:lang w:eastAsia="zh-CN"/>
              </w:rPr>
              <w:t>单位</w:t>
            </w:r>
            <w:r>
              <w:rPr>
                <w:rFonts w:ascii="宋体" w:hAnsi="宋体" w:eastAsia="宋体"/>
                <w:sz w:val="24"/>
              </w:rPr>
              <w:t>整体支出绩效自评表</w:t>
            </w:r>
          </w:p>
        </w:tc>
      </w:tr>
      <w:tr w14:paraId="403178AB">
        <w:tblPrEx>
          <w:tblCellMar>
            <w:top w:w="0" w:type="dxa"/>
            <w:left w:w="108" w:type="dxa"/>
            <w:bottom w:w="0" w:type="dxa"/>
            <w:right w:w="108" w:type="dxa"/>
          </w:tblCellMar>
        </w:tblPrEx>
        <w:tc>
          <w:tcPr>
            <w:tcW w:w="8840" w:type="dxa"/>
            <w:gridSpan w:val="8"/>
            <w:vAlign w:val="center"/>
          </w:tcPr>
          <w:p w14:paraId="2C09B28B">
            <w:pPr>
              <w:jc w:val="center"/>
            </w:pPr>
            <w:r>
              <w:rPr>
                <w:rFonts w:ascii="宋体" w:hAnsi="宋体" w:eastAsia="宋体"/>
                <w:sz w:val="24"/>
              </w:rPr>
              <w:t>（2024年度）</w:t>
            </w:r>
          </w:p>
        </w:tc>
      </w:tr>
      <w:tr w14:paraId="2CBB27C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AE61A">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3C5D1">
            <w:pPr>
              <w:jc w:val="center"/>
            </w:pPr>
            <w:r>
              <w:rPr>
                <w:rFonts w:ascii="宋体" w:hAnsi="宋体" w:eastAsia="宋体"/>
                <w:sz w:val="16"/>
              </w:rPr>
              <w:t>特克斯县审计局</w:t>
            </w:r>
          </w:p>
        </w:tc>
      </w:tr>
      <w:tr w14:paraId="668E329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0BE8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369C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D531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49FD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EB14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6B73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66B4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33827">
            <w:pPr>
              <w:jc w:val="center"/>
            </w:pPr>
            <w:r>
              <w:rPr>
                <w:rFonts w:ascii="宋体" w:hAnsi="宋体" w:eastAsia="宋体"/>
                <w:sz w:val="16"/>
              </w:rPr>
              <w:t>得分</w:t>
            </w:r>
          </w:p>
        </w:tc>
      </w:tr>
      <w:tr w14:paraId="01DBF43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20FF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C49E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3475F">
            <w:pPr>
              <w:jc w:val="center"/>
            </w:pPr>
            <w:r>
              <w:rPr>
                <w:rFonts w:ascii="宋体" w:hAnsi="宋体" w:eastAsia="宋体"/>
                <w:sz w:val="16"/>
              </w:rPr>
              <w:t>255.94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0E2CA">
            <w:pPr>
              <w:jc w:val="center"/>
            </w:pPr>
            <w:r>
              <w:rPr>
                <w:rFonts w:ascii="宋体" w:hAnsi="宋体" w:eastAsia="宋体"/>
                <w:sz w:val="16"/>
              </w:rPr>
              <w:t>293.89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8573F">
            <w:pPr>
              <w:jc w:val="center"/>
            </w:pPr>
            <w:r>
              <w:rPr>
                <w:rFonts w:ascii="宋体" w:hAnsi="宋体" w:eastAsia="宋体"/>
                <w:sz w:val="16"/>
              </w:rPr>
              <w:t>293.89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E416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B483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07E52">
            <w:pPr>
              <w:jc w:val="center"/>
            </w:pPr>
            <w:r>
              <w:rPr>
                <w:rFonts w:ascii="宋体" w:hAnsi="宋体" w:eastAsia="宋体"/>
                <w:sz w:val="16"/>
              </w:rPr>
              <w:t>10</w:t>
            </w:r>
          </w:p>
        </w:tc>
      </w:tr>
      <w:tr w14:paraId="05ACC74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F8B9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04B1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2B91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CC7C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CFD9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2BDAE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3CF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79EA9">
            <w:pPr>
              <w:jc w:val="center"/>
            </w:pPr>
            <w:r>
              <w:rPr>
                <w:rFonts w:ascii="宋体" w:hAnsi="宋体" w:eastAsia="宋体"/>
                <w:sz w:val="16"/>
              </w:rPr>
              <w:t>-</w:t>
            </w:r>
          </w:p>
        </w:tc>
      </w:tr>
      <w:tr w14:paraId="7BDE7E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2FDB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1778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A34C5">
            <w:pPr>
              <w:jc w:val="center"/>
            </w:pPr>
            <w:r>
              <w:rPr>
                <w:rFonts w:ascii="宋体" w:hAnsi="宋体" w:eastAsia="宋体"/>
                <w:sz w:val="16"/>
              </w:rPr>
              <w:t>238.84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6F3A6">
            <w:pPr>
              <w:jc w:val="center"/>
            </w:pPr>
            <w:r>
              <w:rPr>
                <w:rFonts w:ascii="宋体" w:hAnsi="宋体" w:eastAsia="宋体"/>
                <w:sz w:val="16"/>
              </w:rPr>
              <w:t>272.87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1999A">
            <w:pPr>
              <w:jc w:val="center"/>
            </w:pPr>
            <w:r>
              <w:rPr>
                <w:rFonts w:ascii="宋体" w:hAnsi="宋体" w:eastAsia="宋体"/>
                <w:sz w:val="16"/>
              </w:rPr>
              <w:t>272.87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46B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83A1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5CDAD">
            <w:pPr>
              <w:jc w:val="center"/>
            </w:pPr>
            <w:r>
              <w:rPr>
                <w:rFonts w:ascii="宋体" w:hAnsi="宋体" w:eastAsia="宋体"/>
                <w:sz w:val="16"/>
              </w:rPr>
              <w:t>-</w:t>
            </w:r>
          </w:p>
        </w:tc>
      </w:tr>
      <w:tr w14:paraId="7B931E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60AE6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E678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C9280">
            <w:pPr>
              <w:jc w:val="center"/>
            </w:pPr>
            <w:r>
              <w:rPr>
                <w:rFonts w:ascii="宋体" w:hAnsi="宋体" w:eastAsia="宋体"/>
                <w:sz w:val="16"/>
              </w:rPr>
              <w:t>17.10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6069D">
            <w:pPr>
              <w:jc w:val="center"/>
            </w:pPr>
            <w:r>
              <w:rPr>
                <w:rFonts w:ascii="宋体" w:hAnsi="宋体" w:eastAsia="宋体"/>
                <w:sz w:val="16"/>
              </w:rPr>
              <w:t>21.02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021FE">
            <w:pPr>
              <w:jc w:val="center"/>
            </w:pPr>
            <w:r>
              <w:rPr>
                <w:rFonts w:ascii="宋体" w:hAnsi="宋体" w:eastAsia="宋体"/>
                <w:sz w:val="16"/>
              </w:rPr>
              <w:t>21.02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DAEF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E0CF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D542C">
            <w:pPr>
              <w:jc w:val="center"/>
            </w:pPr>
            <w:r>
              <w:rPr>
                <w:rFonts w:ascii="宋体" w:hAnsi="宋体" w:eastAsia="宋体"/>
                <w:sz w:val="16"/>
              </w:rPr>
              <w:t>-</w:t>
            </w:r>
          </w:p>
        </w:tc>
      </w:tr>
      <w:tr w14:paraId="43F81DC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51F5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E7527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D919F6">
            <w:pPr>
              <w:jc w:val="center"/>
            </w:pPr>
            <w:r>
              <w:rPr>
                <w:rFonts w:ascii="宋体" w:hAnsi="宋体" w:eastAsia="宋体"/>
                <w:sz w:val="16"/>
              </w:rPr>
              <w:t>实际完成情况</w:t>
            </w:r>
          </w:p>
        </w:tc>
      </w:tr>
      <w:tr w14:paraId="220CD0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0D276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830B97">
            <w:pPr>
              <w:jc w:val="both"/>
            </w:pPr>
            <w:r>
              <w:rPr>
                <w:rFonts w:ascii="宋体" w:hAnsi="宋体" w:eastAsia="宋体"/>
                <w:sz w:val="16"/>
              </w:rPr>
              <w:t>坚持以习近平新时代中国特色社会主义思想为指导，全面贯彻落实党的二十大以及中央经济工作会议精神。认真落实习近平总书记关于审计工作的重要讲话和重要指示批示精神，根据特克斯</w:t>
            </w:r>
            <w:r>
              <w:rPr>
                <w:rFonts w:hint="eastAsia" w:ascii="宋体" w:hAnsi="宋体"/>
                <w:sz w:val="16"/>
                <w:lang w:eastAsia="zh-CN"/>
              </w:rPr>
              <w:t>县委审计委员会办公室</w:t>
            </w:r>
            <w:r>
              <w:rPr>
                <w:rFonts w:ascii="宋体" w:hAnsi="宋体" w:eastAsia="宋体"/>
                <w:sz w:val="16"/>
              </w:rPr>
              <w:t>和特克斯县审计局2024年度审计项目计划要求，围绕特克斯县委工作部署要求，完整、准确、全面贯彻新发展理念，立足“审计监督首先是经济监督”定位，聚焦财政财务收支真实合法效益审计主责主业，做好常态化“经济体检”工作，为促进特克斯县经济社会高质量发展提供审计监督保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EBB92F">
            <w:pPr>
              <w:jc w:val="both"/>
            </w:pPr>
            <w:r>
              <w:rPr>
                <w:rFonts w:ascii="宋体" w:hAnsi="宋体" w:eastAsia="宋体"/>
                <w:sz w:val="16"/>
              </w:rPr>
              <w:t>在</w:t>
            </w:r>
            <w:r>
              <w:rPr>
                <w:rFonts w:hint="eastAsia" w:ascii="宋体" w:hAnsi="宋体"/>
                <w:sz w:val="16"/>
                <w:lang w:eastAsia="zh-CN"/>
              </w:rPr>
              <w:t>县委、县政府</w:t>
            </w:r>
            <w:r>
              <w:rPr>
                <w:rFonts w:ascii="宋体" w:hAnsi="宋体" w:eastAsia="宋体"/>
                <w:sz w:val="16"/>
              </w:rPr>
              <w:t>和上级审计机关的领导下，全局审计干部坚持以习近平新时代中国特色社会主义思想为指导，坚决贯彻落实习近平总书记对审计机关提出的“如臂使指、如影随形、如雷贯耳”的重要要求,2024年特克斯县审计局聚焦主责主业，按照州审计局要求和县委审计委员会的部署，2024年计划实施项目18个，</w:t>
            </w:r>
            <w:r>
              <w:rPr>
                <w:rFonts w:hint="eastAsia" w:ascii="宋体" w:hAnsi="宋体"/>
                <w:sz w:val="16"/>
                <w:lang w:eastAsia="zh-CN"/>
              </w:rPr>
              <w:t>截至目前</w:t>
            </w:r>
            <w:r>
              <w:rPr>
                <w:rFonts w:ascii="宋体" w:hAnsi="宋体" w:eastAsia="宋体"/>
                <w:sz w:val="16"/>
              </w:rPr>
              <w:t>，已完成审计项目14个，配合州审计局核查项目4个。其中完成县财政局等4个部门预算执行审计和县统计局等3个</w:t>
            </w:r>
            <w:r>
              <w:rPr>
                <w:rFonts w:hint="eastAsia" w:ascii="宋体" w:hAnsi="宋体"/>
                <w:sz w:val="16"/>
                <w:lang w:eastAsia="zh-CN"/>
              </w:rPr>
              <w:t>单位</w:t>
            </w:r>
            <w:r>
              <w:rPr>
                <w:rFonts w:ascii="宋体" w:hAnsi="宋体" w:eastAsia="宋体"/>
                <w:sz w:val="16"/>
              </w:rPr>
              <w:t>的财务收支审计工作。已完成市场监督管理局等4个</w:t>
            </w:r>
            <w:r>
              <w:rPr>
                <w:rFonts w:hint="eastAsia" w:ascii="宋体" w:hAnsi="宋体"/>
                <w:sz w:val="16"/>
                <w:lang w:eastAsia="zh-CN"/>
              </w:rPr>
              <w:t>单位</w:t>
            </w:r>
            <w:r>
              <w:rPr>
                <w:rFonts w:ascii="宋体" w:hAnsi="宋体" w:eastAsia="宋体"/>
                <w:sz w:val="16"/>
              </w:rPr>
              <w:t>领导干部经济责任审计。已完成乡村振兴政策落实情况专项审计及13个援疆项目审计。</w:t>
            </w:r>
          </w:p>
        </w:tc>
      </w:tr>
      <w:tr w14:paraId="6835DAF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61BD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025A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787D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A7D7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F2F4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F137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74E7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E0F76">
            <w:pPr>
              <w:jc w:val="center"/>
            </w:pPr>
            <w:r>
              <w:rPr>
                <w:rFonts w:ascii="宋体" w:hAnsi="宋体" w:eastAsia="宋体"/>
                <w:sz w:val="16"/>
              </w:rPr>
              <w:t>得分</w:t>
            </w:r>
          </w:p>
        </w:tc>
      </w:tr>
      <w:tr w14:paraId="0920C8A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730B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BE78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30815E">
            <w:pPr>
              <w:jc w:val="center"/>
            </w:pPr>
            <w:r>
              <w:rPr>
                <w:rFonts w:ascii="宋体" w:hAnsi="宋体" w:eastAsia="宋体"/>
                <w:sz w:val="16"/>
              </w:rPr>
              <w:t>审计项目数量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09EFA">
            <w:pPr>
              <w:jc w:val="center"/>
            </w:pPr>
            <w:r>
              <w:rPr>
                <w:rFonts w:ascii="宋体" w:hAnsi="宋体" w:eastAsia="宋体"/>
                <w:sz w:val="16"/>
              </w:rPr>
              <w:t>&gt;=21个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CECE4">
            <w:pPr>
              <w:jc w:val="center"/>
            </w:pPr>
            <w:r>
              <w:rPr>
                <w:rFonts w:ascii="宋体" w:hAnsi="宋体" w:eastAsia="宋体"/>
                <w:sz w:val="16"/>
              </w:rPr>
              <w:t>2024年州级审计方案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97A0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EC1F7">
            <w:pPr>
              <w:jc w:val="center"/>
            </w:pPr>
            <w:r>
              <w:rPr>
                <w:rFonts w:ascii="宋体" w:hAnsi="宋体" w:eastAsia="宋体"/>
                <w:sz w:val="16"/>
              </w:rPr>
              <w:t>21个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D40B5">
            <w:pPr>
              <w:jc w:val="center"/>
            </w:pPr>
            <w:r>
              <w:rPr>
                <w:rFonts w:ascii="宋体" w:hAnsi="宋体" w:eastAsia="宋体"/>
                <w:sz w:val="16"/>
              </w:rPr>
              <w:t>30</w:t>
            </w:r>
          </w:p>
        </w:tc>
      </w:tr>
      <w:tr w14:paraId="4EFFC3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DB6A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339D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AF902">
            <w:pPr>
              <w:jc w:val="center"/>
            </w:pPr>
            <w:r>
              <w:rPr>
                <w:rFonts w:ascii="宋体" w:hAnsi="宋体" w:eastAsia="宋体"/>
                <w:sz w:val="16"/>
              </w:rPr>
              <w:t>提交各类审计报告和信息简报数量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67ADD">
            <w:pPr>
              <w:jc w:val="center"/>
            </w:pPr>
            <w:r>
              <w:rPr>
                <w:rFonts w:ascii="宋体" w:hAnsi="宋体" w:eastAsia="宋体"/>
                <w:sz w:val="16"/>
              </w:rPr>
              <w:t>&gt;=10篇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24891">
            <w:pPr>
              <w:jc w:val="center"/>
            </w:pPr>
            <w:r>
              <w:rPr>
                <w:rFonts w:ascii="宋体" w:hAnsi="宋体" w:eastAsia="宋体"/>
                <w:sz w:val="16"/>
              </w:rPr>
              <w:t>2024年州级审计方案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C771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7FAF3">
            <w:pPr>
              <w:jc w:val="center"/>
            </w:pPr>
            <w:r>
              <w:rPr>
                <w:rFonts w:ascii="宋体" w:hAnsi="宋体" w:eastAsia="宋体"/>
                <w:sz w:val="16"/>
              </w:rPr>
              <w:t>16篇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598B3">
            <w:pPr>
              <w:jc w:val="center"/>
            </w:pPr>
            <w:r>
              <w:rPr>
                <w:rFonts w:ascii="宋体" w:hAnsi="宋体" w:eastAsia="宋体"/>
                <w:sz w:val="16"/>
              </w:rPr>
              <w:t>30</w:t>
            </w:r>
          </w:p>
        </w:tc>
      </w:tr>
      <w:tr w14:paraId="2E2614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7B6D63"/>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6F8B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37430">
            <w:pPr>
              <w:jc w:val="center"/>
            </w:pPr>
            <w:r>
              <w:rPr>
                <w:rFonts w:ascii="宋体" w:hAnsi="宋体" w:eastAsia="宋体"/>
                <w:sz w:val="16"/>
              </w:rPr>
              <w:t>审计问题整改率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45F02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811F5">
            <w:pPr>
              <w:jc w:val="center"/>
            </w:pPr>
            <w:r>
              <w:rPr>
                <w:rFonts w:ascii="宋体" w:hAnsi="宋体" w:eastAsia="宋体"/>
                <w:sz w:val="16"/>
              </w:rPr>
              <w:t>2024年州级审计方案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4F32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4C02F">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51D1B">
            <w:pPr>
              <w:jc w:val="center"/>
            </w:pPr>
            <w:r>
              <w:rPr>
                <w:rFonts w:ascii="宋体" w:hAnsi="宋体" w:eastAsia="宋体"/>
                <w:sz w:val="16"/>
              </w:rPr>
              <w:t>19</w:t>
            </w:r>
          </w:p>
        </w:tc>
      </w:tr>
      <w:tr w14:paraId="496F70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B2462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72DA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37F88">
            <w:pPr>
              <w:jc w:val="center"/>
            </w:pPr>
            <w:r>
              <w:rPr>
                <w:rFonts w:ascii="宋体" w:hAnsi="宋体" w:eastAsia="宋体"/>
                <w:sz w:val="16"/>
              </w:rPr>
              <w:t>被审计</w:t>
            </w:r>
            <w:r>
              <w:rPr>
                <w:rFonts w:hint="eastAsia" w:ascii="宋体" w:hAnsi="宋体"/>
                <w:sz w:val="16"/>
                <w:lang w:eastAsia="zh-CN"/>
              </w:rPr>
              <w:t>单位</w:t>
            </w:r>
            <w:r>
              <w:rPr>
                <w:rFonts w:ascii="宋体" w:hAnsi="宋体" w:eastAsia="宋体"/>
                <w:sz w:val="16"/>
              </w:rPr>
              <w:t>对审计建议采纳比例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E6DBB">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6E037">
            <w:pPr>
              <w:jc w:val="center"/>
            </w:pPr>
            <w:r>
              <w:rPr>
                <w:rFonts w:ascii="宋体" w:hAnsi="宋体" w:eastAsia="宋体"/>
                <w:sz w:val="16"/>
              </w:rPr>
              <w:t>2024年州级审计方案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E85C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18D3B">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EC163">
            <w:pPr>
              <w:jc w:val="center"/>
            </w:pPr>
            <w:r>
              <w:rPr>
                <w:rFonts w:ascii="宋体" w:hAnsi="宋体" w:eastAsia="宋体"/>
                <w:sz w:val="16"/>
              </w:rPr>
              <w:t>10</w:t>
            </w:r>
          </w:p>
        </w:tc>
      </w:tr>
    </w:tbl>
    <w:p w14:paraId="4FC637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520"/>
        <w:gridCol w:w="112"/>
        <w:gridCol w:w="632"/>
      </w:tblGrid>
      <w:tr w14:paraId="5B1CB769">
        <w:tblPrEx>
          <w:tblCellMar>
            <w:top w:w="0" w:type="dxa"/>
            <w:left w:w="108" w:type="dxa"/>
            <w:bottom w:w="0" w:type="dxa"/>
            <w:right w:w="108" w:type="dxa"/>
          </w:tblCellMar>
        </w:tblPrEx>
        <w:tc>
          <w:tcPr>
            <w:tcW w:w="8848" w:type="dxa"/>
            <w:gridSpan w:val="15"/>
            <w:vAlign w:val="center"/>
          </w:tcPr>
          <w:p w14:paraId="1728AD5F">
            <w:pPr>
              <w:jc w:val="center"/>
            </w:pPr>
            <w:r>
              <w:rPr>
                <w:rFonts w:ascii="宋体" w:hAnsi="宋体" w:eastAsia="宋体"/>
                <w:sz w:val="24"/>
              </w:rPr>
              <w:t>项目支出绩效自评表</w:t>
            </w:r>
          </w:p>
        </w:tc>
      </w:tr>
      <w:tr w14:paraId="30FBF96C">
        <w:tblPrEx>
          <w:tblCellMar>
            <w:top w:w="0" w:type="dxa"/>
            <w:left w:w="108" w:type="dxa"/>
            <w:bottom w:w="0" w:type="dxa"/>
            <w:right w:w="108" w:type="dxa"/>
          </w:tblCellMar>
        </w:tblPrEx>
        <w:tc>
          <w:tcPr>
            <w:tcW w:w="8848" w:type="dxa"/>
            <w:gridSpan w:val="15"/>
            <w:vAlign w:val="center"/>
          </w:tcPr>
          <w:p w14:paraId="1A5A330F">
            <w:pPr>
              <w:jc w:val="center"/>
            </w:pPr>
            <w:r>
              <w:rPr>
                <w:rFonts w:ascii="宋体" w:hAnsi="宋体" w:eastAsia="宋体"/>
                <w:sz w:val="24"/>
              </w:rPr>
              <w:t>(2024年度)</w:t>
            </w:r>
          </w:p>
        </w:tc>
      </w:tr>
      <w:tr w14:paraId="47C3A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35DF">
            <w:pPr>
              <w:jc w:val="center"/>
            </w:pPr>
            <w:r>
              <w:rPr>
                <w:rFonts w:ascii="宋体" w:hAnsi="宋体" w:eastAsia="宋体"/>
                <w:sz w:val="16"/>
              </w:rPr>
              <w:t>项目名称</w:t>
            </w:r>
          </w:p>
        </w:tc>
        <w:tc>
          <w:tcPr>
            <w:tcW w:w="821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265647B8">
            <w:pPr>
              <w:jc w:val="center"/>
            </w:pPr>
            <w:r>
              <w:rPr>
                <w:rFonts w:ascii="宋体" w:hAnsi="宋体" w:eastAsia="宋体"/>
                <w:sz w:val="16"/>
              </w:rPr>
              <w:t>州局拨付审计工作经费</w:t>
            </w:r>
          </w:p>
        </w:tc>
      </w:tr>
      <w:tr w14:paraId="7D06A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2B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2C3568">
            <w:pPr>
              <w:jc w:val="center"/>
            </w:pPr>
            <w:r>
              <w:rPr>
                <w:rFonts w:ascii="宋体" w:hAnsi="宋体" w:eastAsia="宋体"/>
                <w:sz w:val="16"/>
              </w:rPr>
              <w:t>特克斯县审计局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871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E7D5A">
            <w:pPr>
              <w:jc w:val="center"/>
            </w:pPr>
            <w:r>
              <w:rPr>
                <w:rFonts w:ascii="宋体" w:hAnsi="宋体" w:eastAsia="宋体"/>
                <w:sz w:val="16"/>
              </w:rPr>
              <w:t>特克斯县审计局</w:t>
            </w:r>
          </w:p>
        </w:tc>
      </w:tr>
      <w:tr w14:paraId="009022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DF4F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51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76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06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F0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968F">
            <w:pPr>
              <w:jc w:val="center"/>
            </w:pPr>
            <w:r>
              <w:rPr>
                <w:rFonts w:ascii="宋体" w:hAnsi="宋体" w:eastAsia="宋体"/>
                <w:sz w:val="16"/>
              </w:rPr>
              <w:t>分值</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BFDAD">
            <w:pPr>
              <w:jc w:val="center"/>
            </w:pPr>
            <w:r>
              <w:rPr>
                <w:rFonts w:ascii="宋体" w:hAnsi="宋体" w:eastAsia="宋体"/>
                <w:sz w:val="16"/>
              </w:rPr>
              <w:t>执行率</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72F90">
            <w:pPr>
              <w:jc w:val="center"/>
            </w:pPr>
            <w:r>
              <w:rPr>
                <w:rFonts w:ascii="宋体" w:hAnsi="宋体" w:eastAsia="宋体"/>
                <w:sz w:val="16"/>
              </w:rPr>
              <w:t>得分</w:t>
            </w:r>
          </w:p>
        </w:tc>
      </w:tr>
      <w:tr w14:paraId="3BB96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CC7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43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53003">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596C">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7BDC">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20F6F">
            <w:pPr>
              <w:jc w:val="center"/>
            </w:pPr>
            <w:r>
              <w:rPr>
                <w:rFonts w:ascii="宋体" w:hAnsi="宋体" w:eastAsia="宋体"/>
                <w:sz w:val="16"/>
              </w:rPr>
              <w:t>10</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D862">
            <w:pPr>
              <w:jc w:val="center"/>
            </w:pPr>
            <w:r>
              <w:rPr>
                <w:rFonts w:ascii="宋体" w:hAnsi="宋体" w:eastAsia="宋体"/>
                <w:sz w:val="16"/>
              </w:rPr>
              <w:t>100.00%</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326C">
            <w:pPr>
              <w:jc w:val="center"/>
            </w:pPr>
            <w:r>
              <w:rPr>
                <w:rFonts w:ascii="宋体" w:hAnsi="宋体" w:eastAsia="宋体"/>
                <w:sz w:val="16"/>
              </w:rPr>
              <w:t>10.00</w:t>
            </w:r>
          </w:p>
        </w:tc>
      </w:tr>
      <w:tr w14:paraId="5EFFC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0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4EA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E9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57F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CF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ADCB">
            <w:pPr>
              <w:jc w:val="center"/>
            </w:pPr>
            <w:r>
              <w:rPr>
                <w:rFonts w:ascii="宋体" w:hAnsi="宋体" w:eastAsia="宋体"/>
                <w:sz w:val="16"/>
              </w:rPr>
              <w:t>—</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30E39">
            <w:pPr>
              <w:jc w:val="center"/>
            </w:pPr>
            <w:r>
              <w:rPr>
                <w:rFonts w:ascii="宋体" w:hAnsi="宋体" w:eastAsia="宋体"/>
                <w:sz w:val="16"/>
              </w:rPr>
              <w:t>—</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CF090">
            <w:pPr>
              <w:jc w:val="center"/>
            </w:pPr>
            <w:r>
              <w:rPr>
                <w:rFonts w:ascii="宋体" w:hAnsi="宋体" w:eastAsia="宋体"/>
                <w:sz w:val="16"/>
              </w:rPr>
              <w:t>—</w:t>
            </w:r>
          </w:p>
        </w:tc>
      </w:tr>
      <w:tr w14:paraId="7A6C4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048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C4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B76B5">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3F3E4">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98CD5">
            <w:pPr>
              <w:jc w:val="center"/>
              <w:rPr>
                <w:rFonts w:hint="eastAsia" w:eastAsia="宋体"/>
                <w:lang w:val="en-US" w:eastAsia="zh-CN"/>
              </w:rPr>
            </w:pPr>
            <w:r>
              <w:rPr>
                <w:rFonts w:ascii="宋体" w:hAnsi="宋体" w:eastAsia="宋体"/>
                <w:sz w:val="16"/>
              </w:rPr>
              <w:t>7.1</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C3697">
            <w:pPr>
              <w:jc w:val="center"/>
            </w:pPr>
            <w:r>
              <w:rPr>
                <w:rFonts w:ascii="宋体" w:hAnsi="宋体" w:eastAsia="宋体"/>
                <w:sz w:val="16"/>
              </w:rPr>
              <w:t>—</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2EA9">
            <w:pPr>
              <w:jc w:val="center"/>
            </w:pPr>
            <w:r>
              <w:rPr>
                <w:rFonts w:ascii="宋体" w:hAnsi="宋体" w:eastAsia="宋体"/>
                <w:sz w:val="16"/>
              </w:rPr>
              <w:t>—</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EE26">
            <w:pPr>
              <w:jc w:val="center"/>
            </w:pPr>
            <w:r>
              <w:rPr>
                <w:rFonts w:ascii="宋体" w:hAnsi="宋体" w:eastAsia="宋体"/>
                <w:sz w:val="16"/>
              </w:rPr>
              <w:t>—</w:t>
            </w:r>
          </w:p>
        </w:tc>
      </w:tr>
      <w:tr w14:paraId="368ED1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00D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6216C">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9C804">
            <w:pPr>
              <w:jc w:val="center"/>
            </w:pPr>
            <w:r>
              <w:rPr>
                <w:rFonts w:ascii="宋体" w:hAnsi="宋体" w:eastAsia="宋体"/>
                <w:sz w:val="16"/>
              </w:rPr>
              <w:t>实际完成情况</w:t>
            </w:r>
          </w:p>
        </w:tc>
      </w:tr>
      <w:tr w14:paraId="2CD5E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C0E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F7A1AB">
            <w:pPr>
              <w:jc w:val="both"/>
            </w:pPr>
            <w:r>
              <w:rPr>
                <w:rFonts w:ascii="宋体" w:hAnsi="宋体" w:eastAsia="宋体"/>
                <w:sz w:val="16"/>
              </w:rPr>
              <w:t>坚持以习近平新时代中国特色社会主义思想为指导，全面贯彻党的二十大、二十届二中全会和中央经济工作会议精神，坚持稳中求进工作总基调，以进促稳、先立后破，完整、准确、全面把握贯彻新发展理念、构建新发展格局、推动高质量发展对审计工作提出的新要求新任务。根据自治州党委审计委员会办公室和伊犁州审计局2024年度审计项目计划安排，围绕特克斯县委工作部署要求，完整、准确、全面贯彻新发展理念，立足“审计监督首先是经济监督”定位，聚焦财政财务收支真实合法效益审计主责主业，做好常态化“经济体检”工作，为促进特克斯县经济社会高质量发展提供审计监督保障。</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84B17">
            <w:pPr>
              <w:jc w:val="both"/>
            </w:pPr>
            <w:r>
              <w:rPr>
                <w:rFonts w:ascii="宋体" w:hAnsi="宋体" w:eastAsia="宋体"/>
                <w:sz w:val="16"/>
              </w:rPr>
              <w:t>在</w:t>
            </w:r>
            <w:r>
              <w:rPr>
                <w:rFonts w:hint="eastAsia" w:ascii="宋体" w:hAnsi="宋体"/>
                <w:sz w:val="16"/>
                <w:lang w:eastAsia="zh-CN"/>
              </w:rPr>
              <w:t>县委、县政府</w:t>
            </w:r>
            <w:r>
              <w:rPr>
                <w:rFonts w:ascii="宋体" w:hAnsi="宋体" w:eastAsia="宋体"/>
                <w:sz w:val="16"/>
              </w:rPr>
              <w:t>和上级审计机关的领导下，全局审计干部坚持以习近平新时代中国特色社会主义思想为指导，坚决贯彻落实习近平总书记对审计机关提出的“如臂使指、如影随形、如雷贯耳”的重要要求，紧紧围绕党中央决策部署和自治区、自治州、县委工作要求，持续强化党对审计工作的领导，依法全面履行审计监督职责，认真组织实施审计项目，扎实推动审计整改，审计成果运用更加权威高效</w:t>
            </w:r>
            <w:r>
              <w:rPr>
                <w:rFonts w:hint="eastAsia" w:ascii="宋体" w:hAnsi="宋体"/>
                <w:sz w:val="16"/>
                <w:lang w:eastAsia="zh-CN"/>
              </w:rPr>
              <w:t>。</w:t>
            </w:r>
            <w:r>
              <w:rPr>
                <w:rFonts w:ascii="宋体" w:hAnsi="宋体" w:eastAsia="宋体"/>
                <w:sz w:val="16"/>
              </w:rPr>
              <w:t>聚焦职责定位，以审计监督推进特克斯县经济高质量发展。2024年特克斯县审计局聚焦主责主业，按照州审计局要求和县委审计委员会的部署，2024年计划实施项目18个，</w:t>
            </w:r>
            <w:r>
              <w:rPr>
                <w:rFonts w:hint="eastAsia" w:ascii="宋体" w:hAnsi="宋体"/>
                <w:sz w:val="16"/>
                <w:lang w:eastAsia="zh-CN"/>
              </w:rPr>
              <w:t>截至目前</w:t>
            </w:r>
            <w:r>
              <w:rPr>
                <w:rFonts w:ascii="宋体" w:hAnsi="宋体" w:eastAsia="宋体"/>
                <w:sz w:val="16"/>
              </w:rPr>
              <w:t>，已完成审计项目14个，配合州审计局核查项目4个。其中完成县财政局等4个部门预算执行审计和县统计局等3个</w:t>
            </w:r>
            <w:r>
              <w:rPr>
                <w:rFonts w:hint="eastAsia" w:ascii="宋体" w:hAnsi="宋体"/>
                <w:sz w:val="16"/>
                <w:lang w:eastAsia="zh-CN"/>
              </w:rPr>
              <w:t>单位</w:t>
            </w:r>
            <w:r>
              <w:rPr>
                <w:rFonts w:ascii="宋体" w:hAnsi="宋体" w:eastAsia="宋体"/>
                <w:sz w:val="16"/>
              </w:rPr>
              <w:t>的财务收支审计工作。已完成市场监督管理局等4个</w:t>
            </w:r>
            <w:r>
              <w:rPr>
                <w:rFonts w:hint="eastAsia" w:ascii="宋体" w:hAnsi="宋体"/>
                <w:sz w:val="16"/>
                <w:lang w:eastAsia="zh-CN"/>
              </w:rPr>
              <w:t>单位</w:t>
            </w:r>
            <w:r>
              <w:rPr>
                <w:rFonts w:ascii="宋体" w:hAnsi="宋体" w:eastAsia="宋体"/>
                <w:sz w:val="16"/>
              </w:rPr>
              <w:t>领导干部经济责任审计。已完成乡村振兴政策落实情况专项审计及援疆项目审计。</w:t>
            </w:r>
          </w:p>
        </w:tc>
      </w:tr>
      <w:tr w14:paraId="10FF8B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622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BC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B9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C5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8F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570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C9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0C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A0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A3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D5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4E09">
            <w:pPr>
              <w:jc w:val="center"/>
            </w:pPr>
            <w:r>
              <w:rPr>
                <w:rFonts w:ascii="宋体" w:hAnsi="宋体" w:eastAsia="宋体"/>
                <w:sz w:val="16"/>
              </w:rPr>
              <w:t>赋分规则</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349AE0D4">
            <w:pPr>
              <w:jc w:val="center"/>
            </w:pPr>
            <w:r>
              <w:rPr>
                <w:rFonts w:ascii="宋体" w:hAnsi="宋体" w:eastAsia="宋体"/>
                <w:sz w:val="16"/>
              </w:rPr>
              <w:t>佐证资料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A48F6">
            <w:pPr>
              <w:jc w:val="center"/>
            </w:pPr>
            <w:r>
              <w:rPr>
                <w:rFonts w:ascii="宋体" w:hAnsi="宋体" w:eastAsia="宋体"/>
                <w:sz w:val="16"/>
              </w:rPr>
              <w:t>偏差原因分析及改进措施</w:t>
            </w:r>
          </w:p>
        </w:tc>
      </w:tr>
      <w:tr w14:paraId="58CE8A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5B0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1DE5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F6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DB06">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E8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1A8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9DD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C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AF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ED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7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0914">
            <w:pPr>
              <w:jc w:val="center"/>
            </w:pPr>
            <w:r>
              <w:rPr>
                <w:rFonts w:ascii="宋体" w:hAnsi="宋体" w:eastAsia="宋体"/>
                <w:sz w:val="16"/>
              </w:rPr>
              <w:t>按照完成比例赋分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3C8DDF3A">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82CFE">
            <w:pPr>
              <w:jc w:val="center"/>
            </w:pPr>
          </w:p>
        </w:tc>
      </w:tr>
      <w:tr w14:paraId="601BE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A1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CB9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5A1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6336">
            <w:pPr>
              <w:jc w:val="center"/>
            </w:pPr>
            <w:r>
              <w:rPr>
                <w:rFonts w:ascii="宋体" w:hAnsi="宋体" w:eastAsia="宋体"/>
                <w:sz w:val="16"/>
              </w:rPr>
              <w:t>审计工作经费保障率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09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D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3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F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3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9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8A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265E">
            <w:pPr>
              <w:jc w:val="center"/>
            </w:pPr>
            <w:r>
              <w:rPr>
                <w:rFonts w:ascii="宋体" w:hAnsi="宋体" w:eastAsia="宋体"/>
                <w:sz w:val="16"/>
              </w:rPr>
              <w:t>按照完成比例赋分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6ABCC4D6">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CB73">
            <w:pPr>
              <w:jc w:val="center"/>
            </w:pPr>
          </w:p>
        </w:tc>
      </w:tr>
      <w:tr w14:paraId="51C3B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7D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9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85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995A">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D6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4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A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D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C9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9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3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B4B3">
            <w:pPr>
              <w:jc w:val="center"/>
            </w:pPr>
            <w:r>
              <w:rPr>
                <w:rFonts w:ascii="宋体" w:hAnsi="宋体" w:eastAsia="宋体"/>
                <w:sz w:val="16"/>
              </w:rPr>
              <w:t>按照完成比例赋分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6E65F9A6">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67FC">
            <w:pPr>
              <w:jc w:val="center"/>
            </w:pPr>
          </w:p>
        </w:tc>
      </w:tr>
      <w:tr w14:paraId="087A1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F3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AC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0B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99D5">
            <w:pPr>
              <w:jc w:val="center"/>
            </w:pPr>
            <w:r>
              <w:rPr>
                <w:rFonts w:ascii="宋体" w:hAnsi="宋体" w:eastAsia="宋体"/>
                <w:sz w:val="16"/>
              </w:rPr>
              <w:t>完成本年度审计项目时间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8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FD4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5E1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F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61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0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D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97D6">
            <w:pPr>
              <w:jc w:val="center"/>
            </w:pPr>
            <w:r>
              <w:rPr>
                <w:rFonts w:ascii="宋体" w:hAnsi="宋体" w:eastAsia="宋体"/>
                <w:sz w:val="16"/>
              </w:rPr>
              <w:t>按照完成比例赋分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0F31B7D6">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1BD00">
            <w:pPr>
              <w:jc w:val="center"/>
            </w:pPr>
          </w:p>
        </w:tc>
      </w:tr>
      <w:tr w14:paraId="6AA5D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6A2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BF3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CF8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A23F">
            <w:pPr>
              <w:jc w:val="center"/>
            </w:pPr>
            <w:r>
              <w:rPr>
                <w:rFonts w:ascii="宋体" w:hAnsi="宋体" w:eastAsia="宋体"/>
                <w:sz w:val="16"/>
              </w:rPr>
              <w:t>推动审计各项工作有序、顺利进行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B6B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0944">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7924">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B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87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6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5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045D">
            <w:pPr>
              <w:jc w:val="center"/>
            </w:pPr>
            <w:r>
              <w:rPr>
                <w:rFonts w:ascii="宋体" w:hAnsi="宋体" w:eastAsia="宋体"/>
                <w:sz w:val="16"/>
              </w:rPr>
              <w:t>按评判等级赋分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4DA443BC">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3CF5E">
            <w:pPr>
              <w:jc w:val="center"/>
            </w:pPr>
          </w:p>
        </w:tc>
      </w:tr>
      <w:tr w14:paraId="30567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21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5A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AB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947D">
            <w:pPr>
              <w:jc w:val="center"/>
            </w:pPr>
            <w:r>
              <w:rPr>
                <w:rFonts w:ascii="宋体" w:hAnsi="宋体" w:eastAsia="宋体"/>
                <w:sz w:val="16"/>
              </w:rPr>
              <w:t>被审计</w:t>
            </w:r>
            <w:r>
              <w:rPr>
                <w:rFonts w:hint="eastAsia" w:ascii="宋体" w:hAnsi="宋体"/>
                <w:sz w:val="16"/>
                <w:lang w:eastAsia="zh-CN"/>
              </w:rPr>
              <w:t>单位</w:t>
            </w:r>
            <w:r>
              <w:rPr>
                <w:rFonts w:ascii="宋体" w:hAnsi="宋体" w:eastAsia="宋体"/>
                <w:sz w:val="16"/>
              </w:rPr>
              <w:t>根据审计建议建立健全规章制度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90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04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22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C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63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1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9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7817">
            <w:pPr>
              <w:jc w:val="center"/>
            </w:pPr>
            <w:r>
              <w:rPr>
                <w:rFonts w:ascii="宋体" w:hAnsi="宋体" w:eastAsia="宋体"/>
                <w:sz w:val="16"/>
              </w:rPr>
              <w:t>按评判等级赋分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0177F51E">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BD4A">
            <w:pPr>
              <w:jc w:val="center"/>
            </w:pPr>
          </w:p>
        </w:tc>
      </w:tr>
      <w:tr w14:paraId="341FF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F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1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12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15DC">
            <w:pPr>
              <w:jc w:val="center"/>
            </w:pPr>
            <w:r>
              <w:rPr>
                <w:rFonts w:ascii="宋体" w:hAnsi="宋体" w:eastAsia="宋体"/>
                <w:sz w:val="16"/>
              </w:rPr>
              <w:t>被审计</w:t>
            </w:r>
            <w:r>
              <w:rPr>
                <w:rFonts w:hint="eastAsia" w:ascii="宋体" w:hAnsi="宋体"/>
                <w:sz w:val="16"/>
                <w:lang w:eastAsia="zh-CN"/>
              </w:rPr>
              <w:t>单位</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6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AA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3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1C3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9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C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D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EBA1">
            <w:pPr>
              <w:jc w:val="center"/>
            </w:pPr>
            <w:r>
              <w:rPr>
                <w:rFonts w:ascii="宋体" w:hAnsi="宋体" w:eastAsia="宋体"/>
                <w:sz w:val="16"/>
              </w:rPr>
              <w:t>满意度赋分</w:t>
            </w:r>
          </w:p>
        </w:tc>
        <w:tc>
          <w:tcPr>
            <w:tcW w:w="520" w:type="dxa"/>
            <w:tcBorders>
              <w:top w:val="single" w:color="auto" w:sz="10" w:space="0"/>
              <w:left w:val="single" w:color="auto" w:sz="10" w:space="0"/>
              <w:bottom w:val="single" w:color="auto" w:sz="10" w:space="0"/>
              <w:right w:val="single" w:color="auto" w:sz="10" w:space="0"/>
              <w:insideV w:val="single" w:sz="10" w:space="0"/>
            </w:tcBorders>
            <w:vAlign w:val="center"/>
          </w:tcPr>
          <w:p w14:paraId="451CC690">
            <w:pPr>
              <w:jc w:val="center"/>
            </w:pPr>
            <w:r>
              <w:rPr>
                <w:rFonts w:ascii="宋体" w:hAnsi="宋体" w:eastAsia="宋体"/>
                <w:sz w:val="16"/>
              </w:rPr>
              <w:t>工作资料</w:t>
            </w:r>
          </w:p>
        </w:tc>
        <w:tc>
          <w:tcPr>
            <w:tcW w:w="7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EFF0E">
            <w:pPr>
              <w:jc w:val="center"/>
            </w:pPr>
            <w:r>
              <w:rPr>
                <w:rFonts w:ascii="宋体" w:hAnsi="宋体" w:eastAsia="宋体"/>
                <w:sz w:val="16"/>
              </w:rPr>
              <w:t>原因：因调查问卷涉及内容、问题数量较少、问卷设计、问题表述较简单选项设置不科学，被调查者数量少反馈信息不完整，在数据分析阶段，可能会出现对数据的不理解，数据分析方法不恰当导致产生偏差；整改措施：优化调查问卷的设计，合理</w:t>
            </w:r>
            <w:r>
              <w:rPr>
                <w:rFonts w:hint="eastAsia" w:ascii="宋体" w:hAnsi="宋体"/>
                <w:sz w:val="16"/>
                <w:lang w:eastAsia="zh-CN"/>
              </w:rPr>
              <w:t>地</w:t>
            </w:r>
            <w:r>
              <w:rPr>
                <w:rFonts w:ascii="宋体" w:hAnsi="宋体" w:eastAsia="宋体"/>
                <w:sz w:val="16"/>
              </w:rPr>
              <w:t>增加问题数量及内容，提高被调查者的参与度，提高数据收集的准确性，建立反馈机制。确保调查结果能够及时有效</w:t>
            </w:r>
            <w:r>
              <w:rPr>
                <w:rFonts w:hint="eastAsia" w:ascii="宋体" w:hAnsi="宋体"/>
                <w:sz w:val="16"/>
                <w:lang w:eastAsia="zh-CN"/>
              </w:rPr>
              <w:t>地</w:t>
            </w:r>
            <w:r>
              <w:rPr>
                <w:rFonts w:ascii="宋体" w:hAnsi="宋体" w:eastAsia="宋体"/>
                <w:sz w:val="16"/>
              </w:rPr>
              <w:t>处理，同时加强与被调查者的沟通，了解需求和期望，从而更好地改进工作。</w:t>
            </w:r>
          </w:p>
        </w:tc>
      </w:tr>
      <w:tr w14:paraId="01FD57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236B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3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E92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76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2E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425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3EE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27E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BE50E"/>
        </w:tc>
        <w:tc>
          <w:tcPr>
            <w:tcW w:w="632" w:type="dxa"/>
            <w:gridSpan w:val="2"/>
            <w:tcBorders>
              <w:top w:val="single" w:color="auto" w:sz="10" w:space="0"/>
              <w:left w:val="single" w:color="auto" w:sz="10" w:space="0"/>
              <w:bottom w:val="single" w:color="auto" w:sz="10" w:space="0"/>
              <w:right w:val="single" w:color="auto" w:sz="10" w:space="0"/>
              <w:insideV w:val="single" w:sz="10" w:space="0"/>
            </w:tcBorders>
          </w:tcPr>
          <w:p w14:paraId="2067AD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2988E"/>
        </w:tc>
      </w:tr>
    </w:tbl>
    <w:p w14:paraId="563BD4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552"/>
        <w:gridCol w:w="80"/>
        <w:gridCol w:w="494"/>
        <w:gridCol w:w="586"/>
        <w:gridCol w:w="184"/>
        <w:gridCol w:w="483"/>
        <w:gridCol w:w="149"/>
        <w:gridCol w:w="632"/>
      </w:tblGrid>
      <w:tr w14:paraId="7F8653D3">
        <w:tc>
          <w:tcPr>
            <w:tcW w:w="8912" w:type="dxa"/>
            <w:gridSpan w:val="17"/>
            <w:vAlign w:val="center"/>
          </w:tcPr>
          <w:p w14:paraId="69A9CC9C">
            <w:pPr>
              <w:jc w:val="center"/>
            </w:pPr>
            <w:r>
              <w:rPr>
                <w:rFonts w:ascii="宋体" w:hAnsi="宋体" w:eastAsia="宋体"/>
                <w:sz w:val="24"/>
              </w:rPr>
              <w:t>项目支出绩效自评表</w:t>
            </w:r>
          </w:p>
        </w:tc>
      </w:tr>
      <w:tr w14:paraId="730531DE">
        <w:tblPrEx>
          <w:tblCellMar>
            <w:top w:w="0" w:type="dxa"/>
            <w:left w:w="108" w:type="dxa"/>
            <w:bottom w:w="0" w:type="dxa"/>
            <w:right w:w="108" w:type="dxa"/>
          </w:tblCellMar>
        </w:tblPrEx>
        <w:tc>
          <w:tcPr>
            <w:tcW w:w="8912" w:type="dxa"/>
            <w:gridSpan w:val="17"/>
            <w:vAlign w:val="center"/>
          </w:tcPr>
          <w:p w14:paraId="482154ED">
            <w:pPr>
              <w:jc w:val="center"/>
            </w:pPr>
            <w:r>
              <w:rPr>
                <w:rFonts w:ascii="宋体" w:hAnsi="宋体" w:eastAsia="宋体"/>
                <w:sz w:val="24"/>
              </w:rPr>
              <w:t>(2024年度)</w:t>
            </w:r>
          </w:p>
        </w:tc>
      </w:tr>
      <w:tr w14:paraId="6BDF20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C292">
            <w:pPr>
              <w:jc w:val="center"/>
            </w:pPr>
            <w:r>
              <w:rPr>
                <w:rFonts w:ascii="宋体" w:hAnsi="宋体" w:eastAsia="宋体"/>
                <w:sz w:val="16"/>
              </w:rPr>
              <w:t>项目名称</w:t>
            </w:r>
          </w:p>
        </w:tc>
        <w:tc>
          <w:tcPr>
            <w:tcW w:w="8280"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58668B6A">
            <w:pPr>
              <w:jc w:val="center"/>
            </w:pPr>
            <w:r>
              <w:rPr>
                <w:rFonts w:ascii="宋体" w:hAnsi="宋体" w:eastAsia="宋体"/>
                <w:sz w:val="16"/>
              </w:rPr>
              <w:t>援疆审计工作经费</w:t>
            </w:r>
          </w:p>
        </w:tc>
      </w:tr>
      <w:tr w14:paraId="3601C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27C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2E9C9">
            <w:pPr>
              <w:jc w:val="center"/>
            </w:pPr>
            <w:r>
              <w:rPr>
                <w:rFonts w:ascii="宋体" w:hAnsi="宋体" w:eastAsia="宋体"/>
                <w:sz w:val="16"/>
              </w:rPr>
              <w:t>特克斯县审计局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CF3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8CDE3C">
            <w:pPr>
              <w:jc w:val="center"/>
            </w:pPr>
            <w:r>
              <w:rPr>
                <w:rFonts w:ascii="宋体" w:hAnsi="宋体" w:eastAsia="宋体"/>
                <w:sz w:val="16"/>
              </w:rPr>
              <w:t>特克斯县审计局</w:t>
            </w:r>
          </w:p>
        </w:tc>
      </w:tr>
      <w:tr w14:paraId="750E71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7DB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D1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F843E">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02D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806E">
            <w:pPr>
              <w:jc w:val="center"/>
            </w:pPr>
            <w:r>
              <w:rPr>
                <w:rFonts w:ascii="宋体" w:hAnsi="宋体" w:eastAsia="宋体"/>
                <w:sz w:val="16"/>
              </w:rPr>
              <w:t>全年执行数</w:t>
            </w:r>
          </w:p>
        </w:tc>
        <w:tc>
          <w:tcPr>
            <w:tcW w:w="112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0E1A46">
            <w:pPr>
              <w:jc w:val="center"/>
            </w:pPr>
            <w:r>
              <w:rPr>
                <w:rFonts w:ascii="宋体" w:hAnsi="宋体" w:eastAsia="宋体"/>
                <w:sz w:val="16"/>
              </w:rPr>
              <w:t>分值</w:t>
            </w:r>
          </w:p>
        </w:tc>
        <w:tc>
          <w:tcPr>
            <w:tcW w:w="12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18292E">
            <w:pPr>
              <w:jc w:val="center"/>
            </w:pPr>
            <w:r>
              <w:rPr>
                <w:rFonts w:ascii="宋体" w:hAnsi="宋体" w:eastAsia="宋体"/>
                <w:sz w:val="16"/>
              </w:rPr>
              <w:t>执行率</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2052C">
            <w:pPr>
              <w:jc w:val="center"/>
            </w:pPr>
            <w:r>
              <w:rPr>
                <w:rFonts w:ascii="宋体" w:hAnsi="宋体" w:eastAsia="宋体"/>
                <w:sz w:val="16"/>
              </w:rPr>
              <w:t>得分</w:t>
            </w:r>
          </w:p>
        </w:tc>
      </w:tr>
      <w:tr w14:paraId="644BA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B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9C8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6852">
            <w:pPr>
              <w:jc w:val="center"/>
            </w:pPr>
            <w:r>
              <w:rPr>
                <w:rFonts w:ascii="宋体" w:hAnsi="宋体" w:eastAsia="宋体"/>
                <w:sz w:val="16"/>
              </w:rPr>
              <w:t>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28FC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5D34">
            <w:pPr>
              <w:jc w:val="center"/>
            </w:pPr>
            <w:r>
              <w:rPr>
                <w:rFonts w:ascii="宋体" w:hAnsi="宋体" w:eastAsia="宋体"/>
                <w:sz w:val="16"/>
              </w:rPr>
              <w:t>5.00</w:t>
            </w:r>
          </w:p>
        </w:tc>
        <w:tc>
          <w:tcPr>
            <w:tcW w:w="112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A195E2">
            <w:pPr>
              <w:jc w:val="center"/>
            </w:pPr>
            <w:r>
              <w:rPr>
                <w:rFonts w:ascii="宋体" w:hAnsi="宋体" w:eastAsia="宋体"/>
                <w:sz w:val="16"/>
              </w:rPr>
              <w:t>10</w:t>
            </w:r>
          </w:p>
        </w:tc>
        <w:tc>
          <w:tcPr>
            <w:tcW w:w="12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575B1B">
            <w:pPr>
              <w:jc w:val="center"/>
            </w:pPr>
            <w:r>
              <w:rPr>
                <w:rFonts w:ascii="宋体" w:hAnsi="宋体" w:eastAsia="宋体"/>
                <w:sz w:val="16"/>
              </w:rPr>
              <w:t>100.00%</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7599">
            <w:pPr>
              <w:jc w:val="center"/>
            </w:pPr>
            <w:r>
              <w:rPr>
                <w:rFonts w:ascii="宋体" w:hAnsi="宋体" w:eastAsia="宋体"/>
                <w:sz w:val="16"/>
              </w:rPr>
              <w:t>10.00</w:t>
            </w:r>
          </w:p>
        </w:tc>
      </w:tr>
      <w:tr w14:paraId="5A5ED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A2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7AE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760E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68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46B7C">
            <w:pPr>
              <w:jc w:val="center"/>
            </w:pPr>
            <w:r>
              <w:rPr>
                <w:rFonts w:ascii="宋体" w:hAnsi="宋体" w:eastAsia="宋体"/>
                <w:sz w:val="16"/>
              </w:rPr>
              <w:t>0.00</w:t>
            </w:r>
          </w:p>
        </w:tc>
        <w:tc>
          <w:tcPr>
            <w:tcW w:w="112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78562B">
            <w:pPr>
              <w:jc w:val="center"/>
            </w:pPr>
            <w:r>
              <w:rPr>
                <w:rFonts w:ascii="宋体" w:hAnsi="宋体" w:eastAsia="宋体"/>
                <w:sz w:val="16"/>
              </w:rPr>
              <w:t>—</w:t>
            </w:r>
          </w:p>
        </w:tc>
        <w:tc>
          <w:tcPr>
            <w:tcW w:w="12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E44915">
            <w:pPr>
              <w:jc w:val="center"/>
            </w:pPr>
            <w:r>
              <w:rPr>
                <w:rFonts w:ascii="宋体" w:hAnsi="宋体" w:eastAsia="宋体"/>
                <w:sz w:val="16"/>
              </w:rPr>
              <w:t>—</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1036">
            <w:pPr>
              <w:jc w:val="center"/>
            </w:pPr>
            <w:r>
              <w:rPr>
                <w:rFonts w:ascii="宋体" w:hAnsi="宋体" w:eastAsia="宋体"/>
                <w:sz w:val="16"/>
              </w:rPr>
              <w:t>—</w:t>
            </w:r>
          </w:p>
        </w:tc>
      </w:tr>
      <w:tr w14:paraId="4BBF7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42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853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E991A">
            <w:pPr>
              <w:jc w:val="center"/>
            </w:pPr>
            <w:r>
              <w:rPr>
                <w:rFonts w:ascii="宋体" w:hAnsi="宋体" w:eastAsia="宋体"/>
                <w:sz w:val="16"/>
              </w:rPr>
              <w:t>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222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5858">
            <w:pPr>
              <w:jc w:val="center"/>
            </w:pPr>
            <w:r>
              <w:rPr>
                <w:rFonts w:ascii="宋体" w:hAnsi="宋体" w:eastAsia="宋体"/>
                <w:sz w:val="16"/>
              </w:rPr>
              <w:t>5.00</w:t>
            </w:r>
          </w:p>
        </w:tc>
        <w:tc>
          <w:tcPr>
            <w:tcW w:w="112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25EB44">
            <w:pPr>
              <w:jc w:val="center"/>
            </w:pPr>
            <w:r>
              <w:rPr>
                <w:rFonts w:ascii="宋体" w:hAnsi="宋体" w:eastAsia="宋体"/>
                <w:sz w:val="16"/>
              </w:rPr>
              <w:t>—</w:t>
            </w:r>
          </w:p>
        </w:tc>
        <w:tc>
          <w:tcPr>
            <w:tcW w:w="12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8188EB">
            <w:pPr>
              <w:jc w:val="center"/>
            </w:pPr>
            <w:r>
              <w:rPr>
                <w:rFonts w:ascii="宋体" w:hAnsi="宋体" w:eastAsia="宋体"/>
                <w:sz w:val="16"/>
              </w:rPr>
              <w:t>—</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9251">
            <w:pPr>
              <w:jc w:val="center"/>
            </w:pPr>
            <w:r>
              <w:rPr>
                <w:rFonts w:ascii="宋体" w:hAnsi="宋体" w:eastAsia="宋体"/>
                <w:sz w:val="16"/>
              </w:rPr>
              <w:t>—</w:t>
            </w:r>
          </w:p>
        </w:tc>
      </w:tr>
      <w:tr w14:paraId="076BE0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C3137">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15DEE">
            <w:pPr>
              <w:jc w:val="center"/>
            </w:pPr>
            <w:r>
              <w:rPr>
                <w:rFonts w:ascii="宋体" w:hAnsi="宋体" w:eastAsia="宋体"/>
                <w:sz w:val="16"/>
              </w:rPr>
              <w:t>预期目标</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DA357BF">
            <w:pPr>
              <w:jc w:val="center"/>
            </w:pPr>
            <w:r>
              <w:rPr>
                <w:rFonts w:ascii="宋体" w:hAnsi="宋体" w:eastAsia="宋体"/>
                <w:sz w:val="16"/>
              </w:rPr>
              <w:t>实际完成情况</w:t>
            </w:r>
          </w:p>
        </w:tc>
      </w:tr>
      <w:tr w14:paraId="50125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7BEA"/>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6CBD4">
            <w:pPr>
              <w:jc w:val="both"/>
            </w:pPr>
            <w:r>
              <w:rPr>
                <w:rFonts w:ascii="宋体" w:hAnsi="宋体" w:eastAsia="宋体"/>
                <w:sz w:val="16"/>
              </w:rPr>
              <w:t>以习近平新时代中国特色社会主义思想为指导，全面贯彻落实第三次中央新疆工作座谈会和第八次全国对口支援新疆工作会议精神，深入学习贯彻习近平总书记视察新疆重要讲话重要指示精神，完整准确全面贯彻新时代党的治疆方略，紧紧围绕新疆社会稳定和长治久安工作总目标，以民生援疆、智力援疆、产业援疆、就业援疆和文化润疆等领域为重点，聚焦主责主业，持续强化审计监督，依法全面履行职责，进一步提升对口援疆综合效益，确保党的惠疆爱民政策落地见效，助力建设团结和谐、繁荣富裕、文明进步、安居乐业、生态良好的新时代中国特色社会主义新疆。</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2317635">
            <w:pPr>
              <w:jc w:val="both"/>
            </w:pPr>
            <w:r>
              <w:rPr>
                <w:rFonts w:ascii="宋体" w:hAnsi="宋体" w:eastAsia="宋体"/>
                <w:sz w:val="16"/>
              </w:rPr>
              <w:t>2024年，在</w:t>
            </w:r>
            <w:r>
              <w:rPr>
                <w:rFonts w:hint="eastAsia" w:ascii="宋体" w:hAnsi="宋体"/>
                <w:sz w:val="16"/>
                <w:lang w:eastAsia="zh-CN"/>
              </w:rPr>
              <w:t>县委、县政府</w:t>
            </w:r>
            <w:r>
              <w:rPr>
                <w:rFonts w:ascii="宋体" w:hAnsi="宋体" w:eastAsia="宋体"/>
                <w:sz w:val="16"/>
              </w:rPr>
              <w:t>和上级审计机关的领导下，全局审计干部坚持以习近平新时代中国特色社会主义思想为指导，坚决贯彻落实习近平总书记对审计机关提出的“如臂使指、如影随形、如雷贯耳”的重要要求，紧紧围绕党中央决策部署和自治区、自治州、县委工作要求，持续强化党对审计工作的领导，依法全面履行审计监督职责，认真组织实施审计项目，扎实推动审计整改，审计成果运用更加权威高效。2024年特克斯县审计局聚焦主责主业，按照州审计局要求和县委审计委员会的部署，2024年计划实施项目18个，</w:t>
            </w:r>
            <w:r>
              <w:rPr>
                <w:rFonts w:hint="eastAsia" w:ascii="宋体" w:hAnsi="宋体"/>
                <w:sz w:val="16"/>
                <w:lang w:eastAsia="zh-CN"/>
              </w:rPr>
              <w:t>截至目前</w:t>
            </w:r>
            <w:r>
              <w:rPr>
                <w:rFonts w:ascii="宋体" w:hAnsi="宋体" w:eastAsia="宋体"/>
                <w:sz w:val="16"/>
              </w:rPr>
              <w:t>，已完成审计项目14个，配合州审计局核查项目4个。其中完成县财政局等4个部门预算执行审计和县统计局等3个</w:t>
            </w:r>
            <w:r>
              <w:rPr>
                <w:rFonts w:hint="eastAsia" w:ascii="宋体" w:hAnsi="宋体"/>
                <w:sz w:val="16"/>
                <w:lang w:eastAsia="zh-CN"/>
              </w:rPr>
              <w:t>单位</w:t>
            </w:r>
            <w:r>
              <w:rPr>
                <w:rFonts w:ascii="宋体" w:hAnsi="宋体" w:eastAsia="宋体"/>
                <w:sz w:val="16"/>
              </w:rPr>
              <w:t>的财务收支审计工作。已完成市场监督管理局等4个</w:t>
            </w:r>
            <w:r>
              <w:rPr>
                <w:rFonts w:hint="eastAsia" w:ascii="宋体" w:hAnsi="宋体"/>
                <w:sz w:val="16"/>
                <w:lang w:eastAsia="zh-CN"/>
              </w:rPr>
              <w:t>单位</w:t>
            </w:r>
            <w:r>
              <w:rPr>
                <w:rFonts w:ascii="宋体" w:hAnsi="宋体" w:eastAsia="宋体"/>
                <w:sz w:val="16"/>
              </w:rPr>
              <w:t>领导干部经济责任审计。已完成乡村振兴政策落实情况专项审计及援疆项目审计。</w:t>
            </w:r>
          </w:p>
        </w:tc>
      </w:tr>
      <w:tr w14:paraId="42B68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3DB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A9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2F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12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8E22">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56FF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A9E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4E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184F">
            <w:pPr>
              <w:jc w:val="center"/>
            </w:pPr>
            <w:r>
              <w:rPr>
                <w:rFonts w:ascii="宋体" w:hAnsi="宋体" w:eastAsia="宋体"/>
                <w:sz w:val="16"/>
              </w:rPr>
              <w:t>指标得分</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54E5DEB7">
            <w:pPr>
              <w:jc w:val="center"/>
            </w:pPr>
            <w:r>
              <w:rPr>
                <w:rFonts w:ascii="宋体" w:hAnsi="宋体" w:eastAsia="宋体"/>
                <w:sz w:val="16"/>
              </w:rPr>
              <w:t>指标值设定依据</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57BA6">
            <w:pPr>
              <w:jc w:val="center"/>
            </w:pPr>
            <w:r>
              <w:rPr>
                <w:rFonts w:ascii="宋体" w:hAnsi="宋体" w:eastAsia="宋体"/>
                <w:sz w:val="16"/>
              </w:rPr>
              <w:t>上年完成情况</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11431ED">
            <w:pPr>
              <w:jc w:val="center"/>
            </w:pPr>
            <w:r>
              <w:rPr>
                <w:rFonts w:ascii="宋体" w:hAnsi="宋体" w:eastAsia="宋体"/>
                <w:sz w:val="16"/>
              </w:rPr>
              <w:t>赋分规则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C27BB">
            <w:pPr>
              <w:jc w:val="center"/>
            </w:pPr>
            <w:r>
              <w:rPr>
                <w:rFonts w:ascii="宋体" w:hAnsi="宋体" w:eastAsia="宋体"/>
                <w:sz w:val="16"/>
              </w:rPr>
              <w:t>佐证资料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F2BE">
            <w:pPr>
              <w:jc w:val="center"/>
            </w:pPr>
            <w:r>
              <w:rPr>
                <w:rFonts w:ascii="宋体" w:hAnsi="宋体" w:eastAsia="宋体"/>
                <w:sz w:val="16"/>
              </w:rPr>
              <w:t>偏差原因分析及改进措施</w:t>
            </w:r>
          </w:p>
        </w:tc>
      </w:tr>
      <w:tr w14:paraId="6F9F9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27D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A2A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FC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2EF6">
            <w:pPr>
              <w:jc w:val="center"/>
            </w:pPr>
            <w:r>
              <w:rPr>
                <w:rFonts w:ascii="宋体" w:hAnsi="宋体" w:eastAsia="宋体"/>
                <w:sz w:val="16"/>
              </w:rPr>
              <w:t>审计项目个数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F834">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4A096">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A0D2">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D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BE90">
            <w:pPr>
              <w:jc w:val="center"/>
            </w:pPr>
            <w:r>
              <w:rPr>
                <w:rFonts w:ascii="宋体" w:hAnsi="宋体" w:eastAsia="宋体"/>
                <w:sz w:val="16"/>
              </w:rPr>
              <w:t>10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075A8ED7">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D3A7">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74F54A1">
            <w:pPr>
              <w:jc w:val="center"/>
            </w:pPr>
            <w:r>
              <w:rPr>
                <w:rFonts w:ascii="宋体" w:hAnsi="宋体" w:eastAsia="宋体"/>
                <w:sz w:val="16"/>
              </w:rPr>
              <w:t>按照完成比例赋分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4571">
            <w:pPr>
              <w:jc w:val="center"/>
            </w:pPr>
            <w:r>
              <w:rPr>
                <w:rFonts w:ascii="宋体" w:hAnsi="宋体" w:eastAsia="宋体"/>
                <w:sz w:val="16"/>
              </w:rPr>
              <w:t>工作资料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DEDB">
            <w:pPr>
              <w:jc w:val="center"/>
            </w:pPr>
          </w:p>
        </w:tc>
      </w:tr>
      <w:tr w14:paraId="2DFDF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0E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18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59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E506">
            <w:pPr>
              <w:jc w:val="center"/>
            </w:pPr>
            <w:r>
              <w:rPr>
                <w:rFonts w:ascii="宋体" w:hAnsi="宋体" w:eastAsia="宋体"/>
                <w:sz w:val="16"/>
              </w:rPr>
              <w:t>审计工作经费保障率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713E">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7EA5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70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7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BAB2">
            <w:pPr>
              <w:jc w:val="center"/>
            </w:pPr>
            <w:r>
              <w:rPr>
                <w:rFonts w:ascii="宋体" w:hAnsi="宋体" w:eastAsia="宋体"/>
                <w:sz w:val="16"/>
              </w:rPr>
              <w:t>20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69887985">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CF4E">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775431F">
            <w:pPr>
              <w:jc w:val="center"/>
            </w:pPr>
            <w:r>
              <w:rPr>
                <w:rFonts w:ascii="宋体" w:hAnsi="宋体" w:eastAsia="宋体"/>
                <w:sz w:val="16"/>
              </w:rPr>
              <w:t>按照完成比例赋分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721EB">
            <w:pPr>
              <w:jc w:val="center"/>
            </w:pPr>
            <w:r>
              <w:rPr>
                <w:rFonts w:ascii="宋体" w:hAnsi="宋体" w:eastAsia="宋体"/>
                <w:sz w:val="16"/>
              </w:rPr>
              <w:t>工作资料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3E79">
            <w:pPr>
              <w:jc w:val="center"/>
            </w:pPr>
          </w:p>
        </w:tc>
      </w:tr>
      <w:tr w14:paraId="0EBAE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F1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16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64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1ABE">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CE3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B2A00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C47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6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06C6">
            <w:pPr>
              <w:jc w:val="center"/>
            </w:pPr>
            <w:r>
              <w:rPr>
                <w:rFonts w:ascii="宋体" w:hAnsi="宋体" w:eastAsia="宋体"/>
                <w:sz w:val="16"/>
              </w:rPr>
              <w:t>10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5764D151">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24466">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87132AA">
            <w:pPr>
              <w:jc w:val="center"/>
            </w:pPr>
            <w:r>
              <w:rPr>
                <w:rFonts w:ascii="宋体" w:hAnsi="宋体" w:eastAsia="宋体"/>
                <w:sz w:val="16"/>
              </w:rPr>
              <w:t>按照完成比例赋分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8E2E">
            <w:pPr>
              <w:jc w:val="center"/>
            </w:pPr>
            <w:r>
              <w:rPr>
                <w:rFonts w:ascii="宋体" w:hAnsi="宋体" w:eastAsia="宋体"/>
                <w:sz w:val="16"/>
              </w:rPr>
              <w:t>工作资料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2419D">
            <w:pPr>
              <w:jc w:val="center"/>
            </w:pPr>
          </w:p>
        </w:tc>
      </w:tr>
      <w:tr w14:paraId="229BF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8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BA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83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E6E8">
            <w:pPr>
              <w:jc w:val="center"/>
            </w:pPr>
            <w:r>
              <w:rPr>
                <w:rFonts w:ascii="宋体" w:hAnsi="宋体" w:eastAsia="宋体"/>
                <w:sz w:val="16"/>
              </w:rPr>
              <w:t>完成本年度援疆审计项目所需要的经费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56FF">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74103A">
            <w:pPr>
              <w:jc w:val="center"/>
            </w:pPr>
            <w:r>
              <w:rPr>
                <w:rFonts w:ascii="宋体" w:hAnsi="宋体" w:eastAsia="宋体"/>
                <w:sz w:val="16"/>
              </w:rPr>
              <w:t>&lt;=3846元/个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328E">
            <w:pPr>
              <w:jc w:val="center"/>
            </w:pPr>
            <w:r>
              <w:rPr>
                <w:rFonts w:ascii="宋体" w:hAnsi="宋体" w:eastAsia="宋体"/>
                <w:sz w:val="16"/>
              </w:rPr>
              <w:t>3846元/个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9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496C">
            <w:pPr>
              <w:jc w:val="center"/>
            </w:pPr>
            <w:r>
              <w:rPr>
                <w:rFonts w:ascii="宋体" w:hAnsi="宋体" w:eastAsia="宋体"/>
                <w:sz w:val="16"/>
              </w:rPr>
              <w:t>20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6A71F91E">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46460">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8D8161D">
            <w:pPr>
              <w:jc w:val="center"/>
            </w:pPr>
            <w:r>
              <w:rPr>
                <w:rFonts w:ascii="宋体" w:hAnsi="宋体" w:eastAsia="宋体"/>
                <w:sz w:val="16"/>
              </w:rPr>
              <w:t>按照完成比例赋分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6DA53">
            <w:pPr>
              <w:jc w:val="center"/>
            </w:pPr>
            <w:r>
              <w:rPr>
                <w:rFonts w:ascii="宋体" w:hAnsi="宋体" w:eastAsia="宋体"/>
                <w:sz w:val="16"/>
              </w:rPr>
              <w:t>原始凭证</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D06D3">
            <w:pPr>
              <w:jc w:val="center"/>
            </w:pPr>
          </w:p>
        </w:tc>
      </w:tr>
      <w:tr w14:paraId="13E21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D9D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1EA2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3EC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545E">
            <w:pPr>
              <w:jc w:val="center"/>
            </w:pPr>
            <w:r>
              <w:rPr>
                <w:rFonts w:ascii="宋体" w:hAnsi="宋体" w:eastAsia="宋体"/>
                <w:sz w:val="16"/>
              </w:rPr>
              <w:t>推动援疆各项工作有序、顺利进行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EA5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D27811">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6507">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B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ABF1">
            <w:pPr>
              <w:jc w:val="center"/>
            </w:pPr>
            <w:r>
              <w:rPr>
                <w:rFonts w:ascii="宋体" w:hAnsi="宋体" w:eastAsia="宋体"/>
                <w:sz w:val="16"/>
              </w:rPr>
              <w:t>10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5E68AE92">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9EF26">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253E8B1">
            <w:pPr>
              <w:jc w:val="center"/>
            </w:pPr>
            <w:r>
              <w:rPr>
                <w:rFonts w:ascii="宋体" w:hAnsi="宋体" w:eastAsia="宋体"/>
                <w:sz w:val="16"/>
              </w:rPr>
              <w:t>按评判等级赋分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4AE3">
            <w:pPr>
              <w:jc w:val="center"/>
            </w:pPr>
            <w:r>
              <w:rPr>
                <w:rFonts w:ascii="宋体" w:hAnsi="宋体" w:eastAsia="宋体"/>
                <w:sz w:val="16"/>
              </w:rPr>
              <w:t>工作资料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1FBCF">
            <w:pPr>
              <w:jc w:val="center"/>
            </w:pPr>
          </w:p>
        </w:tc>
      </w:tr>
      <w:tr w14:paraId="5E210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C0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8F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27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8F4D">
            <w:pPr>
              <w:jc w:val="center"/>
            </w:pPr>
            <w:r>
              <w:rPr>
                <w:rFonts w:ascii="宋体" w:hAnsi="宋体" w:eastAsia="宋体"/>
                <w:sz w:val="16"/>
              </w:rPr>
              <w:t>被审计</w:t>
            </w:r>
            <w:r>
              <w:rPr>
                <w:rFonts w:hint="eastAsia" w:ascii="宋体" w:hAnsi="宋体"/>
                <w:sz w:val="16"/>
                <w:lang w:eastAsia="zh-CN"/>
              </w:rPr>
              <w:t>单位</w:t>
            </w:r>
            <w:r>
              <w:rPr>
                <w:rFonts w:ascii="宋体" w:hAnsi="宋体" w:eastAsia="宋体"/>
                <w:sz w:val="16"/>
              </w:rPr>
              <w:t>根据审计建议建立健全规章制度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FD8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A44D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F6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5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FB3E">
            <w:pPr>
              <w:jc w:val="center"/>
            </w:pPr>
            <w:r>
              <w:rPr>
                <w:rFonts w:ascii="宋体" w:hAnsi="宋体" w:eastAsia="宋体"/>
                <w:sz w:val="16"/>
              </w:rPr>
              <w:t>10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7963360E">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4BA5">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E682D96">
            <w:pPr>
              <w:jc w:val="center"/>
            </w:pPr>
            <w:r>
              <w:rPr>
                <w:rFonts w:ascii="宋体" w:hAnsi="宋体" w:eastAsia="宋体"/>
                <w:sz w:val="16"/>
              </w:rPr>
              <w:t>按评判等级赋分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1ED95">
            <w:pPr>
              <w:jc w:val="center"/>
            </w:pPr>
            <w:r>
              <w:rPr>
                <w:rFonts w:ascii="宋体" w:hAnsi="宋体" w:eastAsia="宋体"/>
                <w:sz w:val="16"/>
              </w:rPr>
              <w:t>工作资料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A5F92">
            <w:pPr>
              <w:jc w:val="center"/>
            </w:pPr>
          </w:p>
        </w:tc>
      </w:tr>
      <w:tr w14:paraId="08AD0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E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13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0E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CCDD">
            <w:pPr>
              <w:jc w:val="center"/>
            </w:pPr>
            <w:r>
              <w:rPr>
                <w:rFonts w:ascii="宋体" w:hAnsi="宋体" w:eastAsia="宋体"/>
                <w:sz w:val="16"/>
              </w:rPr>
              <w:t>被审计</w:t>
            </w:r>
            <w:r>
              <w:rPr>
                <w:rFonts w:hint="eastAsia" w:ascii="宋体" w:hAnsi="宋体"/>
                <w:sz w:val="16"/>
                <w:lang w:eastAsia="zh-CN"/>
              </w:rPr>
              <w:t>单位</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BAA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A2B2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8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74A8">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2EBE">
            <w:pPr>
              <w:jc w:val="center"/>
            </w:pPr>
            <w:r>
              <w:rPr>
                <w:rFonts w:ascii="宋体" w:hAnsi="宋体" w:eastAsia="宋体"/>
                <w:sz w:val="16"/>
              </w:rPr>
              <w:t>10</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14FFE112">
            <w:pPr>
              <w:jc w:val="center"/>
            </w:pPr>
            <w:r>
              <w:rPr>
                <w:rFonts w:ascii="宋体" w:hAnsi="宋体" w:eastAsia="宋体"/>
                <w:sz w:val="16"/>
              </w:rPr>
              <w:t>计划标准</w:t>
            </w:r>
          </w:p>
        </w:tc>
        <w:tc>
          <w:tcPr>
            <w:tcW w:w="5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C461">
            <w:pPr>
              <w:jc w:val="center"/>
            </w:pPr>
            <w:r>
              <w:rPr>
                <w:rFonts w:ascii="宋体" w:hAnsi="宋体" w:eastAsia="宋体"/>
                <w:sz w:val="16"/>
              </w:rPr>
              <w:t>-</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15F865C">
            <w:pPr>
              <w:jc w:val="center"/>
            </w:pPr>
            <w:r>
              <w:rPr>
                <w:rFonts w:ascii="宋体" w:hAnsi="宋体" w:eastAsia="宋体"/>
                <w:sz w:val="16"/>
              </w:rPr>
              <w:t>满意度赋分</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B219">
            <w:pPr>
              <w:jc w:val="center"/>
            </w:pPr>
            <w:r>
              <w:rPr>
                <w:rFonts w:ascii="宋体" w:hAnsi="宋体" w:eastAsia="宋体"/>
                <w:sz w:val="16"/>
              </w:rPr>
              <w:t>工作资料</w:t>
            </w:r>
          </w:p>
        </w:tc>
        <w:tc>
          <w:tcPr>
            <w:tcW w:w="7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2FE2">
            <w:pPr>
              <w:jc w:val="center"/>
            </w:pPr>
            <w:r>
              <w:rPr>
                <w:rFonts w:ascii="宋体" w:hAnsi="宋体" w:eastAsia="宋体"/>
                <w:sz w:val="16"/>
              </w:rPr>
              <w:t>原因：因调查问卷涉及内容、问题数量较少、问卷设计、问题表述较简单选项设置不科学，被调查者数量少反馈信息不完整，在数据分析阶段，可能会出现对数据的不理解，数据分析方法不恰当导致产生偏差；整改措施：优化调查问卷的设计，合理</w:t>
            </w:r>
            <w:r>
              <w:rPr>
                <w:rFonts w:hint="eastAsia" w:ascii="宋体" w:hAnsi="宋体"/>
                <w:sz w:val="16"/>
                <w:lang w:eastAsia="zh-CN"/>
              </w:rPr>
              <w:t>地</w:t>
            </w:r>
            <w:r>
              <w:rPr>
                <w:rFonts w:ascii="宋体" w:hAnsi="宋体" w:eastAsia="宋体"/>
                <w:sz w:val="16"/>
              </w:rPr>
              <w:t>增加问题数量及内容，提高被调查者的参与度，提高数据收集的准确性，建立反馈机制。确保调查结果能够及时有效</w:t>
            </w:r>
            <w:r>
              <w:rPr>
                <w:rFonts w:hint="eastAsia" w:ascii="宋体" w:hAnsi="宋体"/>
                <w:sz w:val="16"/>
                <w:lang w:eastAsia="zh-CN"/>
              </w:rPr>
              <w:t>地</w:t>
            </w:r>
            <w:r>
              <w:rPr>
                <w:rFonts w:ascii="宋体" w:hAnsi="宋体" w:eastAsia="宋体"/>
                <w:sz w:val="16"/>
              </w:rPr>
              <w:t>处理，同时加强与被调查者的沟通，了解需求和期望，从而更好地改进工作。</w:t>
            </w:r>
          </w:p>
        </w:tc>
      </w:tr>
      <w:tr w14:paraId="5959A2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D8F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E65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C33C1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B3D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10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4C3B">
            <w:pPr>
              <w:jc w:val="center"/>
            </w:pPr>
            <w:r>
              <w:rPr>
                <w:rFonts w:ascii="宋体" w:hAnsi="宋体" w:eastAsia="宋体"/>
                <w:sz w:val="16"/>
              </w:rPr>
              <w:t>100分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tcPr>
          <w:p w14:paraId="6ACC23DA"/>
        </w:tc>
        <w:tc>
          <w:tcPr>
            <w:tcW w:w="494" w:type="dxa"/>
            <w:tcBorders>
              <w:top w:val="single" w:color="auto" w:sz="10" w:space="0"/>
              <w:left w:val="single" w:color="auto" w:sz="10" w:space="0"/>
              <w:bottom w:val="single" w:color="auto" w:sz="10" w:space="0"/>
              <w:right w:val="single" w:color="auto" w:sz="10" w:space="0"/>
              <w:insideV w:val="single" w:sz="10" w:space="0"/>
            </w:tcBorders>
          </w:tcPr>
          <w:p w14:paraId="6A848556"/>
        </w:tc>
        <w:tc>
          <w:tcPr>
            <w:tcW w:w="770" w:type="dxa"/>
            <w:gridSpan w:val="2"/>
            <w:tcBorders>
              <w:top w:val="single" w:color="auto" w:sz="10" w:space="0"/>
              <w:left w:val="single" w:color="auto" w:sz="10" w:space="0"/>
              <w:bottom w:val="single" w:color="auto" w:sz="10" w:space="0"/>
              <w:right w:val="single" w:color="auto" w:sz="10" w:space="0"/>
              <w:insideV w:val="single" w:sz="10" w:space="0"/>
            </w:tcBorders>
          </w:tcPr>
          <w:p w14:paraId="494FF013"/>
        </w:tc>
        <w:tc>
          <w:tcPr>
            <w:tcW w:w="632" w:type="dxa"/>
            <w:gridSpan w:val="2"/>
            <w:tcBorders>
              <w:top w:val="single" w:color="auto" w:sz="10" w:space="0"/>
              <w:left w:val="single" w:color="auto" w:sz="10" w:space="0"/>
              <w:bottom w:val="single" w:color="auto" w:sz="10" w:space="0"/>
              <w:right w:val="single" w:color="auto" w:sz="10" w:space="0"/>
              <w:insideV w:val="single" w:sz="10" w:space="0"/>
            </w:tcBorders>
          </w:tcPr>
          <w:p w14:paraId="5F2D74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FE7C0"/>
        </w:tc>
      </w:tr>
    </w:tbl>
    <w:p w14:paraId="69AC6D58">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1016"/>
        <w:gridCol w:w="612"/>
        <w:gridCol w:w="696"/>
        <w:gridCol w:w="630"/>
        <w:gridCol w:w="621"/>
        <w:gridCol w:w="612"/>
        <w:gridCol w:w="603"/>
        <w:gridCol w:w="603"/>
        <w:gridCol w:w="605"/>
        <w:gridCol w:w="604"/>
        <w:gridCol w:w="631"/>
      </w:tblGrid>
      <w:tr w14:paraId="7CDD5060">
        <w:tblPrEx>
          <w:tblCellMar>
            <w:top w:w="0" w:type="dxa"/>
            <w:left w:w="108" w:type="dxa"/>
            <w:bottom w:w="0" w:type="dxa"/>
            <w:right w:w="108" w:type="dxa"/>
          </w:tblCellMar>
        </w:tblPrEx>
        <w:tc>
          <w:tcPr>
            <w:tcW w:w="8848" w:type="dxa"/>
            <w:gridSpan w:val="14"/>
            <w:vAlign w:val="center"/>
          </w:tcPr>
          <w:p w14:paraId="14FBC9EF">
            <w:pPr>
              <w:jc w:val="center"/>
            </w:pPr>
            <w:r>
              <w:rPr>
                <w:rFonts w:ascii="宋体" w:hAnsi="宋体" w:eastAsia="宋体"/>
                <w:sz w:val="24"/>
              </w:rPr>
              <w:t>项目支出绩效自评表</w:t>
            </w:r>
          </w:p>
        </w:tc>
      </w:tr>
      <w:tr w14:paraId="21942135">
        <w:tblPrEx>
          <w:tblCellMar>
            <w:top w:w="0" w:type="dxa"/>
            <w:left w:w="108" w:type="dxa"/>
            <w:bottom w:w="0" w:type="dxa"/>
            <w:right w:w="108" w:type="dxa"/>
          </w:tblCellMar>
        </w:tblPrEx>
        <w:tc>
          <w:tcPr>
            <w:tcW w:w="8848" w:type="dxa"/>
            <w:gridSpan w:val="14"/>
            <w:vAlign w:val="center"/>
          </w:tcPr>
          <w:p w14:paraId="17D8BAB6">
            <w:pPr>
              <w:jc w:val="center"/>
            </w:pPr>
            <w:r>
              <w:rPr>
                <w:rFonts w:ascii="宋体" w:hAnsi="宋体" w:eastAsia="宋体"/>
                <w:sz w:val="24"/>
              </w:rPr>
              <w:t>(2024年度)</w:t>
            </w:r>
          </w:p>
        </w:tc>
      </w:tr>
      <w:tr w14:paraId="195267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64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4AB2E8">
            <w:pPr>
              <w:jc w:val="center"/>
            </w:pPr>
            <w:r>
              <w:rPr>
                <w:rFonts w:ascii="宋体" w:hAnsi="宋体" w:eastAsia="宋体"/>
                <w:sz w:val="16"/>
              </w:rPr>
              <w:t>项目结算审计费</w:t>
            </w:r>
          </w:p>
        </w:tc>
      </w:tr>
      <w:tr w14:paraId="7C3BA2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19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B53F5">
            <w:pPr>
              <w:jc w:val="center"/>
            </w:pPr>
            <w:r>
              <w:rPr>
                <w:rFonts w:ascii="宋体" w:hAnsi="宋体" w:eastAsia="宋体"/>
                <w:sz w:val="16"/>
              </w:rPr>
              <w:t>特克斯县审计局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A43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9549C">
            <w:pPr>
              <w:jc w:val="center"/>
            </w:pPr>
            <w:r>
              <w:rPr>
                <w:rFonts w:ascii="宋体" w:hAnsi="宋体" w:eastAsia="宋体"/>
                <w:sz w:val="16"/>
              </w:rPr>
              <w:t>特克斯县审计局</w:t>
            </w:r>
          </w:p>
        </w:tc>
      </w:tr>
      <w:tr w14:paraId="1632F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E8F3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C6B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02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2F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D5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082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828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B858">
            <w:pPr>
              <w:jc w:val="center"/>
            </w:pPr>
            <w:r>
              <w:rPr>
                <w:rFonts w:ascii="宋体" w:hAnsi="宋体" w:eastAsia="宋体"/>
                <w:sz w:val="16"/>
              </w:rPr>
              <w:t>得分</w:t>
            </w:r>
          </w:p>
        </w:tc>
      </w:tr>
      <w:tr w14:paraId="336FE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21E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D5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1C52">
            <w:pPr>
              <w:jc w:val="center"/>
            </w:pPr>
            <w:r>
              <w:rPr>
                <w:rFonts w:ascii="宋体" w:hAnsi="宋体" w:eastAsia="宋体"/>
                <w:sz w:val="16"/>
              </w:rPr>
              <w:t>100.73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4CFB">
            <w:pPr>
              <w:jc w:val="center"/>
            </w:pPr>
            <w:r>
              <w:rPr>
                <w:rFonts w:ascii="宋体" w:hAnsi="宋体" w:eastAsia="宋体"/>
                <w:sz w:val="16"/>
              </w:rPr>
              <w:t>100.73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E94A">
            <w:pPr>
              <w:jc w:val="center"/>
            </w:pPr>
            <w:r>
              <w:rPr>
                <w:rFonts w:ascii="宋体" w:hAnsi="宋体" w:eastAsia="宋体"/>
                <w:sz w:val="16"/>
              </w:rPr>
              <w:t>100.73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98C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87A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6716">
            <w:pPr>
              <w:jc w:val="center"/>
            </w:pPr>
            <w:r>
              <w:rPr>
                <w:rFonts w:ascii="宋体" w:hAnsi="宋体" w:eastAsia="宋体"/>
                <w:sz w:val="16"/>
              </w:rPr>
              <w:t>10.00</w:t>
            </w:r>
          </w:p>
        </w:tc>
      </w:tr>
      <w:tr w14:paraId="69799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C0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99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C5716">
            <w:pPr>
              <w:jc w:val="center"/>
            </w:pPr>
            <w:r>
              <w:rPr>
                <w:rFonts w:ascii="宋体" w:hAnsi="宋体" w:eastAsia="宋体"/>
                <w:sz w:val="16"/>
              </w:rPr>
              <w:t>100.73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79CAD">
            <w:pPr>
              <w:jc w:val="center"/>
            </w:pPr>
            <w:r>
              <w:rPr>
                <w:rFonts w:ascii="宋体" w:hAnsi="宋体" w:eastAsia="宋体"/>
                <w:sz w:val="16"/>
              </w:rPr>
              <w:t>100.73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D623">
            <w:pPr>
              <w:jc w:val="center"/>
            </w:pPr>
            <w:r>
              <w:rPr>
                <w:rFonts w:ascii="宋体" w:hAnsi="宋体" w:eastAsia="宋体"/>
                <w:sz w:val="16"/>
              </w:rPr>
              <w:t>100.73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15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EE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DA38">
            <w:pPr>
              <w:jc w:val="center"/>
            </w:pPr>
            <w:r>
              <w:rPr>
                <w:rFonts w:ascii="宋体" w:hAnsi="宋体" w:eastAsia="宋体"/>
                <w:sz w:val="16"/>
              </w:rPr>
              <w:t>—</w:t>
            </w:r>
          </w:p>
        </w:tc>
      </w:tr>
      <w:tr w14:paraId="2665F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E8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61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A1C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B3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1A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AE5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BC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92F9">
            <w:pPr>
              <w:jc w:val="center"/>
            </w:pPr>
            <w:r>
              <w:rPr>
                <w:rFonts w:ascii="宋体" w:hAnsi="宋体" w:eastAsia="宋体"/>
                <w:sz w:val="16"/>
              </w:rPr>
              <w:t>—</w:t>
            </w:r>
          </w:p>
        </w:tc>
      </w:tr>
      <w:tr w14:paraId="7385F8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FB8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931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20A5EC">
            <w:pPr>
              <w:jc w:val="center"/>
            </w:pPr>
            <w:r>
              <w:rPr>
                <w:rFonts w:ascii="宋体" w:hAnsi="宋体" w:eastAsia="宋体"/>
                <w:sz w:val="16"/>
              </w:rPr>
              <w:t>实际完成情况</w:t>
            </w:r>
          </w:p>
        </w:tc>
      </w:tr>
      <w:tr w14:paraId="42718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1F7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18BD3">
            <w:pPr>
              <w:jc w:val="both"/>
            </w:pPr>
            <w:r>
              <w:rPr>
                <w:rFonts w:ascii="宋体" w:hAnsi="宋体" w:eastAsia="宋体"/>
                <w:sz w:val="16"/>
              </w:rPr>
              <w:t>对项目成果进行审查，使财政资金发挥更大效益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45A50A">
            <w:pPr>
              <w:jc w:val="both"/>
            </w:pPr>
            <w:r>
              <w:rPr>
                <w:rFonts w:hint="eastAsia" w:ascii="宋体" w:hAnsi="宋体"/>
                <w:sz w:val="16"/>
                <w:lang w:eastAsia="zh-CN"/>
              </w:rPr>
              <w:t>截至</w:t>
            </w:r>
            <w:r>
              <w:rPr>
                <w:rFonts w:ascii="宋体" w:hAnsi="宋体" w:eastAsia="宋体"/>
                <w:sz w:val="16"/>
              </w:rPr>
              <w:t>2024年12月已支付完成消化暂付款三个项目费用，使财政资金发挥更大效益</w:t>
            </w:r>
          </w:p>
        </w:tc>
      </w:tr>
      <w:tr w14:paraId="72E8D1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3CE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E3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AB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22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BB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76C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0B7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C5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2A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C0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D7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BE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F0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4F04">
            <w:pPr>
              <w:jc w:val="center"/>
            </w:pPr>
            <w:r>
              <w:rPr>
                <w:rFonts w:ascii="宋体" w:hAnsi="宋体" w:eastAsia="宋体"/>
                <w:sz w:val="16"/>
              </w:rPr>
              <w:t>偏差原因分析及改进措施</w:t>
            </w:r>
          </w:p>
        </w:tc>
      </w:tr>
      <w:tr w14:paraId="011306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CDC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E34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3A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DC8B">
            <w:pPr>
              <w:jc w:val="center"/>
            </w:pPr>
            <w:r>
              <w:rPr>
                <w:rFonts w:ascii="宋体" w:hAnsi="宋体" w:eastAsia="宋体"/>
                <w:sz w:val="16"/>
              </w:rPr>
              <w:t>项目审核数量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2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E0BD">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E57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7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9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1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4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0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C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95AD">
            <w:pPr>
              <w:jc w:val="center"/>
            </w:pPr>
          </w:p>
        </w:tc>
      </w:tr>
      <w:tr w14:paraId="277E8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8D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4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45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7FAB">
            <w:pPr>
              <w:jc w:val="center"/>
            </w:pPr>
            <w:r>
              <w:rPr>
                <w:rFonts w:ascii="宋体" w:hAnsi="宋体" w:eastAsia="宋体"/>
                <w:sz w:val="16"/>
              </w:rPr>
              <w:t>依据国家相关规定完成审结算率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E5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C53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D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B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FE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3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B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7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D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CF46">
            <w:pPr>
              <w:jc w:val="center"/>
            </w:pPr>
          </w:p>
        </w:tc>
      </w:tr>
      <w:tr w14:paraId="6755C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48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5F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876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EF83">
            <w:pPr>
              <w:jc w:val="center"/>
            </w:pPr>
            <w:r>
              <w:rPr>
                <w:rFonts w:ascii="宋体" w:hAnsi="宋体" w:eastAsia="宋体"/>
                <w:sz w:val="16"/>
              </w:rPr>
              <w:t>项目审核按时</w:t>
            </w:r>
            <w:r>
              <w:rPr>
                <w:rFonts w:hint="eastAsia" w:ascii="宋体" w:hAnsi="宋体"/>
                <w:sz w:val="16"/>
                <w:lang w:eastAsia="zh-CN"/>
              </w:rPr>
              <w:t>完成</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30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710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7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F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9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2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4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6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F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8042">
            <w:pPr>
              <w:jc w:val="center"/>
            </w:pPr>
          </w:p>
        </w:tc>
      </w:tr>
      <w:tr w14:paraId="3B636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E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94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30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1810">
            <w:pPr>
              <w:jc w:val="center"/>
            </w:pPr>
            <w:r>
              <w:rPr>
                <w:rFonts w:ascii="宋体" w:hAnsi="宋体" w:eastAsia="宋体"/>
                <w:sz w:val="16"/>
              </w:rPr>
              <w:t>项目审核结算资金支付率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E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FA9A">
            <w:pPr>
              <w:jc w:val="center"/>
              <w:rPr>
                <w:rFonts w:hint="eastAsia" w:eastAsia="宋体"/>
                <w:lang w:eastAsia="zh-CN"/>
              </w:rPr>
            </w:pPr>
            <w:r>
              <w:rPr>
                <w:rFonts w:ascii="宋体" w:hAnsi="宋体" w:eastAsia="宋体"/>
                <w:sz w:val="16"/>
              </w:rPr>
              <w:t>&gt;=</w:t>
            </w:r>
            <w:r>
              <w:rPr>
                <w:rFonts w:hint="eastAsia" w:ascii="宋体" w:hAnsi="宋体"/>
                <w:sz w:val="16"/>
                <w:lang w:eastAsia="zh-CN"/>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81B2">
            <w:pPr>
              <w:jc w:val="center"/>
              <w:rPr>
                <w:rFonts w:hint="eastAsia" w:eastAsia="宋体"/>
                <w:lang w:eastAsia="zh-CN"/>
              </w:rPr>
            </w:pPr>
            <w:r>
              <w:rPr>
                <w:rFonts w:hint="eastAsia" w:ascii="宋体" w:hAnsi="宋体"/>
                <w:sz w:val="16"/>
                <w:lang w:eastAsia="zh-CN"/>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7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6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A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E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8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D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D184">
            <w:pPr>
              <w:jc w:val="center"/>
            </w:pPr>
          </w:p>
        </w:tc>
      </w:tr>
      <w:tr w14:paraId="761DD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BEC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D56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2E0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2681">
            <w:pPr>
              <w:jc w:val="center"/>
            </w:pPr>
            <w:r>
              <w:rPr>
                <w:rFonts w:ascii="宋体" w:hAnsi="宋体" w:eastAsia="宋体"/>
                <w:sz w:val="16"/>
              </w:rPr>
              <w:t>人居环境项目审核结算资金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3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5F5C">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4ACB">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C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E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8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3A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F70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AB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4B53">
            <w:pPr>
              <w:jc w:val="center"/>
            </w:pPr>
          </w:p>
        </w:tc>
      </w:tr>
      <w:tr w14:paraId="55D8F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5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E7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7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5B8E">
            <w:pPr>
              <w:jc w:val="center"/>
            </w:pPr>
            <w:r>
              <w:rPr>
                <w:rFonts w:ascii="宋体" w:hAnsi="宋体" w:eastAsia="宋体"/>
                <w:sz w:val="16"/>
              </w:rPr>
              <w:t>巴喀勒克水库项目审核结算资金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89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D109">
            <w:pPr>
              <w:jc w:val="center"/>
            </w:pPr>
            <w:r>
              <w:rPr>
                <w:rFonts w:ascii="宋体" w:hAnsi="宋体" w:eastAsia="宋体"/>
                <w:sz w:val="16"/>
              </w:rPr>
              <w:t>=30.37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CA20">
            <w:pPr>
              <w:jc w:val="center"/>
            </w:pPr>
            <w:r>
              <w:rPr>
                <w:rFonts w:ascii="宋体" w:hAnsi="宋体" w:eastAsia="宋体"/>
                <w:sz w:val="16"/>
              </w:rPr>
              <w:t>30.37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5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2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7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A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127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D3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BDAD">
            <w:pPr>
              <w:jc w:val="center"/>
            </w:pPr>
          </w:p>
        </w:tc>
      </w:tr>
      <w:tr w14:paraId="34C0E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8E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2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ED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6AF3">
            <w:pPr>
              <w:jc w:val="center"/>
            </w:pPr>
            <w:r>
              <w:rPr>
                <w:rFonts w:ascii="宋体" w:hAnsi="宋体" w:eastAsia="宋体"/>
                <w:sz w:val="16"/>
              </w:rPr>
              <w:t>ZYJNJYPXZX建设项目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5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8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7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9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57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0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26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AAB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08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C26D">
            <w:pPr>
              <w:jc w:val="center"/>
            </w:pPr>
          </w:p>
        </w:tc>
      </w:tr>
      <w:tr w14:paraId="45652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89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9E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D7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90F3">
            <w:pPr>
              <w:jc w:val="center"/>
            </w:pPr>
            <w:r>
              <w:rPr>
                <w:rFonts w:ascii="宋体" w:hAnsi="宋体" w:eastAsia="宋体"/>
                <w:sz w:val="16"/>
              </w:rPr>
              <w:t>推动各项目审计工作有序顺利进行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32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4576">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EC92">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C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C6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C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5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CD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50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49D7">
            <w:pPr>
              <w:jc w:val="center"/>
            </w:pPr>
          </w:p>
        </w:tc>
      </w:tr>
      <w:tr w14:paraId="1B8C0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D1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BC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09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851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1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9AA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C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D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A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9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F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C7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2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C3C8">
            <w:pPr>
              <w:jc w:val="center"/>
            </w:pPr>
          </w:p>
        </w:tc>
      </w:tr>
      <w:tr w14:paraId="5C266C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6291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E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EEFC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B4B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AA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992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B12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3D40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CC2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1D6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53EEB"/>
        </w:tc>
      </w:tr>
    </w:tbl>
    <w:p w14:paraId="176C7CC7">
      <w:r>
        <w:br w:type="page"/>
      </w:r>
    </w:p>
    <w:p w14:paraId="5B076270">
      <w:pPr>
        <w:spacing w:line="640" w:lineRule="exact"/>
        <w:ind w:firstLine="640"/>
        <w:jc w:val="both"/>
        <w:outlineLvl w:val="2"/>
      </w:pPr>
      <w:r>
        <w:rPr>
          <w:rFonts w:ascii="黑体" w:hAnsi="黑体" w:eastAsia="黑体"/>
          <w:sz w:val="32"/>
        </w:rPr>
        <w:t>十二、其他需说明的事项</w:t>
      </w:r>
    </w:p>
    <w:p w14:paraId="55C3DAD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08EDE59">
      <w:r>
        <w:br w:type="page"/>
      </w:r>
    </w:p>
    <w:p w14:paraId="0F79DCC0">
      <w:pPr>
        <w:spacing w:line="240" w:lineRule="auto"/>
        <w:jc w:val="center"/>
        <w:outlineLvl w:val="1"/>
      </w:pPr>
      <w:r>
        <w:rPr>
          <w:rFonts w:ascii="黑体" w:hAnsi="黑体" w:eastAsia="黑体"/>
          <w:sz w:val="32"/>
        </w:rPr>
        <w:t>第三部分 专业名词解释</w:t>
      </w:r>
    </w:p>
    <w:p w14:paraId="40CBD69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8F12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AB58E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497C0E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1F480C0">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AFFC88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5468BD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763BB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B750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8AF6D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471C8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300342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58B140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5DF4CE8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5AC8149">
      <w:r>
        <w:br w:type="page"/>
      </w:r>
    </w:p>
    <w:p w14:paraId="37896AAB">
      <w:pPr>
        <w:spacing w:line="240" w:lineRule="auto"/>
        <w:jc w:val="center"/>
        <w:outlineLvl w:val="1"/>
      </w:pPr>
      <w:r>
        <w:rPr>
          <w:rFonts w:ascii="黑体" w:hAnsi="黑体" w:eastAsia="黑体"/>
          <w:sz w:val="32"/>
        </w:rPr>
        <w:t>第四部分 部门决算报表（见附表）</w:t>
      </w:r>
    </w:p>
    <w:p w14:paraId="1AD310F5">
      <w:pPr>
        <w:spacing w:line="240" w:lineRule="auto"/>
        <w:ind w:firstLine="640"/>
        <w:jc w:val="both"/>
      </w:pPr>
      <w:r>
        <w:rPr>
          <w:rFonts w:ascii="仿宋_GB2312" w:hAnsi="仿宋_GB2312" w:eastAsia="仿宋_GB2312"/>
          <w:b w:val="0"/>
          <w:sz w:val="32"/>
        </w:rPr>
        <w:t>一、《收入支出决算总表》</w:t>
      </w:r>
    </w:p>
    <w:p w14:paraId="59DCBF09">
      <w:pPr>
        <w:spacing w:line="240" w:lineRule="auto"/>
        <w:ind w:firstLine="640"/>
        <w:jc w:val="both"/>
      </w:pPr>
      <w:r>
        <w:rPr>
          <w:rFonts w:ascii="仿宋_GB2312" w:hAnsi="仿宋_GB2312" w:eastAsia="仿宋_GB2312"/>
          <w:b w:val="0"/>
          <w:sz w:val="32"/>
        </w:rPr>
        <w:t>二、《收入决算表》</w:t>
      </w:r>
    </w:p>
    <w:p w14:paraId="45102D54">
      <w:pPr>
        <w:spacing w:line="240" w:lineRule="auto"/>
        <w:ind w:firstLine="640"/>
        <w:jc w:val="both"/>
      </w:pPr>
      <w:r>
        <w:rPr>
          <w:rFonts w:ascii="仿宋_GB2312" w:hAnsi="仿宋_GB2312" w:eastAsia="仿宋_GB2312"/>
          <w:b w:val="0"/>
          <w:sz w:val="32"/>
        </w:rPr>
        <w:t>三、《支出决算表》</w:t>
      </w:r>
    </w:p>
    <w:p w14:paraId="433665E0">
      <w:pPr>
        <w:spacing w:line="240" w:lineRule="auto"/>
        <w:ind w:firstLine="640"/>
        <w:jc w:val="both"/>
      </w:pPr>
      <w:r>
        <w:rPr>
          <w:rFonts w:ascii="仿宋_GB2312" w:hAnsi="仿宋_GB2312" w:eastAsia="仿宋_GB2312"/>
          <w:b w:val="0"/>
          <w:sz w:val="32"/>
        </w:rPr>
        <w:t>四、《财政拨款收入支出决算总表》</w:t>
      </w:r>
    </w:p>
    <w:p w14:paraId="74F9CDC0">
      <w:pPr>
        <w:spacing w:line="240" w:lineRule="auto"/>
        <w:ind w:firstLine="640"/>
        <w:jc w:val="both"/>
      </w:pPr>
      <w:r>
        <w:rPr>
          <w:rFonts w:ascii="仿宋_GB2312" w:hAnsi="仿宋_GB2312" w:eastAsia="仿宋_GB2312"/>
          <w:b w:val="0"/>
          <w:sz w:val="32"/>
        </w:rPr>
        <w:t>五、《一般公共预算财政拨款支出决算表》</w:t>
      </w:r>
    </w:p>
    <w:p w14:paraId="6FA04D95">
      <w:pPr>
        <w:spacing w:line="240" w:lineRule="auto"/>
        <w:ind w:firstLine="640"/>
        <w:jc w:val="both"/>
      </w:pPr>
      <w:r>
        <w:rPr>
          <w:rFonts w:ascii="仿宋_GB2312" w:hAnsi="仿宋_GB2312" w:eastAsia="仿宋_GB2312"/>
          <w:b w:val="0"/>
          <w:sz w:val="32"/>
        </w:rPr>
        <w:t>六、《一般公共预算财政拨款基本支出决算表》</w:t>
      </w:r>
    </w:p>
    <w:p w14:paraId="58E0E4E6">
      <w:pPr>
        <w:spacing w:line="240" w:lineRule="auto"/>
        <w:ind w:firstLine="640"/>
        <w:jc w:val="both"/>
      </w:pPr>
      <w:r>
        <w:rPr>
          <w:rFonts w:ascii="仿宋_GB2312" w:hAnsi="仿宋_GB2312" w:eastAsia="仿宋_GB2312"/>
          <w:b w:val="0"/>
          <w:sz w:val="32"/>
        </w:rPr>
        <w:t>七、《政府性基金预算财政拨款收入支出决算表》</w:t>
      </w:r>
    </w:p>
    <w:p w14:paraId="03D2CEA7">
      <w:pPr>
        <w:spacing w:line="240" w:lineRule="auto"/>
        <w:ind w:firstLine="640"/>
        <w:jc w:val="both"/>
      </w:pPr>
      <w:r>
        <w:rPr>
          <w:rFonts w:ascii="仿宋_GB2312" w:hAnsi="仿宋_GB2312" w:eastAsia="仿宋_GB2312"/>
          <w:b w:val="0"/>
          <w:sz w:val="32"/>
        </w:rPr>
        <w:t>八、《国有资本经营预算财政拨款收入支出决算表》</w:t>
      </w:r>
    </w:p>
    <w:p w14:paraId="543A76CF">
      <w:pPr>
        <w:spacing w:line="240" w:lineRule="auto"/>
        <w:ind w:firstLine="640"/>
        <w:jc w:val="both"/>
      </w:pPr>
      <w:r>
        <w:rPr>
          <w:rFonts w:ascii="仿宋_GB2312" w:hAnsi="仿宋_GB2312" w:eastAsia="仿宋_GB2312"/>
          <w:b w:val="0"/>
          <w:sz w:val="32"/>
        </w:rPr>
        <w:t>九、《财政拨款“三公”经费支出决算表》</w:t>
      </w:r>
    </w:p>
    <w:p w14:paraId="36CF9A87">
      <w:pPr>
        <w:spacing w:line="240" w:lineRule="auto"/>
        <w:ind w:firstLine="640"/>
        <w:jc w:val="both"/>
      </w:pPr>
    </w:p>
    <w:p w14:paraId="1301E757">
      <w:pPr>
        <w:spacing w:line="240" w:lineRule="auto"/>
        <w:ind w:firstLine="640"/>
        <w:jc w:val="both"/>
      </w:pPr>
    </w:p>
    <w:p w14:paraId="4D200B95">
      <w:pPr>
        <w:spacing w:line="240" w:lineRule="auto"/>
        <w:ind w:firstLine="640"/>
        <w:jc w:val="both"/>
      </w:pPr>
    </w:p>
    <w:p w14:paraId="23525225">
      <w:pPr>
        <w:spacing w:line="240" w:lineRule="auto"/>
        <w:ind w:firstLine="640"/>
        <w:jc w:val="both"/>
      </w:pPr>
    </w:p>
    <w:p w14:paraId="294E0D4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066480"/>
    <w:rsid w:val="19071D6C"/>
    <w:rsid w:val="19B5554D"/>
    <w:rsid w:val="1B8F2D19"/>
    <w:rsid w:val="1C317E4F"/>
    <w:rsid w:val="1C472464"/>
    <w:rsid w:val="1DAF458D"/>
    <w:rsid w:val="1E086ACE"/>
    <w:rsid w:val="1E4B5CA5"/>
    <w:rsid w:val="1EAA4A5F"/>
    <w:rsid w:val="1F587A0B"/>
    <w:rsid w:val="2064678E"/>
    <w:rsid w:val="20BC0B75"/>
    <w:rsid w:val="20D4773E"/>
    <w:rsid w:val="20DD6197"/>
    <w:rsid w:val="21F317F2"/>
    <w:rsid w:val="2241392C"/>
    <w:rsid w:val="23BC04D2"/>
    <w:rsid w:val="247A5BEA"/>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B746DA"/>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a0b7b271-6364-4a6c-b710-1d33233b07dd</errorID>
      <errorWord>债</errorWord>
      <group>L1_Sensitive</group>
      <groupName>敏感问题</groupName>
      <ability>L2_UserSensitive</ability>
      <abilityName>自定义敏感词</abilityName>
      <candidateList/>
      <explain>来自自定义敏感词库。</explain>
      <paraID>533852C4</paraID>
      <start>288</start>
      <end>289</end>
      <status>ignored</status>
      <modifiedWord/>
      <trackRevisions>false</trackRevisions>
    </reviewItem>
    <reviewItem>
      <errorID>13bdad73-9efe-4ba1-80c9-b820a7b1c5bf</errorID>
      <errorWord>2月31日</errorWord>
      <group>L1_Sensitive</group>
      <groupName>敏感问题</groupName>
      <ability>L2_UserSensitive</ability>
      <abilityName>自定义敏感词</abilityName>
      <candidateList/>
      <explain>来自自定义敏感词库。</explain>
      <paraID>  C18721</paraID>
      <start>8</start>
      <end>13</end>
      <status>ignored</status>
      <modifiedWord/>
      <trackRevisions>false</trackRevisions>
    </reviewItem>
    <reviewItem>
      <errorID>7fa0f3c0-0bce-4704-a56e-c6048d06aa7f</errorID>
      <errorWord>指示批示精神</errorWord>
      <group>L1_Sensitive</group>
      <groupName>敏感问题</groupName>
      <ability>L2_UserSensitive</ability>
      <abilityName>自定义敏感词</abilityName>
      <candidateList/>
      <explain>来自自定义敏感词库。</explain>
      <paraID>7D830B97</paraID>
      <start>71</start>
      <end>77</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dd74e7-3d97-4031-b804-c74f3c345992}">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6231</Words>
  <Characters>7008</Characters>
  <Lines>0</Lines>
  <Paragraphs>0</Paragraphs>
  <TotalTime>5</TotalTime>
  <ScaleCrop>false</ScaleCrop>
  <LinksUpToDate>false</LinksUpToDate>
  <CharactersWithSpaces>7016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