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E3E8F"/>
    <w:p w14:paraId="7E0EB10A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6506495A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59428E94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409EF08B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4F771311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2024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农业经营主体能力提升项目支出绩效评价报告</w:t>
      </w:r>
    </w:p>
    <w:p w14:paraId="31BEA06F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09A6CF97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年度）</w:t>
      </w:r>
    </w:p>
    <w:p w14:paraId="5BA48F6D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3B3970A9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48E4C874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6C42BDC4">
      <w:pPr>
        <w:spacing w:line="540" w:lineRule="exact"/>
        <w:jc w:val="both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08828A4F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32E27E6D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项目名称：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农业经营主体能力提升项目</w:t>
      </w:r>
    </w:p>
    <w:p w14:paraId="1A27D3E3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实施单位（公章）：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特克斯县农业农村局</w:t>
      </w:r>
    </w:p>
    <w:p w14:paraId="2B1B3C52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主管部门（公章）：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特克斯县农业农村局</w:t>
      </w:r>
    </w:p>
    <w:p w14:paraId="6725567E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项目负责人（签章）：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刘绍刚</w:t>
      </w:r>
    </w:p>
    <w:p w14:paraId="7C670216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填报时间：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日</w:t>
      </w:r>
    </w:p>
    <w:p w14:paraId="5FCC4769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38C3AE23">
      <w:pPr>
        <w:spacing w:line="540" w:lineRule="exact"/>
        <w:rPr>
          <w:rStyle w:val="19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0AD31535">
      <w:pPr>
        <w:spacing w:line="540" w:lineRule="exact"/>
        <w:ind w:firstLine="640"/>
        <w:rPr>
          <w:rStyle w:val="19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2737422F">
      <w:pPr>
        <w:spacing w:line="540" w:lineRule="exact"/>
        <w:rPr>
          <w:rStyle w:val="19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37A51286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</w:p>
    <w:p w14:paraId="7164C159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37981CD7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28431B22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3E6ABD93">
      <w:pPr>
        <w:pStyle w:val="14"/>
        <w:numPr>
          <w:ilvl w:val="0"/>
          <w:numId w:val="0"/>
        </w:numPr>
        <w:spacing w:before="0" w:after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中共中央办公厅、国务院办公厅印发的《关于加快构建政策体系培育新型农业经营主体的意见》也指出，培育新型农业经营主体对于推进农业供给侧结构性改革、引领农业适度规模经营发展等具有重要意义。在此背景下，农业农村部启动实施了新型农业经营主体提升行动，各地也纷纷出台相关政策，推动农业经营主体能力提升项目的实施。</w:t>
      </w:r>
    </w:p>
    <w:p w14:paraId="7D826B92">
      <w:pPr>
        <w:pStyle w:val="14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0D052C2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项目主要内容：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2024年度下达中央农业经营主体能力提升项目总预算资金为875万元，资金到位875，到位率100%,其中：奶业新型经营主体培育项目到位资金35万元，新型农业经营主体生产经营能力提升（新型农业经营主体培育）项目到位资金90万元，中央粮油单产提升行动（新型农业经营主体培育）项目到位资金38万元，中央高素质农民培育项目到位资金142万元，中央农业社会化服务项目到位资金500万元，中央基层农技推广体系改革与建设项目到位资金70万元。</w:t>
      </w:r>
    </w:p>
    <w:p w14:paraId="50AE7AD1"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项目实施情况：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截止到20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年度用于中央农业经营主体能力提升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的资金总计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875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万元、共计执行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724.83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82.84</w:t>
      </w:r>
      <w:r>
        <w:rPr>
          <w:rFonts w:hint="eastAsia" w:ascii="仿宋_GB2312" w:hAnsi="仿宋_GB2312" w:eastAsia="仿宋_GB2312" w:cs="仿宋_GB2312"/>
          <w:sz w:val="32"/>
          <w:szCs w:val="32"/>
        </w:rPr>
        <w:t>%，具体如下：</w:t>
      </w:r>
    </w:p>
    <w:p w14:paraId="643F621F">
      <w:pPr>
        <w:widowControl w:val="0"/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年度用于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粮油单产提升行动项目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的资金总计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万元、共计执行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%，具体如下：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特克斯县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结合工作实际，将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用于奖补春小麦和玉米。其中春小麦16300亩，奖补资金76.5万元，奖补种植户57户；玉米1500亩，奖补资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金7.5万元，奖补种植户11户。</w:t>
      </w:r>
    </w:p>
    <w:p w14:paraId="57B6AFF2">
      <w:pPr>
        <w:tabs>
          <w:tab w:val="left" w:pos="1260"/>
        </w:tabs>
        <w:wordWrap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截止到20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日，202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年度用于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农业经营主体能力提升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的资金总计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万元、共计执行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万元，执行率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具体如下：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分别补助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3家农民专业合作社提升，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每个合作社提升补助20万元（分别是1、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特克斯县健堂蜂业养殖农民专业合作社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；2、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特克斯县山花养蜂专业合作社；3、特克斯县兄弟农机合作社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）；分别补助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家庭农场5家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，每个家庭农场提升补助6万元（分别是1、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特克斯县佳新家庭农场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；2、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特克斯县佳新家庭农场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；3、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特克斯县苏力坦勒艾力家庭农场；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特克斯县穗仓家庭农场；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特克斯县穗仓家庭农场）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4E0DC169">
      <w:pPr>
        <w:tabs>
          <w:tab w:val="left" w:pos="1260"/>
        </w:tabs>
        <w:wordWrap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截止到2024年12月30日，2024年度用高素质农民培训项目的资金总计142万元、共计执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115.17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万元，执行率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81.1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%，具体如下：2024年高素质农民培训完成资金拨付83.54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，农民综合素养（移风易俗）提升培训资金拨付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31.63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万元。</w:t>
      </w:r>
    </w:p>
    <w:p w14:paraId="28FE66F3">
      <w:pPr>
        <w:pStyle w:val="6"/>
        <w:wordWrap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截止到2024年12月30日，2024年度用农业社会化服务项目的资金总计500万元、共计执500万元，执行率100%，具体如下：在乔拉克铁热克镇，阔克铁热克柯尔克孜民族乡，齐勒乌泽克镇，喀拉达拉镇，喀拉托海镇等5个乡镇为项目实施区域，开展玉米、小麦等粮食作物农业生产托管服务项目，已完成农机深松深耕和部分收获92594亩，完成支付资金500万元。</w:t>
      </w:r>
    </w:p>
    <w:p w14:paraId="4B47708F">
      <w:p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截止到2024年10月17日，2024年度用于基层农技推广体系改革与建设补助项目的资金总计70万元、共计执行70万元，执行率100%，具体如下：特克斯县结合工作实际，建设春小麦和玉米两个千亩示范基地54.44万元；遴选特聘农技员11人，补助10.56万元；开展提升基层农技推广队伍素质能力培训5万元。</w:t>
      </w:r>
    </w:p>
    <w:p w14:paraId="30E7796C">
      <w:pPr>
        <w:pStyle w:val="8"/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截止到2024年12月31日，2024年中央农业生产发展奶业新型经营主体培育项目，资金共计35万元，共计执行0万元，执行率0%，具体如下：主要用于提升新建会议室和生活用房148平方米，维修供电线路，完善监控设施,棚圈，工作及生活用房维修粉刷，更换养殖棚圈门窗、维修下水管道、新建阁楼一座，并对牲畜活动场和绿化区用铁栅栏进行围栏，新建无害化处理池，新建无害化处理池2座24平方米。</w:t>
      </w:r>
    </w:p>
    <w:p w14:paraId="695D1D2F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2D02CAC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63F0095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875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875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中央资金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41C913B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06B83E6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875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875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万元，全年执行数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724.83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82.83%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，主要用于：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奶业新型经营主体培育项目到位资金35万元，新型农业经营主体生产经营能力提升（新型农业经营主体培育）项目到位资金90万元，中央粮油单产提升行动（新型农业经营主体培育）项目到位资金38万元，中央高素质农民培育项目到位资金142万元，中央农业社会化服务项目到位资金500万元，中央基层农技推广体系改革与建设项目到位资金70万元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 w14:paraId="7E26CFF3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4C89AF2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总体目标</w:t>
      </w:r>
    </w:p>
    <w:p w14:paraId="274826A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建设2个农业科技示范基地，培训基层农技人员50人，主推技术到位率95%以上；加强新型农业经营主体培育，强化高素质农民培育，推广农业社会化服务；开展7个培训班，培训人数314人，移风易俗培训60个村1800人。</w:t>
      </w:r>
    </w:p>
    <w:p w14:paraId="72B75D7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FF0000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阶段性目标</w:t>
      </w:r>
    </w:p>
    <w:p w14:paraId="01FBB284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阶段性目标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：2024年《特克斯县粮油单产提升行动项目》奖补作物以春小麦为主，玉米为辅，奖补总面积1.68万亩。其中春小麦16300亩，奖补资金76.5万元；玉米1500亩，奖补资金7.5万元。产量目标：2024年通过测产及实收结果表明：实施粮油单产提升行动项目的68块高产示范田，平均单产均高于全县示范田平均产量，其中：小麦57块，平均单产514公斤，较全县州、县、乡、村四级领导包联的72块小麦高产示范田平均单产510公斤，平均亩提高单产4公斤，增产率为0.78%；玉米11块，平均单产1143公斤，较全县州、县、乡、村四级领导包联的60块玉米高产示范田平均单产1080公斤，平均亩提高单产63公斤，增产率为5.83%。有效地带动了粮食单产水平的提升。</w:t>
      </w:r>
    </w:p>
    <w:p w14:paraId="6D6DB22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阶段性目标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2024年中央农业生产发展奶业新型经营主体培育项目，完成新建会议室和生活用房148平方米，维修供电线路，完善监控设施,棚圈，工作及生活用房维修粉刷，更换养殖棚圈门窗、维修下水管道、新建阁楼一座，并对牲畜活动场和绿化区用铁栅栏进行围栏，新建无害化处理池，新建无害化处理池2座24平方米。</w:t>
      </w:r>
    </w:p>
    <w:p w14:paraId="07CDEDD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阶段性目标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：2024年实施特克斯县基层农技推广体系改革与建设项目，围绕项目重点任务发布主推技术2个、主导品种 2 个。已建立科技示范基地 2个。已培育科技示范主体 15 户。开展连续5天以上的培训班一次，培训农技人员 50 人次,选派技术骨干外出培训8人次,招募特聘农技员11人。</w:t>
      </w:r>
    </w:p>
    <w:p w14:paraId="53F751B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阶段性目标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：大力培育新型农业经营主体，加快培育发展不同产业、不同模式、不同区域的规模适度、经营好的家庭农场，促进小农户与现代农业有机衔接，实现产业兴旺、乡村振兴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 w14:paraId="0535BE08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阶段性目标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2024年自治区下达我县农业生产社会化服务落实补贴资金500万元5万亩，按照自治区方案要求耕、种、防、收综合社会化服务系数36%、27%、10%、27%折算不超过30%总亩数92594亩，其中小麦33996亩，玉米58598亩，计划在乔拉克铁热克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镇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，阔克铁热克柯尔克孜民族乡，齐勒乌泽克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镇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，喀拉达拉镇，喀拉托海镇等5个乡镇为项目实施区域，开展玉米、小麦等粮食作物农业生产托管服务项目，目前已完成农机深松深耕和部分收获92594亩，完成任务资金500万元，实际支付资金500万元。</w:t>
      </w:r>
    </w:p>
    <w:p w14:paraId="3D903D6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阶段性目标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：2024年高素质农民培训项目资金142万元，按照单位财务制度等相关规定，资金支出符合，高素质农民培训项目专项资金费用范围，做到了专款专用，特克斯县2024年高素质农民已开展培训337人，录入2024年农民教育信息管理系统7个班级、337人。将全县各乡镇村等60个村，组建60个班1800名学员完成了农民综合素养（移风易俗）提升培训。</w:t>
      </w:r>
    </w:p>
    <w:p w14:paraId="73B21839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7CB73659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4F7B75D1">
      <w:pPr>
        <w:pStyle w:val="14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1.绩效评价完整性</w:t>
      </w:r>
    </w:p>
    <w:p w14:paraId="0B09E3D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07BC8DC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评价指标体系的构建上，充分考虑了项目的性质、目标以及预期成果，选取了具有代表性和可衡量性的关键指标，涵盖了社会效益等维度，力求全方位反映项目的绩效状况。同时，对于每个指标的评价标准和数据来源均进行了明确说明，确保评价结果的客观性和可追溯性。</w:t>
      </w:r>
    </w:p>
    <w:p w14:paraId="4A74B07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604AB9C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359DE31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7B8547B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绩效评价的目的</w:t>
      </w:r>
    </w:p>
    <w:p w14:paraId="03A9E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（1）评估项目实施效果</w:t>
      </w:r>
    </w:p>
    <w:p w14:paraId="4AF49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通过对项目预算执行情况及各项绩效目标达成程度的系统性分析，全面、客观地评估项目在预定周期内的实施效果，包括社会效益等维度指标，为项目后续的改进与优化提供科学依据。</w:t>
      </w:r>
    </w:p>
    <w:p w14:paraId="7AF805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（2）提升资源利用效率</w:t>
      </w:r>
    </w:p>
    <w:p w14:paraId="27FA4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5C744D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（3）强化项目管理责任</w:t>
      </w:r>
    </w:p>
    <w:p w14:paraId="6A663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17D02F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（4）为决策提供支持</w:t>
      </w:r>
    </w:p>
    <w:p w14:paraId="1731A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635F4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（5）促进项目持续改进</w:t>
      </w:r>
    </w:p>
    <w:p w14:paraId="730BC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7A7389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08A0F834">
      <w:pPr>
        <w:pStyle w:val="14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绩效评价的对象</w:t>
      </w:r>
    </w:p>
    <w:p w14:paraId="05532702">
      <w:pPr>
        <w:pStyle w:val="14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本项目预算绩效评价报告的评价对象是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2024年农业经营主体提升项目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及其预算执行情况。该项目由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特克斯县农业农村局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负责实施，旨在建设2个农业科技示范基地，培训基层农技人员50人，主推技术到位率95%以上；加强新型农业经营主体培育，强化高素质农民培育，推广农业社会化服务；开展7个培训班，培训人数314人，移风易俗培训60个村1800人。。项目预算涵盖从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2024年3月1日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至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2024年12月31日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的全部资金投入与支出，涉及资金总额为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724.83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元。</w:t>
      </w:r>
    </w:p>
    <w:p w14:paraId="2431B94A">
      <w:pPr>
        <w:pStyle w:val="14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绩效评价的范围</w:t>
      </w:r>
    </w:p>
    <w:p w14:paraId="2E89EE11">
      <w:pPr>
        <w:pStyle w:val="14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0F11FDD5">
      <w:pPr>
        <w:pStyle w:val="14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00C21B70">
      <w:pPr>
        <w:pStyle w:val="14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48334A02">
      <w:pPr>
        <w:pStyle w:val="14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59B4A0B6">
      <w:pPr>
        <w:pStyle w:val="14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社会影响：考察项目对社会方面的综合影响。</w:t>
      </w:r>
    </w:p>
    <w:p w14:paraId="408563F9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74CDE061">
      <w:pPr>
        <w:pStyle w:val="14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1.绩效评价原则</w:t>
      </w:r>
    </w:p>
    <w:p w14:paraId="5F05D9D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本次项目绩效评价遵循以下基本原则：</w:t>
      </w:r>
    </w:p>
    <w:p w14:paraId="795B3183">
      <w:pPr>
        <w:pStyle w:val="14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（1）科学公正。绩效评价应当运用科学合理的方法，按照规范的程序，对项目绩效进行客观、公正的反映。</w:t>
      </w:r>
    </w:p>
    <w:p w14:paraId="4DBA072F">
      <w:pPr>
        <w:pStyle w:val="14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481C0F96">
      <w:pPr>
        <w:pStyle w:val="14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0F724519">
      <w:pPr>
        <w:pStyle w:val="14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（4）公开透明。绩效评价结果应依法依规公开，并自觉接受社会监督。</w:t>
      </w:r>
    </w:p>
    <w:p w14:paraId="2F4C9FEE">
      <w:pPr>
        <w:pStyle w:val="14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2.评价指标体系</w:t>
      </w:r>
    </w:p>
    <w:p w14:paraId="176E722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3BBD5388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（1）确定评价指标</w:t>
      </w:r>
    </w:p>
    <w:p w14:paraId="3527AD8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0EA5F97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（2）确定权重</w:t>
      </w:r>
    </w:p>
    <w:p w14:paraId="06F40C6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1BD5852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（3）确定指标标准值</w:t>
      </w:r>
    </w:p>
    <w:p w14:paraId="5556751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6956784F">
      <w:pPr>
        <w:pStyle w:val="14"/>
        <w:spacing w:before="0" w:after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绩效评价总分值100分，根据综合评分结果，90（含）-100分为优、80（含）-90分为良、60（含）-80分为中、60分以下为差。</w:t>
      </w:r>
    </w:p>
    <w:p w14:paraId="4CFEA38F">
      <w:pPr>
        <w:pStyle w:val="14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具体评价指标体系详情见附件1</w:t>
      </w:r>
    </w:p>
    <w:p w14:paraId="2B54C5F5">
      <w:pPr>
        <w:pStyle w:val="14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3.绩效评价方法</w:t>
      </w:r>
    </w:p>
    <w:p w14:paraId="2E64B38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2C3A188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2FF55B8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（一）成本效益分析法。是指将投入与产出、效益进行关联性分析的方法。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原因是社会化服务项目按照项目实施后，老百姓的地进行全程托管，产生托管费用进行补助，最后的产出进行与自己耕种产出进行对比。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 </w:t>
      </w:r>
    </w:p>
    <w:p w14:paraId="5A56EF5A">
      <w:pPr>
        <w:pStyle w:val="14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4.评价标准</w:t>
      </w:r>
    </w:p>
    <w:p w14:paraId="5AD354ED">
      <w:pPr>
        <w:pStyle w:val="14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计划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标准。</w:t>
      </w:r>
    </w:p>
    <w:p w14:paraId="3AE0F7D6">
      <w:pPr>
        <w:pStyle w:val="14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（1）计划标准。指以预先制定的目标、计划、预算、定额等作为评价标准。</w:t>
      </w:r>
    </w:p>
    <w:p w14:paraId="5B4C979D">
      <w:pPr>
        <w:pStyle w:val="14"/>
        <w:numPr>
          <w:ilvl w:val="0"/>
          <w:numId w:val="3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52F27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前期准备与规划</w:t>
      </w:r>
    </w:p>
    <w:p w14:paraId="271233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3B123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）指标体系构建</w:t>
      </w:r>
    </w:p>
    <w:p w14:paraId="240C1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10BCB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）数据收集与整理</w:t>
      </w:r>
    </w:p>
    <w:p w14:paraId="4BC54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1F949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）数据分析与评估</w:t>
      </w:r>
    </w:p>
    <w:p w14:paraId="66190E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6B038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）报告撰写与反馈</w:t>
      </w:r>
    </w:p>
    <w:p w14:paraId="64878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4DDC66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）后续跟踪与改进</w:t>
      </w:r>
    </w:p>
    <w:p w14:paraId="26BAB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390F4965">
      <w:pPr>
        <w:numPr>
          <w:ilvl w:val="0"/>
          <w:numId w:val="4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综合评价情况及评价结论（附相关评分表）</w:t>
      </w:r>
    </w:p>
    <w:p w14:paraId="18FA4703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评价情况</w:t>
      </w:r>
    </w:p>
    <w:p w14:paraId="000B2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本项目的综合评价基于对项目各方面绩效的深入分析与评估。从项目目标的达成情况来看，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2024年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农业经营主提升项目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建设2个农业科技示范基地，培训基层农技人员50人，主推技术到位率95%以上；加强新型农业经营主体培育，强化高素质农民培育，推广农业社会化服务；开展7个培训班，培训人数314人，移风易俗培训60个村1800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等方面表现出色，达到了预期的标准与要求。同时，项目也在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项目资金分配使用科学合理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取得了显著的成效，如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特克斯县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结合工作实际将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项目资金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84万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用于奖补粮食作物，保障粮食安全供给。奖补资金按照《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特克斯县主要粮食作物高产创建三年行动方案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》中的，由各乡镇推荐上报的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州、县及个别种植产量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高的粮食作物高产创建示范田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，每块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种植面积达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00亩以上、单产水平较全县平均水平高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%以上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粮食作物高产创建示范田种粮大户、家庭农场、农民合作社、农业企业等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规模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新型农业经营主体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68户，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面积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16800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亩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春小麦生产种植效益较低，奖补面积16300亩，奖补资金76.5万元，占资金总量的91.07%，主要集中在春小麦产量较高的阔克铁热克乡和乔拉克铁热克镇。玉米奖补1500亩，奖补资金7.5万元，主要集中在玉米产量较高的喀拉达拉镇和喀拉托海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等。</w:t>
      </w:r>
    </w:p>
    <w:p w14:paraId="44BBE728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在项目管理方面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特克斯县农业农村局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通过有效的规划、组织与协调，项目得以顺利实施，并在预算与时间上保持了良好的控制。</w:t>
      </w:r>
    </w:p>
    <w:p w14:paraId="044A75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从项目效益的角度来看，本项目不仅实现了预期的社会效益等方面产生了积极的影响。具体而言，2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024年自治区下达我县农业生产社会化服务落实补贴资金500万元5万亩，按照自治区方案要求耕、种、防、收综合社会化服务系数36%、27%、10%、27%折算不超过30%总亩数92594亩，其中小麦33996亩，玉米58598亩，计划在乔拉克铁热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，阔克铁热克柯尔克孜民族乡，齐勒乌泽克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，喀拉达拉镇，喀拉托海镇等5个乡镇为项目实施区域，开展玉米、小麦等粮食作物农业生产托管服务项目，目前已完成农机深松深耕和部分收获92594亩，完成任务资金500万元，实际支付资金500万元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高素质农民培训项目资金142万元，按照单位财务制度等相关规定，资金支出符合，高素质农民培训项目专项资金费用范围，做到了专款专用，特克斯县2024年高素质农民已开展培训337人，录入2024年农民教育信息管理系统7个班级、337人。将全县各乡镇村等60个村，组建60个班1800名学员完成了农民综合素养（移风易俗）提升培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等方面的提升，为项目的利益相关者带来了实实在在的利益。</w:t>
      </w:r>
    </w:p>
    <w:p w14:paraId="1234BA4B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综上所述，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特克斯县农业农村局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在绩效评价中表现出色，达到了项目的预期目标，并在多个方面取得了显著的成效。</w:t>
      </w:r>
    </w:p>
    <w:p w14:paraId="01C24BE2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评价结论</w:t>
      </w:r>
    </w:p>
    <w:p w14:paraId="768A0204">
      <w:pPr>
        <w:pStyle w:val="14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运用绩效评价组制定的评价指标体系以及财政部《项目支出绩效评价管理办法》（财预〔2020〕10号）文件的评分标准，通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过数据采集、问卷调查及访谈等方式，对本项目进行客观评价，最终评分结果：总得分为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97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分，属于“优”。其中，项目决策类指标权重为20分，得分为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37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92.5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</w:t>
      </w:r>
      <w:r>
        <w:rPr>
          <w:rFonts w:hint="default" w:ascii="Times New Roman" w:hAnsi="Times New Roman" w:eastAsia="仿宋_GB2312" w:cs="Times New Roman"/>
          <w:b w:val="0"/>
          <w:bCs w:val="0"/>
        </w:rPr>
        <w:t>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。</w:t>
      </w:r>
    </w:p>
    <w:p w14:paraId="0ABD71AE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表1综合评分表</w:t>
      </w:r>
    </w:p>
    <w:tbl>
      <w:tblPr>
        <w:tblStyle w:val="16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3AE67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181845C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17D86AB3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30DCC362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得分</w:t>
            </w:r>
          </w:p>
        </w:tc>
      </w:tr>
      <w:tr w14:paraId="766A1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7F093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9C84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555C2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50D3E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8C93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FA1F0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B9237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201205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C6888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F1A773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18CDB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37</w:t>
            </w:r>
          </w:p>
        </w:tc>
      </w:tr>
      <w:tr w14:paraId="71570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21E0B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0B4F8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587485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00392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5477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44D29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C31A2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97</w:t>
            </w:r>
          </w:p>
        </w:tc>
      </w:tr>
    </w:tbl>
    <w:p w14:paraId="4E0CD444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7FECF0B6">
      <w:pPr>
        <w:pStyle w:val="14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5879F7B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63FBF4E4">
      <w:pPr>
        <w:pStyle w:val="2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1.项目立项</w:t>
      </w:r>
    </w:p>
    <w:p w14:paraId="34372EB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（1）立项依据充分性</w:t>
      </w:r>
    </w:p>
    <w:p w14:paraId="77C2BDF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4396841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（2）立项程序规范性</w:t>
      </w:r>
    </w:p>
    <w:p w14:paraId="147784B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6C8E8B7F">
      <w:pPr>
        <w:pStyle w:val="2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062A695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（1）绩效目标合理性</w:t>
      </w:r>
    </w:p>
    <w:p w14:paraId="27A7628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622BA05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（2）绩效指标明确性</w:t>
      </w:r>
    </w:p>
    <w:p w14:paraId="3DFE755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2DA199F1">
      <w:pPr>
        <w:pStyle w:val="2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3.资金投入</w:t>
      </w:r>
    </w:p>
    <w:p w14:paraId="2E03A9A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（1）预算编制科学性</w:t>
      </w:r>
    </w:p>
    <w:p w14:paraId="63A00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230695F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1F2E15A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6A41C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00CDE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323E7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33EA985A">
      <w:pPr>
        <w:pStyle w:val="14"/>
        <w:numPr>
          <w:ilvl w:val="0"/>
          <w:numId w:val="5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项目过程情况</w:t>
      </w:r>
    </w:p>
    <w:p w14:paraId="7991BDD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过程类指标包括资金管理和组织实施两方面的内容，由5个三级指标构成，权重分值为20分，实际得分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0D57BBF7">
      <w:pPr>
        <w:pStyle w:val="2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1.资金管理</w:t>
      </w:r>
    </w:p>
    <w:p w14:paraId="690C164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（1）资金到位率</w:t>
      </w:r>
    </w:p>
    <w:p w14:paraId="2BADFAC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本项目总投资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875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万元，财政资金及时足额到位，到位率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%，预算资金按计划进度执行。</w:t>
      </w:r>
    </w:p>
    <w:p w14:paraId="5EA9448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（2）预算执行率</w:t>
      </w:r>
    </w:p>
    <w:p w14:paraId="2D03B58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预算编制较为详细，项目资金支出总体能够按照预算执行，预算资金支出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875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724.83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59784F6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（3）资金使用合规性</w:t>
      </w:r>
    </w:p>
    <w:p w14:paraId="0D5E4E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4FCED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5EE26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4FBBA3A1">
      <w:pPr>
        <w:pStyle w:val="2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2.组织实施</w:t>
      </w:r>
    </w:p>
    <w:p w14:paraId="479B28A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（1）管理制度健全性</w:t>
      </w:r>
    </w:p>
    <w:p w14:paraId="1B67CD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65C25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15A47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19EC087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7E74E71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（2）制度执行有效性</w:t>
      </w:r>
    </w:p>
    <w:p w14:paraId="0116E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19A706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35468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289243A6">
      <w:pPr>
        <w:pStyle w:val="15"/>
        <w:numPr>
          <w:ilvl w:val="0"/>
          <w:numId w:val="5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299EBF3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目产出类指标包括产出数量、产出质量、产出时效、产出成本四方面的内容，由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个三级指标构成，权重分为40分，实际得分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92.5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%。具体产出指标完成情况如下：</w:t>
      </w:r>
    </w:p>
    <w:p w14:paraId="76E7D72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26C41DC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指标1：支持农民合作社数量，指标值：=3个，实际完成值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: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3个，指标完成率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4086D8E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：支持的家庭农场数量，指标值：=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个，实际完成值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:5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个，指标完成率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48814EC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：高素质农民培育数量，指标值：=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314人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:314人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6B77989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：农业生产全程托管服务面积，指标值：=5万亩，实际完成值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:5万亩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49DD087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：基层农技人员培训数量，指标值：=50人，实际完成值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:50人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53F3BBF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：培育奶业新型经营主体数量，指标值：=1个，实际完成值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: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偏差原因：</w:t>
      </w:r>
    </w:p>
    <w:p w14:paraId="696BD4AB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：新增奶畜数量，指标值：=78头，实际完成值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: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偏差原因：</w:t>
      </w:r>
    </w:p>
    <w:p w14:paraId="60FCDD7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：基层农技人员培训数量，指标值：=50人，实际完成值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:50人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694312FF">
      <w:pPr>
        <w:shd w:val="clear" w:color="auto" w:fill="auto"/>
        <w:spacing w:line="600" w:lineRule="exact"/>
        <w:ind w:firstLine="640" w:firstLineChars="200"/>
        <w:outlineLvl w:val="0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：基层农技人员培训数量，指标值：=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:2个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0E46D25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3A53F23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：新型农业经营主体设施条件，指标值：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改善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:改善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1488D24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：农业主推技术到位率，指标值：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&gt;=95%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:95%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201D3623">
      <w:pPr>
        <w:shd w:val="clear" w:color="auto" w:fill="auto"/>
        <w:spacing w:line="600" w:lineRule="exact"/>
        <w:ind w:firstLine="640" w:firstLineChars="200"/>
        <w:outlineLvl w:val="0"/>
        <w:rPr>
          <w:rFonts w:hint="default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：农业生产社会化服务对象单产水平，指标值：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提高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:提高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25491EB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3FAAC13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：项目实施完成率，指标值：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=100%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:100%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75755E8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成本指标：</w:t>
      </w:r>
    </w:p>
    <w:p w14:paraId="44552AA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：粮油新型经营主体单产水平，指标值：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提升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:提升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5F428AF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：高素质农民培育实行信息化管理和服务，指标值：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&gt;=70%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:&gt;=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6D85872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：基层农技推广体系与建设项目，指标值：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=70万元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:70万元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75741CA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：粮油单产提升项目，指标值：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=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38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: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38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15364F6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：高素质农民培育项目，指标值：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=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142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: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142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09E0951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：农业生产发展奶业新型经营主体项目，指标值：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=35万元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: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753E39E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：农业经营主体能力提升（农民合作社培育、家庭农场培育），指标值：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=90万元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: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90万元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0FD8F15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：高素质农民培育项目，指标值：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=500万元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: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360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</w:p>
    <w:p w14:paraId="62FFA55C">
      <w:pPr>
        <w:pStyle w:val="2"/>
        <w:rPr>
          <w:rFonts w:hint="default"/>
          <w:lang w:val="en-US" w:eastAsia="zh-CN"/>
        </w:rPr>
      </w:pPr>
    </w:p>
    <w:p w14:paraId="5499DDE5">
      <w:pPr>
        <w:pStyle w:val="15"/>
        <w:numPr>
          <w:ilvl w:val="0"/>
          <w:numId w:val="5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项目效益情况</w:t>
      </w:r>
    </w:p>
    <w:p w14:paraId="3F76A03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项目效益类指标包括项目实施效益和满意度两方面的内容，由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%。具体效益指标及满意度指标完成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情况如下：</w:t>
      </w:r>
    </w:p>
    <w:p w14:paraId="4B96AD8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1.实施效益</w:t>
      </w:r>
    </w:p>
    <w:p w14:paraId="0708C80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</w:t>
      </w:r>
    </w:p>
    <w:p w14:paraId="30A15E2D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：资金使用重大违规违纪问题，指标值：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:无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2B92B731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：农民专业合作社示范社和示范家庭农场发展水平和劳动能力，指标值：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增强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:增强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7A983265">
      <w:pPr>
        <w:shd w:val="clear" w:color="auto" w:fill="auto"/>
        <w:spacing w:line="600" w:lineRule="exact"/>
        <w:ind w:firstLine="640" w:firstLineChars="200"/>
        <w:outlineLvl w:val="0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：高素质农民生产经营能力和带动能力，指标值：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明显增强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:明显增强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1D9D790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2.满意度</w:t>
      </w:r>
    </w:p>
    <w:p w14:paraId="1B9CB4D2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：高素质农民培育对象满意度，指标值：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&gt;=90%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:90%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3615649F">
      <w:pPr>
        <w:shd w:val="clear" w:color="auto" w:fill="auto"/>
        <w:spacing w:line="600" w:lineRule="exact"/>
        <w:ind w:firstLine="640" w:firstLineChars="200"/>
        <w:outlineLvl w:val="0"/>
        <w:rPr>
          <w:rFonts w:hint="eastAsia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：接受社会化服务的小农户满意度，指标值：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&gt;=90%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:9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731E8301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4F1C7CE5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农业经营主体提升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项目年初预算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875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万元，全年预算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875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万元，实际支出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724.83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万元，预算执行率为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82.84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%，项目绩效指标总体完成率为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86.87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%，总体偏差率为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4.03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偏差原因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达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生产托管服务面积数量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指标，指标值为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完成生产托管服务面积50000亩，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实际完成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92594亩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185.18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%、偏差率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85.18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原因为按照国家要求，粮食作物每亩不超过100元补助，在实际操作过程中，耕种防收全环节服务费不得超过市场价30%进行支付，因此只能提高托管服务面积，将资金使用完毕，建议国家提高补助标准；2.2024年高素质农民培训314人，指标值为314人，实际完成337人，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10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7.3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%、偏差率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7.3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原因为在前期摸底宣传过程中，农牧民培训积极性得到了提高，且下达任务指标不明确，在实际培训过程中，农牧民培训积极性很高，参加培训人数有所增加。下一步将严格控制培训指标人数，防止出现偏差情况。</w:t>
      </w:r>
    </w:p>
    <w:p w14:paraId="5126C731">
      <w:pPr>
        <w:spacing w:line="560" w:lineRule="exact"/>
        <w:ind w:firstLine="640" w:firstLineChars="200"/>
        <w:rPr>
          <w:rStyle w:val="23"/>
          <w:rFonts w:hint="default" w:ascii="Times New Roman" w:hAnsi="Times New Roman" w:cs="Times New Roman"/>
          <w:color w:val="auto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主要经验及做法、存在的问题及原因分析</w:t>
      </w:r>
    </w:p>
    <w:p w14:paraId="00E81147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623197D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4A865499">
      <w:pPr>
        <w:pStyle w:val="14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603D7244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4146A2D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7A9EF82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2.因轮岗、调动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因素使我单位绩效工作人员流动频繁，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造成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工作衔接不到位的情况。</w:t>
      </w:r>
    </w:p>
    <w:p w14:paraId="2F04B7E4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4E0D003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0E4E272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7B7F9AD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51C5E22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sz w:val="22"/>
          <w:szCs w:val="28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sz w:val="36"/>
          <w:szCs w:val="32"/>
        </w:rPr>
        <w:t>。</w:t>
      </w:r>
    </w:p>
    <w:p w14:paraId="4142B68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1EA1176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0" w:name="page8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796C7A39">
      <w:pPr>
        <w:pStyle w:val="2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</w:p>
    <w:p w14:paraId="176F59A3">
      <w:pPr>
        <w:spacing w:line="600" w:lineRule="exac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2098" w:right="1531" w:bottom="1984" w:left="1531" w:header="851" w:footer="992" w:gutter="0"/>
          <w:pgNumType w:start="1"/>
          <w:cols w:space="425" w:num="1"/>
          <w:docGrid w:type="lines" w:linePitch="312" w:charSpace="0"/>
        </w:sectPr>
      </w:pPr>
      <w:bookmarkStart w:id="1" w:name="_GoBack"/>
      <w:bookmarkEnd w:id="1"/>
    </w:p>
    <w:p w14:paraId="213D35E3">
      <w:pPr>
        <w:rPr>
          <w:rFonts w:hint="default" w:ascii="Times New Roman" w:hAnsi="Times New Roman" w:cs="Times New Roman"/>
        </w:rPr>
      </w:pPr>
    </w:p>
    <w:sectPr>
      <w:pgSz w:w="16838" w:h="11906" w:orient="landscape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E3EA748-BC00-46BD-83D1-A663C7BEF75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5B1F84D1-FA6E-4F7F-89E6-C8DABDBA4A7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3386373D-EA97-41DE-BCBB-F065133A66A2}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4" w:fontKey="{8130E150-E2B5-4D65-99CE-353429EBA76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954CC651-07C8-4898-A940-B72641FD67E7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6" w:fontKey="{29B045A0-CEDD-4AF3-B9EF-A3715B0C387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7E52459F-AEBE-4D00-8DE9-897E08D3137B}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8" w:fontKey="{ABF68478-8ADC-4C6A-85E6-BA3890E88AF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9" w:fontKey="{6ABB42CC-EE56-40FA-8FAA-EFD15764529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153BCC68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557EFDB5">
    <w:pPr>
      <w:pStyle w:val="1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pStyle w:val="9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4">
    <w:nsid w:val="03D62ECE"/>
    <w:multiLevelType w:val="singleLevel"/>
    <w:tmpl w:val="03D62EC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59ADCABA"/>
    <w:multiLevelType w:val="singleLevel"/>
    <w:tmpl w:val="59ADCABA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GM5NzlhN2JhOTc3OTljZTBmY2FhN2MzNTk3ODEifQ=="/>
  </w:docVars>
  <w:rsids>
    <w:rsidRoot w:val="00000000"/>
    <w:rsid w:val="16EC4FD3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qFormat="1"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4">
    <w:name w:val="Normal Indent"/>
    <w:basedOn w:val="1"/>
    <w:qFormat/>
    <w:uiPriority w:val="99"/>
    <w:pPr>
      <w:ind w:firstLine="420" w:firstLineChars="200"/>
    </w:pPr>
    <w:rPr>
      <w:szCs w:val="21"/>
    </w:rPr>
  </w:style>
  <w:style w:type="paragraph" w:styleId="6">
    <w:name w:val="table of authorities"/>
    <w:basedOn w:val="1"/>
    <w:next w:val="1"/>
    <w:qFormat/>
    <w:uiPriority w:val="0"/>
    <w:pPr>
      <w:ind w:left="420" w:leftChars="200"/>
    </w:pPr>
  </w:style>
  <w:style w:type="paragraph" w:styleId="7">
    <w:name w:val="Body Text"/>
    <w:basedOn w:val="1"/>
    <w:qFormat/>
    <w:uiPriority w:val="0"/>
    <w:pPr>
      <w:spacing w:after="120"/>
    </w:pPr>
  </w:style>
  <w:style w:type="paragraph" w:styleId="8">
    <w:name w:val="Plain Text"/>
    <w:basedOn w:val="1"/>
    <w:next w:val="9"/>
    <w:qFormat/>
    <w:uiPriority w:val="0"/>
    <w:rPr>
      <w:rFonts w:ascii="宋体" w:hAnsi="Courier New"/>
    </w:rPr>
  </w:style>
  <w:style w:type="paragraph" w:styleId="9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10">
    <w:name w:val="Balloon Text"/>
    <w:basedOn w:val="1"/>
    <w:link w:val="25"/>
    <w:qFormat/>
    <w:uiPriority w:val="0"/>
    <w:rPr>
      <w:sz w:val="18"/>
      <w:szCs w:val="18"/>
    </w:rPr>
  </w:style>
  <w:style w:type="paragraph" w:styleId="11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2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14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5">
    <w:name w:val="Body Text First Indent"/>
    <w:basedOn w:val="7"/>
    <w:qFormat/>
    <w:uiPriority w:val="0"/>
    <w:pPr>
      <w:spacing w:after="0"/>
      <w:ind w:firstLine="200" w:firstLineChars="200"/>
    </w:pPr>
  </w:style>
  <w:style w:type="table" w:styleId="17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paragraph" w:customStyle="1" w:styleId="20">
    <w:name w:val="Comment Text"/>
    <w:basedOn w:val="1"/>
    <w:link w:val="27"/>
    <w:qFormat/>
    <w:uiPriority w:val="0"/>
    <w:pPr>
      <w:jc w:val="left"/>
    </w:pPr>
  </w:style>
  <w:style w:type="paragraph" w:customStyle="1" w:styleId="21">
    <w:name w:val="Comment Subject"/>
    <w:basedOn w:val="20"/>
    <w:next w:val="20"/>
    <w:link w:val="28"/>
    <w:qFormat/>
    <w:uiPriority w:val="0"/>
    <w:rPr>
      <w:b/>
      <w:bCs/>
    </w:rPr>
  </w:style>
  <w:style w:type="character" w:customStyle="1" w:styleId="22">
    <w:name w:val="Comment Reference"/>
    <w:basedOn w:val="18"/>
    <w:qFormat/>
    <w:uiPriority w:val="0"/>
    <w:rPr>
      <w:sz w:val="21"/>
      <w:szCs w:val="21"/>
    </w:rPr>
  </w:style>
  <w:style w:type="character" w:customStyle="1" w:styleId="23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4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5">
    <w:name w:val="批注框文本 字符"/>
    <w:basedOn w:val="18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6">
    <w:name w:val="页眉 字符"/>
    <w:basedOn w:val="18"/>
    <w:link w:val="1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7">
    <w:name w:val="批注文字 字符"/>
    <w:basedOn w:val="18"/>
    <w:link w:val="20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8">
    <w:name w:val="批注主题 字符"/>
    <w:basedOn w:val="27"/>
    <w:link w:val="21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C6DE97699DE84460A3E02664DB79F78B_13</vt:lpwstr>
  </property>
  <property fmtid="{D5CDD505-2E9C-101B-9397-08002B2CF9AE}" pid="4" name="KSOTemplateDocerSaveRecord">
    <vt:lpwstr>eyJoZGlkIjoiZTg0ZTkzMzE5NmQzZjA3YmQwODVjNWY1YTM1MjVkNjUiLCJ1c2VySWQiOiIyOTg0MzQ4NjYifQ==</vt:lpwstr>
  </property>
</Properties>
</file>

<file path=customXml/itemProps1.xml><?xml version="1.0" encoding="utf-8"?>
<ds:datastoreItem xmlns:ds="http://schemas.openxmlformats.org/officeDocument/2006/customXml" ds:itemID="{d1b6af41-d2da-491b-bdc0-578adad6cf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31</Pages>
  <Words>16648</Words>
  <Characters>17707</Characters>
  <Lines>58</Lines>
  <Paragraphs>16</Paragraphs>
  <TotalTime>4</TotalTime>
  <ScaleCrop>false</ScaleCrop>
  <LinksUpToDate>false</LinksUpToDate>
  <CharactersWithSpaces>17728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来财&amp;十个勤天</cp:lastModifiedBy>
  <dcterms:modified xsi:type="dcterms:W3CDTF">2025-11-13T05:22:26Z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C6DE97699DE84460A3E02664DB79F78B_13</vt:lpwstr>
  </property>
  <property fmtid="{D5CDD505-2E9C-101B-9397-08002B2CF9AE}" pid="4" name="KSOTemplateDocerSaveRecord">
    <vt:lpwstr>eyJoZGlkIjoiNTM1NjJiMTUwNmFhZWNlZmQwNDVjMDAxNDMwM2IwMDkiLCJ1c2VySWQiOiIzNzI2MDMzNTYifQ==</vt:lpwstr>
  </property>
</Properties>
</file>