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特克斯县公安局2024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5A9CA1">
      <w:r>
        <w:br w:type="page"/>
      </w:r>
    </w:p>
    <w:p w14:paraId="188027E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26981DA">
      <w:pPr>
        <w:spacing w:line="640" w:lineRule="exact"/>
        <w:ind w:firstLine="640"/>
        <w:jc w:val="both"/>
        <w:outlineLvl w:val="2"/>
      </w:pPr>
      <w:r>
        <w:rPr>
          <w:rFonts w:ascii="黑体" w:hAnsi="黑体" w:eastAsia="黑体"/>
          <w:sz w:val="32"/>
        </w:rPr>
        <w:t>一、主要职能</w:t>
      </w:r>
    </w:p>
    <w:p w14:paraId="0D3516E9">
      <w:pPr>
        <w:spacing w:line="580" w:lineRule="exact"/>
        <w:ind w:firstLine="640"/>
        <w:jc w:val="both"/>
      </w:pPr>
      <w:r>
        <w:rPr>
          <w:rFonts w:ascii="仿宋_GB2312" w:hAnsi="仿宋_GB2312" w:eastAsia="仿宋_GB2312"/>
          <w:sz w:val="32"/>
        </w:rPr>
        <w:t>本</w:t>
      </w:r>
      <w:r>
        <w:rPr>
          <w:rFonts w:hint="eastAsia" w:ascii="仿宋_GB2312" w:hAnsi="仿宋_GB2312" w:eastAsia="仿宋_GB2312"/>
          <w:sz w:val="32"/>
          <w:lang w:eastAsia="zh-CN"/>
        </w:rPr>
        <w:t>单位</w:t>
      </w:r>
      <w:r>
        <w:rPr>
          <w:rFonts w:ascii="仿宋_GB2312" w:hAnsi="仿宋_GB2312" w:eastAsia="仿宋_GB2312"/>
          <w:sz w:val="32"/>
        </w:rPr>
        <w:t>主要职能SM不予公开。</w:t>
      </w:r>
    </w:p>
    <w:p w14:paraId="13C28442">
      <w:pPr>
        <w:spacing w:line="640" w:lineRule="exact"/>
        <w:ind w:firstLine="640"/>
        <w:jc w:val="both"/>
        <w:outlineLvl w:val="2"/>
      </w:pPr>
      <w:r>
        <w:rPr>
          <w:rFonts w:ascii="黑体" w:hAnsi="黑体" w:eastAsia="黑体"/>
          <w:sz w:val="32"/>
        </w:rPr>
        <w:t>二、机构设置及人员情况</w:t>
      </w:r>
    </w:p>
    <w:p w14:paraId="5579E98A">
      <w:pPr>
        <w:spacing w:line="580" w:lineRule="exact"/>
        <w:ind w:firstLine="640"/>
        <w:jc w:val="both"/>
      </w:pPr>
      <w:r>
        <w:rPr>
          <w:rFonts w:ascii="仿宋_GB2312" w:hAnsi="仿宋_GB2312" w:eastAsia="仿宋_GB2312"/>
          <w:sz w:val="32"/>
        </w:rPr>
        <w:t>本</w:t>
      </w:r>
      <w:r>
        <w:rPr>
          <w:rFonts w:hint="eastAsia" w:ascii="仿宋_GB2312" w:hAnsi="仿宋_GB2312" w:eastAsia="仿宋_GB2312"/>
          <w:sz w:val="32"/>
          <w:lang w:eastAsia="zh-CN"/>
        </w:rPr>
        <w:t>单位</w:t>
      </w:r>
      <w:r>
        <w:rPr>
          <w:rFonts w:ascii="仿宋_GB2312" w:hAnsi="仿宋_GB2312" w:eastAsia="仿宋_GB2312"/>
          <w:sz w:val="32"/>
        </w:rPr>
        <w:t>机构设置及人员情况SM不予公开。</w:t>
      </w:r>
    </w:p>
    <w:p w14:paraId="2A89B913">
      <w:r>
        <w:br w:type="page"/>
      </w:r>
    </w:p>
    <w:p w14:paraId="157B4264">
      <w:pPr>
        <w:spacing w:line="240" w:lineRule="auto"/>
        <w:jc w:val="center"/>
        <w:outlineLvl w:val="1"/>
      </w:pPr>
      <w:r>
        <w:rPr>
          <w:rFonts w:ascii="黑体" w:hAnsi="黑体" w:eastAsia="黑体"/>
          <w:sz w:val="32"/>
        </w:rPr>
        <w:t>第二部分 部门决算情况说明</w:t>
      </w:r>
    </w:p>
    <w:p w14:paraId="76C9EBA4">
      <w:pPr>
        <w:spacing w:line="640" w:lineRule="exact"/>
        <w:ind w:firstLine="640"/>
        <w:jc w:val="both"/>
        <w:outlineLvl w:val="2"/>
      </w:pPr>
      <w:r>
        <w:rPr>
          <w:rFonts w:ascii="黑体" w:hAnsi="黑体" w:eastAsia="黑体"/>
          <w:sz w:val="32"/>
        </w:rPr>
        <w:t>一、收入支出决算总体情况说明</w:t>
      </w:r>
    </w:p>
    <w:p w14:paraId="43DAD62C">
      <w:pPr>
        <w:spacing w:line="580" w:lineRule="exact"/>
        <w:ind w:firstLine="640"/>
        <w:jc w:val="both"/>
      </w:pPr>
      <w:r>
        <w:rPr>
          <w:rFonts w:ascii="仿宋_GB2312" w:hAnsi="仿宋_GB2312" w:eastAsia="仿宋_GB2312"/>
          <w:b/>
          <w:sz w:val="32"/>
        </w:rPr>
        <w:t>2024年度收入总计18,745.70万元，</w:t>
      </w:r>
      <w:r>
        <w:rPr>
          <w:rFonts w:ascii="仿宋_GB2312" w:hAnsi="仿宋_GB2312" w:eastAsia="仿宋_GB2312"/>
          <w:b w:val="0"/>
          <w:sz w:val="32"/>
        </w:rPr>
        <w:t>其中：本年收入合计18,745.70万元，使用非财政拨款结余（含专用结余）0.00万元，年初结转和结余0.00万元。</w:t>
      </w:r>
    </w:p>
    <w:p w14:paraId="05E089E1">
      <w:pPr>
        <w:spacing w:line="580" w:lineRule="exact"/>
        <w:ind w:firstLine="640"/>
        <w:jc w:val="both"/>
      </w:pPr>
      <w:r>
        <w:rPr>
          <w:rFonts w:ascii="仿宋_GB2312" w:hAnsi="仿宋_GB2312" w:eastAsia="仿宋_GB2312"/>
          <w:b/>
          <w:sz w:val="32"/>
        </w:rPr>
        <w:t>2024年度支出总计18,745.70万元，</w:t>
      </w:r>
      <w:r>
        <w:rPr>
          <w:rFonts w:ascii="仿宋_GB2312" w:hAnsi="仿宋_GB2312" w:eastAsia="仿宋_GB2312"/>
          <w:b w:val="0"/>
          <w:sz w:val="32"/>
        </w:rPr>
        <w:t>其中：本年支出合计</w:t>
      </w:r>
      <w:r>
        <w:rPr>
          <w:rFonts w:ascii="仿宋_GB2312" w:hAnsi="仿宋_GB2312" w:eastAsia="仿宋_GB2312"/>
          <w:b w:val="0"/>
          <w:spacing w:val="6"/>
          <w:sz w:val="32"/>
        </w:rPr>
        <w:t>18,745.70万元，结余分配0.00万元，年末结转和结余0.00万元</w:t>
      </w:r>
      <w:r>
        <w:rPr>
          <w:rFonts w:ascii="仿宋_GB2312" w:hAnsi="仿宋_GB2312" w:eastAsia="仿宋_GB2312"/>
          <w:b w:val="0"/>
          <w:sz w:val="32"/>
        </w:rPr>
        <w:t>。</w:t>
      </w:r>
    </w:p>
    <w:p w14:paraId="7FC7930F">
      <w:pPr>
        <w:spacing w:line="580" w:lineRule="exact"/>
        <w:ind w:firstLine="640"/>
        <w:jc w:val="both"/>
      </w:pPr>
      <w:r>
        <w:rPr>
          <w:rFonts w:ascii="仿宋_GB2312" w:hAnsi="仿宋_GB2312" w:eastAsia="仿宋_GB2312"/>
          <w:b w:val="0"/>
          <w:sz w:val="32"/>
        </w:rPr>
        <w:t>收入支出总体与上年相比，增加2,638.35万元，增长16.38%，主要原因是：本年增加伊犁州特克斯县军警技能综合训练基地建设项目、“平安城市建设”“便民警务站”等相关费用。</w:t>
      </w:r>
    </w:p>
    <w:p w14:paraId="4BCFC2D5">
      <w:pPr>
        <w:spacing w:line="640" w:lineRule="exact"/>
        <w:ind w:firstLine="640"/>
        <w:jc w:val="both"/>
        <w:outlineLvl w:val="2"/>
      </w:pPr>
      <w:r>
        <w:rPr>
          <w:rFonts w:ascii="黑体" w:hAnsi="黑体" w:eastAsia="黑体"/>
          <w:sz w:val="32"/>
        </w:rPr>
        <w:t>二、收入决算情况说明</w:t>
      </w:r>
    </w:p>
    <w:p w14:paraId="160B6765">
      <w:pPr>
        <w:spacing w:line="580" w:lineRule="exact"/>
        <w:ind w:firstLine="640"/>
        <w:jc w:val="both"/>
      </w:pPr>
      <w:r>
        <w:rPr>
          <w:rFonts w:ascii="仿宋_GB2312" w:hAnsi="仿宋_GB2312" w:eastAsia="仿宋_GB2312"/>
          <w:b/>
          <w:sz w:val="32"/>
        </w:rPr>
        <w:t>本年收入18,745.70万元，</w:t>
      </w:r>
      <w:r>
        <w:rPr>
          <w:rFonts w:ascii="仿宋_GB2312" w:hAnsi="仿宋_GB2312" w:eastAsia="仿宋_GB2312"/>
          <w:b w:val="0"/>
          <w:sz w:val="32"/>
        </w:rPr>
        <w:t>其中：财政拨款收入18,608.46万元，占99.27%；上级补助收入0.00万元，占0.00%；事业收入0.00万元，占0.00%；经营收入0.00万元，占0.00%；附属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上缴收入0.00万元，占0.00%；其他收入137.25万元，占0.73%。</w:t>
      </w:r>
    </w:p>
    <w:p w14:paraId="76ACF978">
      <w:pPr>
        <w:spacing w:line="640" w:lineRule="exact"/>
        <w:ind w:firstLine="640"/>
        <w:jc w:val="both"/>
        <w:outlineLvl w:val="2"/>
      </w:pPr>
      <w:r>
        <w:rPr>
          <w:rFonts w:ascii="黑体" w:hAnsi="黑体" w:eastAsia="黑体"/>
          <w:sz w:val="32"/>
        </w:rPr>
        <w:t>三、支出决算情况说明</w:t>
      </w:r>
    </w:p>
    <w:p w14:paraId="5F6E4C1E">
      <w:pPr>
        <w:spacing w:line="580" w:lineRule="exact"/>
        <w:ind w:firstLine="640"/>
        <w:jc w:val="both"/>
      </w:pPr>
      <w:r>
        <w:rPr>
          <w:rFonts w:ascii="仿宋_GB2312" w:hAnsi="仿宋_GB2312" w:eastAsia="仿宋_GB2312"/>
          <w:b/>
          <w:sz w:val="32"/>
        </w:rPr>
        <w:t>本年支出18,745.70万元，</w:t>
      </w:r>
      <w:r>
        <w:rPr>
          <w:rFonts w:ascii="仿宋_GB2312" w:hAnsi="仿宋_GB2312" w:eastAsia="仿宋_GB2312"/>
          <w:b w:val="0"/>
          <w:sz w:val="32"/>
        </w:rPr>
        <w:t>其中：基本支出7,253.75万元，占38.70%；项目支出11,491.95万元，占61.30%；上缴上级支出0.00万元，占0.00%；经营支出0.00万元，占0.00%；对附属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FD52DD8">
      <w:pPr>
        <w:spacing w:line="640" w:lineRule="exact"/>
        <w:ind w:firstLine="640"/>
        <w:jc w:val="both"/>
        <w:outlineLvl w:val="2"/>
      </w:pPr>
      <w:r>
        <w:rPr>
          <w:rFonts w:ascii="黑体" w:hAnsi="黑体" w:eastAsia="黑体"/>
          <w:sz w:val="32"/>
        </w:rPr>
        <w:t>四、财政拨款收入支出决算总体情况说明</w:t>
      </w:r>
    </w:p>
    <w:p w14:paraId="06CAC4F9">
      <w:pPr>
        <w:spacing w:line="580" w:lineRule="exact"/>
        <w:ind w:firstLine="640"/>
        <w:jc w:val="both"/>
      </w:pPr>
      <w:r>
        <w:rPr>
          <w:rFonts w:ascii="仿宋_GB2312" w:hAnsi="仿宋_GB2312" w:eastAsia="仿宋_GB2312"/>
          <w:b/>
          <w:sz w:val="32"/>
        </w:rPr>
        <w:t>2024年度财政拨款收入总计18,608.46万元，</w:t>
      </w:r>
      <w:r>
        <w:rPr>
          <w:rFonts w:ascii="仿宋_GB2312" w:hAnsi="仿宋_GB2312" w:eastAsia="仿宋_GB2312"/>
          <w:b w:val="0"/>
          <w:sz w:val="32"/>
        </w:rPr>
        <w:t>其中：年初财政拨款结转和结余0.00万元，本年财政拨款收入18,608.46万元。</w:t>
      </w:r>
      <w:r>
        <w:rPr>
          <w:rFonts w:ascii="仿宋_GB2312" w:hAnsi="仿宋_GB2312" w:eastAsia="仿宋_GB2312"/>
          <w:b/>
          <w:sz w:val="32"/>
        </w:rPr>
        <w:t>财政拨款支出总计18,608.46万元，</w:t>
      </w:r>
      <w:r>
        <w:rPr>
          <w:rFonts w:ascii="仿宋_GB2312" w:hAnsi="仿宋_GB2312" w:eastAsia="仿宋_GB2312"/>
          <w:b w:val="0"/>
          <w:sz w:val="32"/>
        </w:rPr>
        <w:t>其中：年末财政拨款结转和结余0.00万元，本年财政拨款支出18,608.46万元。</w:t>
      </w:r>
    </w:p>
    <w:p w14:paraId="341EBAB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增加2,843.20万元，增长18.03%，主要原因是：本年增加伊犁州特克斯县军警技能综合训练基地建设项目、“平安城市建设”“便民警务站”等相关费用。</w:t>
      </w:r>
      <w:r>
        <w:rPr>
          <w:rFonts w:ascii="仿宋_GB2312" w:hAnsi="仿宋_GB2312" w:eastAsia="仿宋_GB2312"/>
          <w:b/>
          <w:sz w:val="32"/>
        </w:rPr>
        <w:t>与年初预算相比，</w:t>
      </w:r>
      <w:r>
        <w:rPr>
          <w:rFonts w:ascii="仿宋_GB2312" w:hAnsi="仿宋_GB2312" w:eastAsia="仿宋_GB2312"/>
          <w:b w:val="0"/>
          <w:sz w:val="32"/>
        </w:rPr>
        <w:t>年初预算数12,640.99万元，决算数18,608.46万元，预决算差异率47.21%，主要原因是：年中追加县政府巡逻防控大队辅警人员2024年工资社保及伙食费项目、伊犁州特克斯县军警技能综合训练基地建设项目，导致预决算存在差异。</w:t>
      </w:r>
    </w:p>
    <w:p w14:paraId="31F37F5B">
      <w:pPr>
        <w:spacing w:line="640" w:lineRule="exact"/>
        <w:ind w:firstLine="640"/>
        <w:jc w:val="both"/>
        <w:outlineLvl w:val="2"/>
      </w:pPr>
      <w:r>
        <w:rPr>
          <w:rFonts w:ascii="黑体" w:hAnsi="黑体" w:eastAsia="黑体"/>
          <w:sz w:val="32"/>
        </w:rPr>
        <w:t>五、一般公共预算财政拨款支出决算情况说明</w:t>
      </w:r>
    </w:p>
    <w:p w14:paraId="3F5BC7D4">
      <w:pPr>
        <w:spacing w:line="640" w:lineRule="exact"/>
        <w:ind w:firstLine="640"/>
        <w:jc w:val="both"/>
        <w:outlineLvl w:val="3"/>
      </w:pPr>
      <w:r>
        <w:rPr>
          <w:rFonts w:ascii="楷体_GB2312" w:hAnsi="楷体_GB2312" w:eastAsia="楷体_GB2312"/>
          <w:b/>
          <w:sz w:val="32"/>
        </w:rPr>
        <w:t>（一）一般公共预算财政拨款支出决算总体情况</w:t>
      </w:r>
    </w:p>
    <w:p w14:paraId="020B87F3">
      <w:pPr>
        <w:spacing w:line="580" w:lineRule="exact"/>
        <w:ind w:firstLine="640"/>
        <w:jc w:val="both"/>
      </w:pPr>
      <w:r>
        <w:rPr>
          <w:rFonts w:ascii="仿宋_GB2312" w:hAnsi="仿宋_GB2312" w:eastAsia="仿宋_GB2312"/>
          <w:b/>
          <w:sz w:val="32"/>
        </w:rPr>
        <w:t>2024年度一般公共预算财政拨款支出18,608.46万元，</w:t>
      </w:r>
      <w:r>
        <w:rPr>
          <w:rFonts w:ascii="仿宋_GB2312" w:hAnsi="仿宋_GB2312" w:eastAsia="仿宋_GB2312"/>
          <w:b w:val="0"/>
          <w:sz w:val="32"/>
        </w:rPr>
        <w:t>占本年支出合计的99.27%。</w:t>
      </w:r>
      <w:r>
        <w:rPr>
          <w:rFonts w:ascii="仿宋_GB2312" w:hAnsi="仿宋_GB2312" w:eastAsia="仿宋_GB2312"/>
          <w:b/>
          <w:sz w:val="32"/>
        </w:rPr>
        <w:t>与上年相比，</w:t>
      </w:r>
      <w:r>
        <w:rPr>
          <w:rFonts w:ascii="仿宋_GB2312" w:hAnsi="仿宋_GB2312" w:eastAsia="仿宋_GB2312"/>
          <w:b w:val="0"/>
          <w:sz w:val="32"/>
        </w:rPr>
        <w:t>增加2,843.20万元，增长18.03%，主要原因是：本年增加伊犁州特克斯县军警技能综合训练基地建设项目、“平安城市建设”“便民警务站”等相关费用。</w:t>
      </w:r>
      <w:r>
        <w:rPr>
          <w:rFonts w:ascii="仿宋_GB2312" w:hAnsi="仿宋_GB2312" w:eastAsia="仿宋_GB2312"/>
          <w:b/>
          <w:sz w:val="32"/>
        </w:rPr>
        <w:t>与年初预算相比,</w:t>
      </w:r>
      <w:r>
        <w:rPr>
          <w:rFonts w:ascii="仿宋_GB2312" w:hAnsi="仿宋_GB2312" w:eastAsia="仿宋_GB2312"/>
          <w:b w:val="0"/>
          <w:sz w:val="32"/>
        </w:rPr>
        <w:t>年初预算数12,640.99万元，决算数18,608.46万元，预决算差异率47.21%，主要原因是：年中追加县政府巡逻防控大队辅警人员2024年工资社保及伙食费项目、伊犁州特克斯县军警技能综合训练基地建设项目，导致预决算存在差异。</w:t>
      </w:r>
    </w:p>
    <w:p w14:paraId="4ACEBCB6">
      <w:pPr>
        <w:spacing w:line="640" w:lineRule="exact"/>
        <w:ind w:firstLine="640"/>
        <w:jc w:val="both"/>
        <w:outlineLvl w:val="3"/>
      </w:pPr>
      <w:r>
        <w:rPr>
          <w:rFonts w:ascii="楷体_GB2312" w:hAnsi="楷体_GB2312" w:eastAsia="楷体_GB2312"/>
          <w:b/>
          <w:sz w:val="32"/>
        </w:rPr>
        <w:t>（二）一般公共预算财政拨款支出决算结构情况</w:t>
      </w:r>
    </w:p>
    <w:p w14:paraId="3F0FD540">
      <w:pPr>
        <w:spacing w:line="580" w:lineRule="exact"/>
        <w:ind w:firstLine="640"/>
        <w:jc w:val="both"/>
      </w:pPr>
      <w:r>
        <w:rPr>
          <w:rFonts w:ascii="仿宋_GB2312" w:hAnsi="仿宋_GB2312" w:eastAsia="仿宋_GB2312"/>
          <w:b w:val="0"/>
          <w:sz w:val="32"/>
        </w:rPr>
        <w:t>1.公共安全支出(类)16,879.38万元,占90.71%。</w:t>
      </w:r>
    </w:p>
    <w:p w14:paraId="789F044F">
      <w:pPr>
        <w:spacing w:line="580" w:lineRule="exact"/>
        <w:ind w:firstLine="640"/>
        <w:jc w:val="both"/>
      </w:pPr>
      <w:r>
        <w:rPr>
          <w:rFonts w:ascii="仿宋_GB2312" w:hAnsi="仿宋_GB2312" w:eastAsia="仿宋_GB2312"/>
          <w:b w:val="0"/>
          <w:sz w:val="32"/>
        </w:rPr>
        <w:t>2.科学技术支出(类)361.31万元,占1.94%。</w:t>
      </w:r>
    </w:p>
    <w:p w14:paraId="3FC34FC9">
      <w:pPr>
        <w:spacing w:line="580" w:lineRule="exact"/>
        <w:ind w:firstLine="640"/>
        <w:jc w:val="both"/>
      </w:pPr>
      <w:r>
        <w:rPr>
          <w:rFonts w:ascii="仿宋_GB2312" w:hAnsi="仿宋_GB2312" w:eastAsia="仿宋_GB2312"/>
          <w:b w:val="0"/>
          <w:sz w:val="32"/>
        </w:rPr>
        <w:t>3.社会保障和就业支出(类)645.72万元,占3.47%。</w:t>
      </w:r>
    </w:p>
    <w:p w14:paraId="4A5B0D29">
      <w:pPr>
        <w:spacing w:line="580" w:lineRule="exact"/>
        <w:ind w:firstLine="640"/>
        <w:jc w:val="both"/>
      </w:pPr>
      <w:r>
        <w:rPr>
          <w:rFonts w:ascii="仿宋_GB2312" w:hAnsi="仿宋_GB2312" w:eastAsia="仿宋_GB2312"/>
          <w:b w:val="0"/>
          <w:sz w:val="32"/>
        </w:rPr>
        <w:t>4.卫生健康支出(类)249.51万元,占1.34%。</w:t>
      </w:r>
    </w:p>
    <w:p w14:paraId="223B86EA">
      <w:pPr>
        <w:spacing w:line="580" w:lineRule="exact"/>
        <w:ind w:firstLine="640"/>
        <w:jc w:val="both"/>
      </w:pPr>
      <w:r>
        <w:rPr>
          <w:rFonts w:ascii="仿宋_GB2312" w:hAnsi="仿宋_GB2312" w:eastAsia="仿宋_GB2312"/>
          <w:b w:val="0"/>
          <w:sz w:val="32"/>
        </w:rPr>
        <w:t>5.住房保障支出(类)472.53万元,占2.54%。</w:t>
      </w:r>
    </w:p>
    <w:p w14:paraId="7457D079">
      <w:pPr>
        <w:spacing w:line="640" w:lineRule="exact"/>
        <w:ind w:firstLine="640"/>
        <w:jc w:val="both"/>
        <w:outlineLvl w:val="3"/>
      </w:pPr>
      <w:r>
        <w:rPr>
          <w:rFonts w:ascii="楷体_GB2312" w:hAnsi="楷体_GB2312" w:eastAsia="楷体_GB2312"/>
          <w:b/>
          <w:sz w:val="32"/>
        </w:rPr>
        <w:t>（三）一般公共预算财政拨款支出决算具体情况</w:t>
      </w:r>
    </w:p>
    <w:p w14:paraId="7FCF74E0">
      <w:pPr>
        <w:spacing w:line="580" w:lineRule="exact"/>
        <w:ind w:firstLine="640"/>
        <w:jc w:val="both"/>
      </w:pPr>
      <w:r>
        <w:rPr>
          <w:rFonts w:ascii="仿宋_GB2312" w:hAnsi="仿宋_GB2312" w:eastAsia="仿宋_GB2312"/>
          <w:b w:val="0"/>
          <w:sz w:val="32"/>
        </w:rPr>
        <w:t>1.公共安全支出(类)公安(款)行政运行(项):支出决算数为5,875.99万元，比上年决算减少55.94万元，下降0.94%,主要原因是：本年在职人员减少，相应人员经费较上年减少。</w:t>
      </w:r>
    </w:p>
    <w:p w14:paraId="0C57ED85">
      <w:pPr>
        <w:spacing w:line="580" w:lineRule="exact"/>
        <w:ind w:firstLine="640"/>
        <w:jc w:val="both"/>
      </w:pPr>
      <w:r>
        <w:rPr>
          <w:rFonts w:ascii="仿宋_GB2312" w:hAnsi="仿宋_GB2312" w:eastAsia="仿宋_GB2312"/>
          <w:b w:val="0"/>
          <w:sz w:val="32"/>
        </w:rPr>
        <w:t>2.公共安全支出(类)公安(款)信息化建设(项):支出决算数为1,406.44万元，比上年决算增加1,206.44万元，增长603.22%,主要原因是：本年度我</w:t>
      </w:r>
      <w:r>
        <w:rPr>
          <w:rFonts w:hint="eastAsia" w:ascii="仿宋_GB2312" w:hAnsi="仿宋_GB2312" w:eastAsia="仿宋_GB2312"/>
          <w:b w:val="0"/>
          <w:sz w:val="32"/>
          <w:lang w:eastAsia="zh-CN"/>
        </w:rPr>
        <w:t>单位</w:t>
      </w:r>
      <w:r>
        <w:rPr>
          <w:rFonts w:ascii="仿宋_GB2312" w:hAnsi="仿宋_GB2312" w:eastAsia="仿宋_GB2312"/>
          <w:b w:val="0"/>
          <w:sz w:val="32"/>
        </w:rPr>
        <w:t>增加“平安城市建设”“便民警务站”等相关费用。</w:t>
      </w:r>
    </w:p>
    <w:p w14:paraId="5F6B0066">
      <w:pPr>
        <w:spacing w:line="580" w:lineRule="exact"/>
        <w:ind w:firstLine="640"/>
        <w:jc w:val="both"/>
      </w:pPr>
      <w:r>
        <w:rPr>
          <w:rFonts w:ascii="仿宋_GB2312" w:hAnsi="仿宋_GB2312" w:eastAsia="仿宋_GB2312"/>
          <w:b w:val="0"/>
          <w:sz w:val="32"/>
        </w:rPr>
        <w:t>3.公共安全支出(类)公安(款)执法办案(项):支出决算数为0.00万元，比上年决算减少31.45万元，下降100.00%,主要原因是：本年度我</w:t>
      </w:r>
      <w:r>
        <w:rPr>
          <w:rFonts w:hint="eastAsia" w:ascii="仿宋_GB2312" w:hAnsi="仿宋_GB2312" w:eastAsia="仿宋_GB2312"/>
          <w:b w:val="0"/>
          <w:sz w:val="32"/>
          <w:lang w:eastAsia="zh-CN"/>
        </w:rPr>
        <w:t>单位</w:t>
      </w:r>
      <w:r>
        <w:rPr>
          <w:rFonts w:ascii="仿宋_GB2312" w:hAnsi="仿宋_GB2312" w:eastAsia="仿宋_GB2312"/>
          <w:b w:val="0"/>
          <w:sz w:val="32"/>
        </w:rPr>
        <w:t>减少公安业务经费。</w:t>
      </w:r>
    </w:p>
    <w:p w14:paraId="028F2FD3">
      <w:pPr>
        <w:spacing w:line="580" w:lineRule="exact"/>
        <w:ind w:firstLine="640"/>
        <w:jc w:val="both"/>
      </w:pPr>
      <w:r>
        <w:rPr>
          <w:rFonts w:ascii="仿宋_GB2312" w:hAnsi="仿宋_GB2312" w:eastAsia="仿宋_GB2312"/>
          <w:b w:val="0"/>
          <w:sz w:val="32"/>
        </w:rPr>
        <w:t>4.公共安全支出(类)公安(款)特别业务(项):支出决算数为0.00万元，比上年决算减少13.00万元，下降100.00%,主要原因是：本年度我</w:t>
      </w:r>
      <w:r>
        <w:rPr>
          <w:rFonts w:hint="eastAsia" w:ascii="仿宋_GB2312" w:hAnsi="仿宋_GB2312" w:eastAsia="仿宋_GB2312"/>
          <w:b w:val="0"/>
          <w:sz w:val="32"/>
          <w:lang w:eastAsia="zh-CN"/>
        </w:rPr>
        <w:t>单位</w:t>
      </w:r>
      <w:r>
        <w:rPr>
          <w:rFonts w:ascii="仿宋_GB2312" w:hAnsi="仿宋_GB2312" w:eastAsia="仿宋_GB2312"/>
          <w:b w:val="0"/>
          <w:sz w:val="32"/>
        </w:rPr>
        <w:t>减少特别业务经费。</w:t>
      </w:r>
    </w:p>
    <w:p w14:paraId="4702D0E7">
      <w:pPr>
        <w:spacing w:line="580" w:lineRule="exact"/>
        <w:ind w:firstLine="640"/>
        <w:jc w:val="both"/>
      </w:pPr>
      <w:r>
        <w:rPr>
          <w:rFonts w:ascii="仿宋_GB2312" w:hAnsi="仿宋_GB2312" w:eastAsia="仿宋_GB2312"/>
          <w:b w:val="0"/>
          <w:sz w:val="32"/>
        </w:rPr>
        <w:t>5.公共安全支出(类)公安(款)其他公安支出(项):支出决算数为9,596.95万元，比上年决算增加1,618.49万元，增长20.29%,主要原因是：本年度我</w:t>
      </w:r>
      <w:r>
        <w:rPr>
          <w:rFonts w:hint="eastAsia" w:ascii="仿宋_GB2312" w:hAnsi="仿宋_GB2312" w:eastAsia="仿宋_GB2312"/>
          <w:b w:val="0"/>
          <w:sz w:val="32"/>
          <w:lang w:eastAsia="zh-CN"/>
        </w:rPr>
        <w:t>单位</w:t>
      </w:r>
      <w:r>
        <w:rPr>
          <w:rFonts w:ascii="仿宋_GB2312" w:hAnsi="仿宋_GB2312" w:eastAsia="仿宋_GB2312"/>
          <w:b w:val="0"/>
          <w:sz w:val="32"/>
        </w:rPr>
        <w:t>增加伊犁州特克斯县军警技能综合训练基地建设项目。</w:t>
      </w:r>
    </w:p>
    <w:p w14:paraId="2E462BE4">
      <w:pPr>
        <w:spacing w:line="580" w:lineRule="exact"/>
        <w:ind w:firstLine="640"/>
        <w:jc w:val="both"/>
      </w:pPr>
      <w:r>
        <w:rPr>
          <w:rFonts w:ascii="仿宋_GB2312" w:hAnsi="仿宋_GB2312" w:eastAsia="仿宋_GB2312"/>
          <w:b w:val="0"/>
          <w:sz w:val="32"/>
        </w:rPr>
        <w:t>6.科学技术支出(类)技术研究与开发(款)科技成果转化与扩散(项):支出决算数为361.31万元，比上年决算增加311.31万元，增长622.62%,主要原因是：本年度新增化解中小企业欠款项目。</w:t>
      </w:r>
    </w:p>
    <w:p w14:paraId="3D3C7D23">
      <w:pPr>
        <w:spacing w:line="580" w:lineRule="exact"/>
        <w:ind w:firstLine="640"/>
        <w:jc w:val="both"/>
      </w:pPr>
      <w:r>
        <w:rPr>
          <w:rFonts w:ascii="仿宋_GB2312" w:hAnsi="仿宋_GB2312" w:eastAsia="仿宋_GB2312"/>
          <w:b w:val="0"/>
          <w:sz w:val="32"/>
        </w:rPr>
        <w:t>7.科学技术支出(类)科技条件与服务(款)技术创新服务体系(项):支出决算数为0.00万元，比上年决算减少30.00万元，</w:t>
      </w:r>
      <w:r>
        <w:rPr>
          <w:rFonts w:ascii="仿宋_GB2312" w:hAnsi="仿宋_GB2312" w:eastAsia="仿宋_GB2312"/>
          <w:b w:val="0"/>
          <w:spacing w:val="6"/>
          <w:sz w:val="32"/>
        </w:rPr>
        <w:t>下降100.00%,主要原因是：本年度我</w:t>
      </w:r>
      <w:r>
        <w:rPr>
          <w:rFonts w:hint="eastAsia" w:ascii="仿宋_GB2312" w:hAnsi="仿宋_GB2312" w:eastAsia="仿宋_GB2312"/>
          <w:b w:val="0"/>
          <w:spacing w:val="6"/>
          <w:sz w:val="32"/>
          <w:lang w:eastAsia="zh-CN"/>
        </w:rPr>
        <w:t>单位</w:t>
      </w:r>
      <w:r>
        <w:rPr>
          <w:rFonts w:ascii="仿宋_GB2312" w:hAnsi="仿宋_GB2312" w:eastAsia="仿宋_GB2312"/>
          <w:b w:val="0"/>
          <w:spacing w:val="6"/>
          <w:sz w:val="32"/>
        </w:rPr>
        <w:t>减少查缉装备采购经费。</w:t>
      </w:r>
    </w:p>
    <w:p w14:paraId="37960957">
      <w:pPr>
        <w:spacing w:line="580" w:lineRule="exact"/>
        <w:ind w:firstLine="640"/>
        <w:jc w:val="both"/>
      </w:pPr>
      <w:r>
        <w:rPr>
          <w:rFonts w:ascii="仿宋_GB2312" w:hAnsi="仿宋_GB2312" w:eastAsia="仿宋_GB2312"/>
          <w:b w:val="0"/>
          <w:sz w:val="32"/>
        </w:rPr>
        <w:t>8.科学技术支出(类)科技条件与服务(款)其他科技条件与服务支出(项):支出决算数为0.00万元，比上年决算减少196.28万元，下降100.00%,主要原因是：本年度减少YTH平台深度应用建设项目。</w:t>
      </w:r>
    </w:p>
    <w:p w14:paraId="4F062577">
      <w:pPr>
        <w:spacing w:line="580" w:lineRule="exact"/>
        <w:ind w:firstLine="640"/>
        <w:jc w:val="both"/>
      </w:pPr>
      <w:r>
        <w:rPr>
          <w:rFonts w:ascii="仿宋_GB2312" w:hAnsi="仿宋_GB2312" w:eastAsia="仿宋_GB2312"/>
          <w:b w:val="0"/>
          <w:sz w:val="32"/>
        </w:rPr>
        <w:t>9.社会保障和就业支出(类)行政事业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基本养老保险缴费支出(项):支出决算数为552.59万元，比上年决算增加27.60万元，增长5.26%,主要原因是：本年在职人员工资基数调增，养老缴费基数上涨，相应支出增加。</w:t>
      </w:r>
    </w:p>
    <w:p w14:paraId="3EF06960">
      <w:pPr>
        <w:spacing w:line="580" w:lineRule="exact"/>
        <w:ind w:firstLine="640"/>
        <w:jc w:val="both"/>
      </w:pPr>
      <w:r>
        <w:rPr>
          <w:rFonts w:ascii="仿宋_GB2312" w:hAnsi="仿宋_GB2312" w:eastAsia="仿宋_GB2312"/>
          <w:b w:val="0"/>
          <w:sz w:val="32"/>
        </w:rPr>
        <w:t>10.社会保障和就业支出(类)行政事业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职业年金缴费支出(项):支出决算数为41.07万元，比上年决算减少40.67万元，下降49.76%,主要原因是：本年新增退休人员较上年减少，职业年金缴费较上年减少。</w:t>
      </w:r>
    </w:p>
    <w:p w14:paraId="47986312">
      <w:pPr>
        <w:spacing w:line="580" w:lineRule="exact"/>
        <w:ind w:firstLine="640"/>
        <w:jc w:val="both"/>
      </w:pPr>
      <w:r>
        <w:rPr>
          <w:rFonts w:ascii="仿宋_GB2312" w:hAnsi="仿宋_GB2312" w:eastAsia="仿宋_GB2312"/>
          <w:b w:val="0"/>
          <w:sz w:val="32"/>
        </w:rPr>
        <w:t>11.社会保障和就业支出(类)抚恤(款)死亡抚恤(项):支出决算数为52.07万元，比上年决算减少14.25万元，下降21.49%,</w:t>
      </w:r>
      <w:r>
        <w:rPr>
          <w:rFonts w:ascii="仿宋_GB2312" w:hAnsi="仿宋_GB2312" w:eastAsia="仿宋_GB2312"/>
          <w:b w:val="0"/>
          <w:spacing w:val="6"/>
          <w:sz w:val="32"/>
        </w:rPr>
        <w:t>主要原因是：本年死亡人员较上年减少，死亡抚恤支出较上年减少。</w:t>
      </w:r>
    </w:p>
    <w:p w14:paraId="41A50253">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医疗(项):支出决算数为240.60万元，比上年决算减少2.71万元，下降1.11%,主要原因是：本年在职人员减少，行政</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6B562F88">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医疗(款)公务员医疗补助(项):支出决算数为4.40万元，比上年决算减少0.27万元，下降5.78%,主要原因是：本年在职人员减少，公务员医疗补助较上年减少。</w:t>
      </w:r>
    </w:p>
    <w:p w14:paraId="434E2F6D">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医疗支出(项):支出决算数为4.52万元，比上年决算减少1.12万元，下降19.86%,主要原因是：本年在职人员减少，其他行政事业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37E0B0C">
      <w:pPr>
        <w:spacing w:line="580" w:lineRule="exact"/>
        <w:ind w:firstLine="640"/>
        <w:jc w:val="both"/>
      </w:pPr>
      <w:r>
        <w:rPr>
          <w:rFonts w:ascii="仿宋_GB2312" w:hAnsi="仿宋_GB2312" w:eastAsia="仿宋_GB2312"/>
          <w:b w:val="0"/>
          <w:sz w:val="32"/>
        </w:rPr>
        <w:t>15.住房保障支出(类)住房改革支出(款)住房公积金(项):支出决算数为472.53万元，比上年决算增加65.07万元，增长15.97%,主要原因是：本年在职人员工资基数调增，公积金缴费基数上涨，相应支出增加。</w:t>
      </w:r>
    </w:p>
    <w:p w14:paraId="0D796B35">
      <w:pPr>
        <w:spacing w:line="640" w:lineRule="exact"/>
        <w:ind w:firstLine="640"/>
        <w:jc w:val="both"/>
        <w:outlineLvl w:val="2"/>
      </w:pPr>
      <w:r>
        <w:rPr>
          <w:rFonts w:ascii="黑体" w:hAnsi="黑体" w:eastAsia="黑体"/>
          <w:sz w:val="32"/>
        </w:rPr>
        <w:t>六、一般公共预算财政拨款基本支出决算情况说明</w:t>
      </w:r>
    </w:p>
    <w:p w14:paraId="3DB72E66">
      <w:pPr>
        <w:spacing w:line="580" w:lineRule="exact"/>
        <w:ind w:firstLine="640"/>
        <w:jc w:val="both"/>
      </w:pPr>
      <w:r>
        <w:rPr>
          <w:rFonts w:ascii="仿宋_GB2312" w:hAnsi="仿宋_GB2312" w:eastAsia="仿宋_GB2312"/>
          <w:b w:val="0"/>
          <w:sz w:val="32"/>
        </w:rPr>
        <w:t>2024年度一般公共预算财政拨款基本支出7,253.75万元，其中：</w:t>
      </w:r>
      <w:r>
        <w:rPr>
          <w:rFonts w:ascii="仿宋_GB2312" w:hAnsi="仿宋_GB2312" w:eastAsia="仿宋_GB2312"/>
          <w:b/>
          <w:sz w:val="32"/>
        </w:rPr>
        <w:t>人员经费6,546.91万元，</w:t>
      </w:r>
      <w:r>
        <w:rPr>
          <w:rFonts w:ascii="仿宋_GB2312" w:hAnsi="仿宋_GB2312" w:eastAsia="仿宋_GB2312"/>
          <w:b w:val="0"/>
          <w:sz w:val="32"/>
        </w:rPr>
        <w:t>包括：基本工资、津贴补贴、奖金、伙食补助费、绩效工资、机关事业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w:t>
      </w:r>
    </w:p>
    <w:p w14:paraId="04052F61">
      <w:pPr>
        <w:spacing w:line="580" w:lineRule="exact"/>
        <w:ind w:firstLine="640"/>
        <w:jc w:val="both"/>
      </w:pPr>
      <w:r>
        <w:rPr>
          <w:rFonts w:ascii="仿宋_GB2312" w:hAnsi="仿宋_GB2312" w:eastAsia="仿宋_GB2312"/>
          <w:b/>
          <w:sz w:val="32"/>
        </w:rPr>
        <w:t>公用经费706.84万元，</w:t>
      </w:r>
      <w:r>
        <w:rPr>
          <w:rFonts w:ascii="仿宋_GB2312" w:hAnsi="仿宋_GB2312" w:eastAsia="仿宋_GB2312"/>
          <w:b w:val="0"/>
          <w:sz w:val="32"/>
        </w:rPr>
        <w:t>包括：办公费、水费、电费、邮电费、取暖费、差旅费、租赁费、培训费、工会经费、公务用车运行维护费。</w:t>
      </w:r>
    </w:p>
    <w:p w14:paraId="1D311832">
      <w:pPr>
        <w:spacing w:line="640" w:lineRule="exact"/>
        <w:ind w:firstLine="640"/>
        <w:jc w:val="both"/>
        <w:outlineLvl w:val="2"/>
      </w:pPr>
      <w:r>
        <w:rPr>
          <w:rFonts w:ascii="黑体" w:hAnsi="黑体" w:eastAsia="黑体"/>
          <w:sz w:val="32"/>
        </w:rPr>
        <w:t>七、政府性基金预算财政拨款收入支出决算情况说明</w:t>
      </w:r>
    </w:p>
    <w:p w14:paraId="44EEB80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FA374DA">
      <w:pPr>
        <w:spacing w:line="640" w:lineRule="exact"/>
        <w:ind w:firstLine="640"/>
        <w:jc w:val="both"/>
        <w:outlineLvl w:val="2"/>
      </w:pPr>
      <w:r>
        <w:rPr>
          <w:rFonts w:ascii="黑体" w:hAnsi="黑体" w:eastAsia="黑体"/>
          <w:sz w:val="32"/>
        </w:rPr>
        <w:t>八、国有资本经营预算财政拨款收入支出决算情况说明</w:t>
      </w:r>
    </w:p>
    <w:p w14:paraId="176ABA7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31448AFC">
      <w:pPr>
        <w:spacing w:line="640" w:lineRule="exact"/>
        <w:ind w:firstLine="640"/>
        <w:jc w:val="both"/>
        <w:outlineLvl w:val="2"/>
      </w:pPr>
      <w:r>
        <w:rPr>
          <w:rFonts w:ascii="黑体" w:hAnsi="黑体" w:eastAsia="黑体"/>
          <w:sz w:val="32"/>
        </w:rPr>
        <w:t>九、财政拨款“三公”经费支出决算情况说明</w:t>
      </w:r>
    </w:p>
    <w:p w14:paraId="05F87777">
      <w:pPr>
        <w:spacing w:line="580" w:lineRule="exact"/>
        <w:ind w:firstLine="640"/>
        <w:jc w:val="both"/>
      </w:pPr>
      <w:r>
        <w:rPr>
          <w:rFonts w:ascii="仿宋_GB2312" w:hAnsi="仿宋_GB2312" w:eastAsia="仿宋_GB2312"/>
          <w:b/>
          <w:sz w:val="32"/>
        </w:rPr>
        <w:t>2024年度财政拨款“三公”经费支出347.05万元，</w:t>
      </w:r>
      <w:r>
        <w:rPr>
          <w:rFonts w:ascii="仿宋_GB2312" w:hAnsi="仿宋_GB2312" w:eastAsia="仿宋_GB2312"/>
          <w:b w:val="0"/>
          <w:sz w:val="32"/>
        </w:rPr>
        <w:t>比上年减少20.57万元，下降5.60%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347.05万元，占100.00%，比上年减少20.57万元，下降5.60%，主要原因是：严格落实中央八项规定精神，厉行节约，减少公务用车运行维护费。公务接待费支出0.00万元，占0.00%，比上年增加0.00万元，增长0.00%，主要原因是：2023年与2024年均未安排公务接待费支出。</w:t>
      </w:r>
    </w:p>
    <w:p w14:paraId="3B49FF31">
      <w:pPr>
        <w:spacing w:line="580" w:lineRule="exact"/>
        <w:ind w:firstLine="640"/>
        <w:jc w:val="both"/>
      </w:pPr>
      <w:r>
        <w:rPr>
          <w:rFonts w:ascii="仿宋_GB2312" w:hAnsi="仿宋_GB2312" w:eastAsia="仿宋_GB2312"/>
          <w:b/>
          <w:sz w:val="32"/>
        </w:rPr>
        <w:t>具体情况如下：</w:t>
      </w:r>
    </w:p>
    <w:p w14:paraId="563AEB5A">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3B33AE7">
      <w:pPr>
        <w:spacing w:line="580" w:lineRule="exact"/>
        <w:ind w:firstLine="640"/>
        <w:jc w:val="both"/>
      </w:pPr>
      <w:r>
        <w:rPr>
          <w:rFonts w:ascii="仿宋_GB2312" w:hAnsi="仿宋_GB2312" w:eastAsia="仿宋_GB2312"/>
          <w:b w:val="0"/>
          <w:sz w:val="32"/>
        </w:rPr>
        <w:t>公务用车购置及运行维护费347.05万元，其中：公务用车购置费0.00万元，公务用车运行维护费347.05万元。公务用车运行维护费开支内容包括车辆加油费、维修费、保险费、审车费、过路费等。公务用车购置数0辆，公务用车保有量176辆。国有资产占用情况中固定资产车辆176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5115A136">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45075F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347.05万元，决算数347.05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347.05万元，决算数347.05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4E935235">
      <w:pPr>
        <w:spacing w:line="640" w:lineRule="exact"/>
        <w:ind w:firstLine="640"/>
        <w:jc w:val="both"/>
        <w:outlineLvl w:val="2"/>
      </w:pPr>
      <w:r>
        <w:rPr>
          <w:rFonts w:ascii="黑体" w:hAnsi="黑体" w:eastAsia="黑体"/>
          <w:sz w:val="32"/>
        </w:rPr>
        <w:t>十、其他重要事项的情况说明</w:t>
      </w:r>
    </w:p>
    <w:p w14:paraId="7E4D3C3C">
      <w:pPr>
        <w:spacing w:line="640" w:lineRule="exact"/>
        <w:ind w:firstLine="640"/>
        <w:jc w:val="both"/>
        <w:outlineLvl w:val="3"/>
      </w:pPr>
      <w:r>
        <w:rPr>
          <w:rFonts w:ascii="楷体_GB2312" w:hAnsi="楷体_GB2312" w:eastAsia="楷体_GB2312"/>
          <w:b/>
          <w:sz w:val="32"/>
        </w:rPr>
        <w:t>（一）机关运行经费及公用经费支出情况</w:t>
      </w:r>
    </w:p>
    <w:p w14:paraId="07261F35">
      <w:pPr>
        <w:spacing w:line="580" w:lineRule="exact"/>
        <w:ind w:firstLine="640"/>
        <w:jc w:val="both"/>
      </w:pPr>
      <w:r>
        <w:rPr>
          <w:rFonts w:ascii="仿宋_GB2312" w:hAnsi="仿宋_GB2312" w:eastAsia="仿宋_GB2312"/>
          <w:b w:val="0"/>
          <w:sz w:val="32"/>
        </w:rPr>
        <w:t>2024年度特克斯县公安局（行政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）机关运行经费支出706.84万元，比上年减少142.52万元，下降16.78%，主要原因是：严控经费支出，厉行节约，减少办公费支出。</w:t>
      </w:r>
    </w:p>
    <w:p w14:paraId="1190F3DB">
      <w:pPr>
        <w:spacing w:line="640" w:lineRule="exact"/>
        <w:ind w:firstLine="640"/>
        <w:jc w:val="both"/>
        <w:outlineLvl w:val="3"/>
      </w:pPr>
      <w:r>
        <w:rPr>
          <w:rFonts w:ascii="楷体_GB2312" w:hAnsi="楷体_GB2312" w:eastAsia="楷体_GB2312"/>
          <w:b/>
          <w:sz w:val="32"/>
        </w:rPr>
        <w:t>（二）政府采购情况</w:t>
      </w:r>
    </w:p>
    <w:p w14:paraId="5E087E9D">
      <w:pPr>
        <w:spacing w:line="580" w:lineRule="exact"/>
        <w:ind w:firstLine="640"/>
        <w:jc w:val="both"/>
      </w:pPr>
      <w:r>
        <w:rPr>
          <w:rFonts w:ascii="仿宋_GB2312" w:hAnsi="仿宋_GB2312" w:eastAsia="仿宋_GB2312"/>
          <w:b w:val="0"/>
          <w:sz w:val="32"/>
        </w:rPr>
        <w:t>2024年度政府采购支出总额170.69万元，其中：政府采购货物支出25.80万元、政府采购工程支出100.00万元、政府采购服务支出44.89万元。</w:t>
      </w:r>
    </w:p>
    <w:p w14:paraId="08574FB4">
      <w:pPr>
        <w:spacing w:line="580" w:lineRule="exact"/>
        <w:ind w:firstLine="640"/>
        <w:jc w:val="both"/>
      </w:pPr>
      <w:r>
        <w:rPr>
          <w:rFonts w:ascii="仿宋_GB2312" w:hAnsi="仿宋_GB2312" w:eastAsia="仿宋_GB2312"/>
          <w:b w:val="0"/>
          <w:sz w:val="32"/>
        </w:rPr>
        <w:t>授予中小企业合同金额163.56万元，占政府采购支出总额的95.82%，其中：授予小微企业合同金额143.42万元，占政府采购支出总额的84.02%。</w:t>
      </w:r>
    </w:p>
    <w:p w14:paraId="34B8FA6E">
      <w:pPr>
        <w:spacing w:line="640" w:lineRule="exact"/>
        <w:ind w:firstLine="640"/>
        <w:jc w:val="both"/>
        <w:outlineLvl w:val="3"/>
      </w:pPr>
      <w:r>
        <w:rPr>
          <w:rFonts w:ascii="楷体_GB2312" w:hAnsi="楷体_GB2312" w:eastAsia="楷体_GB2312"/>
          <w:b/>
          <w:sz w:val="32"/>
        </w:rPr>
        <w:t>（三）国有资产占用情况说明</w:t>
      </w:r>
    </w:p>
    <w:p w14:paraId="51A01958">
      <w:pPr>
        <w:spacing w:line="580" w:lineRule="exact"/>
        <w:ind w:firstLine="640"/>
        <w:jc w:val="both"/>
      </w:pPr>
      <w:r>
        <w:rPr>
          <w:rFonts w:ascii="仿宋_GB2312" w:hAnsi="仿宋_GB2312" w:eastAsia="仿宋_GB2312"/>
          <w:b w:val="0"/>
          <w:sz w:val="32"/>
        </w:rPr>
        <w:t>截至2024年12月31日，房屋46,584.25平方米，价值7,073.53万元。车辆176辆，价值2,108.52万元，其中：副部（省）级及以上领导用车0辆、主要负责人用车0辆、机要通信用车0辆、应急保障用车0辆、执法执勤用车128辆、特种专业技术用车0辆、离退休干部服务用车0辆、其他用车48辆，其他用车主要是：一般公务用车。单价100万元（含）以上设备（不含车辆）3台（套）。</w:t>
      </w:r>
    </w:p>
    <w:p w14:paraId="08A6FB6D">
      <w:pPr>
        <w:spacing w:line="640" w:lineRule="exact"/>
        <w:ind w:firstLine="640"/>
        <w:jc w:val="both"/>
        <w:outlineLvl w:val="2"/>
      </w:pPr>
      <w:r>
        <w:rPr>
          <w:rFonts w:ascii="黑体" w:hAnsi="黑体" w:eastAsia="黑体"/>
          <w:sz w:val="32"/>
        </w:rPr>
        <w:t>十一、预算绩效的情况说明</w:t>
      </w:r>
    </w:p>
    <w:p w14:paraId="3CBF51D7">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w:t>
      </w:r>
      <w:r>
        <w:rPr>
          <w:rFonts w:hint="eastAsia" w:ascii="仿宋_GB2312" w:hAnsi="仿宋_GB2312" w:eastAsia="仿宋_GB2312"/>
          <w:b w:val="0"/>
          <w:sz w:val="32"/>
        </w:rPr>
        <w:t>18,745.70</w:t>
      </w:r>
      <w:r>
        <w:rPr>
          <w:rFonts w:ascii="仿宋_GB2312" w:hAnsi="仿宋_GB2312" w:eastAsia="仿宋_GB2312"/>
          <w:b w:val="0"/>
          <w:sz w:val="32"/>
        </w:rPr>
        <w:t>万元，实际执行总额</w:t>
      </w:r>
      <w:r>
        <w:rPr>
          <w:rFonts w:hint="eastAsia" w:ascii="仿宋_GB2312" w:hAnsi="仿宋_GB2312" w:eastAsia="仿宋_GB2312"/>
          <w:b w:val="0"/>
          <w:sz w:val="32"/>
        </w:rPr>
        <w:t>18,745.70</w:t>
      </w:r>
      <w:r>
        <w:rPr>
          <w:rFonts w:ascii="仿宋_GB2312" w:hAnsi="仿宋_GB2312" w:eastAsia="仿宋_GB2312"/>
          <w:b w:val="0"/>
          <w:sz w:val="32"/>
        </w:rPr>
        <w:t>万元；预算绩效评价项目9个，全年预算数9,900.53万元，全年执行数9,851.98万元。预算绩效管理取得的成效：我</w:t>
      </w:r>
      <w:r>
        <w:rPr>
          <w:rFonts w:hint="eastAsia" w:ascii="仿宋_GB2312" w:hAnsi="仿宋_GB2312" w:eastAsia="仿宋_GB2312"/>
          <w:b w:val="0"/>
          <w:sz w:val="32"/>
          <w:lang w:eastAsia="zh-CN"/>
        </w:rPr>
        <w:t>单位</w:t>
      </w:r>
      <w:r>
        <w:rPr>
          <w:rFonts w:ascii="仿宋_GB2312" w:hAnsi="仿宋_GB2312" w:eastAsia="仿宋_GB2312"/>
          <w:b w:val="0"/>
          <w:sz w:val="32"/>
        </w:rPr>
        <w:t>绩效自评项目不予公开。发现的问题及原因：我</w:t>
      </w:r>
      <w:r>
        <w:rPr>
          <w:rFonts w:hint="eastAsia" w:ascii="仿宋_GB2312" w:hAnsi="仿宋_GB2312" w:eastAsia="仿宋_GB2312"/>
          <w:b w:val="0"/>
          <w:sz w:val="32"/>
          <w:lang w:eastAsia="zh-CN"/>
        </w:rPr>
        <w:t>单位</w:t>
      </w:r>
      <w:r>
        <w:rPr>
          <w:rFonts w:ascii="仿宋_GB2312" w:hAnsi="仿宋_GB2312" w:eastAsia="仿宋_GB2312"/>
          <w:b w:val="0"/>
          <w:sz w:val="32"/>
        </w:rPr>
        <w:t>绩效自评项目不予公开。下一步改进措施：我</w:t>
      </w:r>
      <w:r>
        <w:rPr>
          <w:rFonts w:hint="eastAsia" w:ascii="仿宋_GB2312" w:hAnsi="仿宋_GB2312" w:eastAsia="仿宋_GB2312"/>
          <w:b w:val="0"/>
          <w:sz w:val="32"/>
          <w:lang w:eastAsia="zh-CN"/>
        </w:rPr>
        <w:t>单位</w:t>
      </w:r>
      <w:r>
        <w:rPr>
          <w:rFonts w:ascii="仿宋_GB2312" w:hAnsi="仿宋_GB2312" w:eastAsia="仿宋_GB2312"/>
          <w:b w:val="0"/>
          <w:sz w:val="32"/>
        </w:rPr>
        <w:t>绩效自评项目不予公开。</w:t>
      </w:r>
    </w:p>
    <w:p w14:paraId="50143938">
      <w:r>
        <w:br w:type="page"/>
      </w:r>
    </w:p>
    <w:p w14:paraId="05C3F6C5">
      <w:pPr>
        <w:spacing w:line="640" w:lineRule="exact"/>
        <w:ind w:firstLine="640"/>
        <w:jc w:val="both"/>
        <w:outlineLvl w:val="2"/>
      </w:pPr>
      <w:r>
        <w:rPr>
          <w:rFonts w:ascii="黑体" w:hAnsi="黑体" w:eastAsia="黑体"/>
          <w:sz w:val="32"/>
        </w:rPr>
        <w:t>十二、其他需说明的事项</w:t>
      </w:r>
    </w:p>
    <w:p w14:paraId="4439ECAD">
      <w:pPr>
        <w:spacing w:line="580" w:lineRule="exact"/>
        <w:ind w:firstLine="640"/>
        <w:jc w:val="both"/>
      </w:pPr>
      <w:r>
        <w:rPr>
          <w:rFonts w:ascii="仿宋_GB2312" w:hAnsi="仿宋_GB2312" w:eastAsia="仿宋_GB2312"/>
          <w:b w:val="0"/>
          <w:sz w:val="32"/>
        </w:rPr>
        <w:t>本年度本</w:t>
      </w:r>
      <w:r>
        <w:rPr>
          <w:rFonts w:hint="eastAsia" w:ascii="仿宋_GB2312" w:hAnsi="仿宋_GB2312" w:eastAsia="仿宋_GB2312"/>
          <w:b w:val="0"/>
          <w:sz w:val="32"/>
          <w:lang w:eastAsia="zh-CN"/>
        </w:rPr>
        <w:t>单位</w:t>
      </w:r>
      <w:r>
        <w:rPr>
          <w:rFonts w:ascii="仿宋_GB2312" w:hAnsi="仿宋_GB2312" w:eastAsia="仿宋_GB2312"/>
          <w:b w:val="0"/>
          <w:sz w:val="32"/>
        </w:rPr>
        <w:t>整体绩效自评表不予公开；本年本</w:t>
      </w:r>
      <w:r>
        <w:rPr>
          <w:rFonts w:hint="eastAsia" w:ascii="仿宋_GB2312" w:hAnsi="仿宋_GB2312" w:eastAsia="仿宋_GB2312"/>
          <w:b w:val="0"/>
          <w:sz w:val="32"/>
          <w:lang w:eastAsia="zh-CN"/>
        </w:rPr>
        <w:t>单位</w:t>
      </w:r>
      <w:r>
        <w:rPr>
          <w:rFonts w:ascii="仿宋_GB2312" w:hAnsi="仿宋_GB2312" w:eastAsia="仿宋_GB2312"/>
          <w:b w:val="0"/>
          <w:sz w:val="32"/>
        </w:rPr>
        <w:t>SM项目9个，全年预算数9,900.53万元，全年执行数9,851.98万元。</w:t>
      </w:r>
    </w:p>
    <w:p w14:paraId="6D9F253E">
      <w:r>
        <w:br w:type="page"/>
      </w:r>
    </w:p>
    <w:p w14:paraId="50F0D269">
      <w:pPr>
        <w:spacing w:line="240" w:lineRule="auto"/>
        <w:jc w:val="center"/>
        <w:outlineLvl w:val="1"/>
      </w:pPr>
      <w:r>
        <w:rPr>
          <w:rFonts w:ascii="黑体" w:hAnsi="黑体" w:eastAsia="黑体"/>
          <w:sz w:val="32"/>
        </w:rPr>
        <w:t>第三部分 专业名词解释</w:t>
      </w:r>
    </w:p>
    <w:p w14:paraId="55E393F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E40580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015A25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7089181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C61699F">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17C7863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2FFCF9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BF4C0D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8E0CD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8DF70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20E9F7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316DF41">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75AC91E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A349E3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3949DB60">
      <w:r>
        <w:br w:type="page"/>
      </w:r>
    </w:p>
    <w:p w14:paraId="4B17FEDE">
      <w:pPr>
        <w:spacing w:line="240" w:lineRule="auto"/>
        <w:jc w:val="center"/>
        <w:outlineLvl w:val="1"/>
      </w:pPr>
      <w:r>
        <w:rPr>
          <w:rFonts w:ascii="黑体" w:hAnsi="黑体" w:eastAsia="黑体"/>
          <w:sz w:val="32"/>
        </w:rPr>
        <w:t>第四部分 部门决算报表（见附表）</w:t>
      </w:r>
    </w:p>
    <w:p w14:paraId="171EFA1B">
      <w:pPr>
        <w:spacing w:line="240" w:lineRule="auto"/>
        <w:ind w:firstLine="640"/>
        <w:jc w:val="both"/>
      </w:pPr>
      <w:r>
        <w:rPr>
          <w:rFonts w:ascii="仿宋_GB2312" w:hAnsi="仿宋_GB2312" w:eastAsia="仿宋_GB2312"/>
          <w:b w:val="0"/>
          <w:sz w:val="32"/>
        </w:rPr>
        <w:t>一、《收入支出决算总表》</w:t>
      </w:r>
    </w:p>
    <w:p w14:paraId="5415F133">
      <w:pPr>
        <w:spacing w:line="240" w:lineRule="auto"/>
        <w:ind w:firstLine="640"/>
        <w:jc w:val="both"/>
      </w:pPr>
      <w:r>
        <w:rPr>
          <w:rFonts w:ascii="仿宋_GB2312" w:hAnsi="仿宋_GB2312" w:eastAsia="仿宋_GB2312"/>
          <w:b w:val="0"/>
          <w:sz w:val="32"/>
        </w:rPr>
        <w:t>二、《收入决算表》</w:t>
      </w:r>
    </w:p>
    <w:p w14:paraId="457BAC2B">
      <w:pPr>
        <w:spacing w:line="240" w:lineRule="auto"/>
        <w:ind w:firstLine="640"/>
        <w:jc w:val="both"/>
      </w:pPr>
      <w:r>
        <w:rPr>
          <w:rFonts w:ascii="仿宋_GB2312" w:hAnsi="仿宋_GB2312" w:eastAsia="仿宋_GB2312"/>
          <w:b w:val="0"/>
          <w:sz w:val="32"/>
        </w:rPr>
        <w:t>三、《支出决算表》</w:t>
      </w:r>
    </w:p>
    <w:p w14:paraId="6D6476E5">
      <w:pPr>
        <w:spacing w:line="240" w:lineRule="auto"/>
        <w:ind w:firstLine="640"/>
        <w:jc w:val="both"/>
      </w:pPr>
      <w:r>
        <w:rPr>
          <w:rFonts w:ascii="仿宋_GB2312" w:hAnsi="仿宋_GB2312" w:eastAsia="仿宋_GB2312"/>
          <w:b w:val="0"/>
          <w:sz w:val="32"/>
        </w:rPr>
        <w:t>四、《财政拨款收入支出决算总表》</w:t>
      </w:r>
    </w:p>
    <w:p w14:paraId="710A1072">
      <w:pPr>
        <w:spacing w:line="240" w:lineRule="auto"/>
        <w:ind w:firstLine="640"/>
        <w:jc w:val="both"/>
      </w:pPr>
      <w:r>
        <w:rPr>
          <w:rFonts w:ascii="仿宋_GB2312" w:hAnsi="仿宋_GB2312" w:eastAsia="仿宋_GB2312"/>
          <w:b w:val="0"/>
          <w:sz w:val="32"/>
        </w:rPr>
        <w:t>五、《一般公共预算财政拨款支出决算表》</w:t>
      </w:r>
    </w:p>
    <w:p w14:paraId="55D9B282">
      <w:pPr>
        <w:spacing w:line="240" w:lineRule="auto"/>
        <w:ind w:firstLine="640"/>
        <w:jc w:val="both"/>
      </w:pPr>
      <w:r>
        <w:rPr>
          <w:rFonts w:ascii="仿宋_GB2312" w:hAnsi="仿宋_GB2312" w:eastAsia="仿宋_GB2312"/>
          <w:b w:val="0"/>
          <w:sz w:val="32"/>
        </w:rPr>
        <w:t>六、《一般公共预算财政拨款基本支出决算表》</w:t>
      </w:r>
    </w:p>
    <w:p w14:paraId="4BBDD340">
      <w:pPr>
        <w:spacing w:line="240" w:lineRule="auto"/>
        <w:ind w:firstLine="640"/>
        <w:jc w:val="both"/>
      </w:pPr>
      <w:r>
        <w:rPr>
          <w:rFonts w:ascii="仿宋_GB2312" w:hAnsi="仿宋_GB2312" w:eastAsia="仿宋_GB2312"/>
          <w:b w:val="0"/>
          <w:sz w:val="32"/>
        </w:rPr>
        <w:t>七、《政府性基金预算财政拨款收入支出决算表》</w:t>
      </w:r>
    </w:p>
    <w:p w14:paraId="7C04D8DF">
      <w:pPr>
        <w:spacing w:line="240" w:lineRule="auto"/>
        <w:ind w:firstLine="640"/>
        <w:jc w:val="both"/>
      </w:pPr>
      <w:r>
        <w:rPr>
          <w:rFonts w:ascii="仿宋_GB2312" w:hAnsi="仿宋_GB2312" w:eastAsia="仿宋_GB2312"/>
          <w:b w:val="0"/>
          <w:sz w:val="32"/>
        </w:rPr>
        <w:t>八、《国有资本经营预算财政拨款收入支出决算表》</w:t>
      </w:r>
    </w:p>
    <w:p w14:paraId="0B9CCD34">
      <w:pPr>
        <w:spacing w:line="240" w:lineRule="auto"/>
        <w:ind w:firstLine="640"/>
        <w:jc w:val="both"/>
      </w:pPr>
      <w:r>
        <w:rPr>
          <w:rFonts w:ascii="仿宋_GB2312" w:hAnsi="仿宋_GB2312" w:eastAsia="仿宋_GB2312"/>
          <w:b w:val="0"/>
          <w:sz w:val="32"/>
        </w:rPr>
        <w:t>九、《财政拨款“三公”经费支出决算表》</w:t>
      </w:r>
    </w:p>
    <w:p w14:paraId="61583BBF">
      <w:pPr>
        <w:spacing w:line="240" w:lineRule="auto"/>
        <w:ind w:firstLine="640"/>
        <w:jc w:val="both"/>
      </w:pPr>
    </w:p>
    <w:p w14:paraId="36D26322">
      <w:pPr>
        <w:spacing w:line="240" w:lineRule="auto"/>
        <w:ind w:firstLine="640"/>
        <w:jc w:val="both"/>
      </w:pPr>
    </w:p>
    <w:p w14:paraId="68ACF457">
      <w:pPr>
        <w:spacing w:line="240" w:lineRule="auto"/>
        <w:ind w:firstLine="640"/>
        <w:jc w:val="both"/>
      </w:pPr>
    </w:p>
    <w:p w14:paraId="0BB8F100">
      <w:pPr>
        <w:spacing w:line="240" w:lineRule="auto"/>
        <w:ind w:firstLine="640"/>
        <w:jc w:val="both"/>
      </w:pPr>
    </w:p>
    <w:p w14:paraId="2FB5A18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0E294E"/>
    <w:rsid w:val="021B7195"/>
    <w:rsid w:val="02F73D26"/>
    <w:rsid w:val="034D4FEF"/>
    <w:rsid w:val="043E5B56"/>
    <w:rsid w:val="06792773"/>
    <w:rsid w:val="06AF2E58"/>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15651D"/>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aa113b-53da-4619-a817-5a47e66e8216}">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5654</Words>
  <Characters>6602</Characters>
  <Lines>0</Lines>
  <Paragraphs>0</Paragraphs>
  <TotalTime>16</TotalTime>
  <ScaleCrop>false</ScaleCrop>
  <LinksUpToDate>false</LinksUpToDate>
  <CharactersWithSpaces>6612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