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特克斯县乔拉克铁热克镇人民政府2024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1196C6">
      <w:r>
        <w:br w:type="page"/>
      </w:r>
    </w:p>
    <w:p w14:paraId="025717D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27D6AB6">
      <w:pPr>
        <w:spacing w:line="640" w:lineRule="exact"/>
        <w:ind w:firstLine="640"/>
        <w:jc w:val="both"/>
        <w:outlineLvl w:val="2"/>
      </w:pPr>
      <w:r>
        <w:rPr>
          <w:rFonts w:ascii="黑体" w:hAnsi="黑体" w:eastAsia="黑体"/>
          <w:sz w:val="32"/>
        </w:rPr>
        <w:t>一、主要职能</w:t>
      </w:r>
    </w:p>
    <w:p w14:paraId="596B34F1">
      <w:pPr>
        <w:spacing w:line="580" w:lineRule="exact"/>
        <w:ind w:firstLine="640"/>
        <w:jc w:val="both"/>
      </w:pPr>
      <w:r>
        <w:rPr>
          <w:rFonts w:ascii="仿宋_GB2312" w:hAnsi="仿宋_GB2312" w:eastAsia="仿宋_GB2312"/>
          <w:sz w:val="32"/>
        </w:rPr>
        <w:t>(一)镇党委。</w:t>
      </w:r>
    </w:p>
    <w:p w14:paraId="4750D384">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14:paraId="1EFF258D">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14:paraId="6A91ADDD">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14:paraId="12783D8C">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14:paraId="2D2040CB">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14:paraId="6405BB59">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w:t>
      </w:r>
      <w:r>
        <w:rPr>
          <w:rFonts w:hint="eastAsia" w:ascii="仿宋_GB2312" w:hAnsi="仿宋_GB2312" w:eastAsia="仿宋_GB2312"/>
          <w:sz w:val="32"/>
          <w:lang w:eastAsia="zh-CN"/>
        </w:rPr>
        <w:t>ZJ</w:t>
      </w:r>
      <w:r>
        <w:rPr>
          <w:rFonts w:ascii="仿宋_GB2312" w:hAnsi="仿宋_GB2312" w:eastAsia="仿宋_GB2312"/>
          <w:sz w:val="32"/>
        </w:rPr>
        <w:t>等工作，维护社会稳定。对重大的突发性事件，迅速反应及时应对，并立即向上级党委报告。</w:t>
      </w:r>
    </w:p>
    <w:p w14:paraId="41CEF536">
      <w:pPr>
        <w:spacing w:line="580" w:lineRule="exact"/>
        <w:ind w:firstLine="640"/>
        <w:jc w:val="both"/>
      </w:pPr>
      <w:r>
        <w:rPr>
          <w:rFonts w:ascii="仿宋_GB2312" w:hAnsi="仿宋_GB2312" w:eastAsia="仿宋_GB2312"/>
          <w:sz w:val="32"/>
        </w:rPr>
        <w:t>7.完成县委交办的其他任务。</w:t>
      </w:r>
    </w:p>
    <w:p w14:paraId="710618D5">
      <w:pPr>
        <w:spacing w:line="580" w:lineRule="exact"/>
        <w:ind w:firstLine="640"/>
        <w:jc w:val="both"/>
      </w:pPr>
      <w:r>
        <w:rPr>
          <w:rFonts w:ascii="仿宋_GB2312" w:hAnsi="仿宋_GB2312" w:eastAsia="仿宋_GB2312"/>
          <w:sz w:val="32"/>
        </w:rPr>
        <w:t>(二)镇人民政府。</w:t>
      </w:r>
    </w:p>
    <w:p w14:paraId="4FFEE231">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14:paraId="4C295F54">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14:paraId="394FC069">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退役军人事务、统计等工作。加强公共设施和公共服务体系建设。配合做好数字政府和信息基础设施建设。</w:t>
      </w:r>
    </w:p>
    <w:p w14:paraId="1DACCB02">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14:paraId="1047D9CF">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14:paraId="203FAE6C">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6.铸牢中华民族共同体意识，促进各民族广泛交往交流交融，保障少数民族的合法权利和利益，保障少数民族保持或者改革自己的风俗习惯的自由。</w:t>
      </w:r>
    </w:p>
    <w:p w14:paraId="4EA3E8B5">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14:paraId="335E49EE">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14:paraId="0A6335DC">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14:paraId="1C486C79">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w:t>
      </w:r>
      <w:r>
        <w:rPr>
          <w:rFonts w:hint="eastAsia" w:ascii="仿宋_GB2312" w:hAnsi="仿宋_GB2312" w:eastAsia="仿宋_GB2312"/>
          <w:sz w:val="32"/>
          <w:lang w:eastAsia="zh-CN"/>
        </w:rPr>
        <w:t>单位</w:t>
      </w:r>
      <w:r>
        <w:rPr>
          <w:rFonts w:ascii="仿宋_GB2312" w:hAnsi="仿宋_GB2312" w:eastAsia="仿宋_GB2312"/>
          <w:sz w:val="32"/>
        </w:rPr>
        <w:t>和村(居)民参与村(社区)建设、管理。</w:t>
      </w:r>
    </w:p>
    <w:p w14:paraId="645DD57E">
      <w:pPr>
        <w:spacing w:line="580" w:lineRule="exact"/>
        <w:ind w:firstLine="640"/>
        <w:jc w:val="both"/>
      </w:pPr>
      <w:r>
        <w:rPr>
          <w:rFonts w:ascii="仿宋_GB2312" w:hAnsi="仿宋_GB2312" w:eastAsia="仿宋_GB2312"/>
          <w:sz w:val="32"/>
        </w:rPr>
        <w:t>11.办理县委、县人民政府交办的其他事项。</w:t>
      </w:r>
    </w:p>
    <w:p w14:paraId="62C9B570">
      <w:pPr>
        <w:spacing w:line="580" w:lineRule="exact"/>
        <w:ind w:firstLine="640"/>
        <w:jc w:val="both"/>
      </w:pPr>
      <w:r>
        <w:rPr>
          <w:rFonts w:ascii="仿宋_GB2312" w:hAnsi="仿宋_GB2312" w:eastAsia="仿宋_GB2312"/>
          <w:sz w:val="32"/>
        </w:rPr>
        <w:t>镇党委、政府根据本规定第三条所明确的主要职责，组织实施权责清单，逐项明确权责名称、权责类型、设定依据、履责方式、追责情形等。在此基础上，制定办事指南、运行流程图等，进一步优化行政程序，规范权力运行。</w:t>
      </w:r>
    </w:p>
    <w:p w14:paraId="1A8B26F3">
      <w:pPr>
        <w:spacing w:line="580" w:lineRule="exact"/>
        <w:ind w:firstLine="640"/>
        <w:jc w:val="both"/>
      </w:pPr>
      <w:r>
        <w:rPr>
          <w:rFonts w:ascii="仿宋_GB2312" w:hAnsi="仿宋_GB2312" w:eastAsia="仿宋_GB2312"/>
          <w:sz w:val="32"/>
        </w:rPr>
        <w:t>镇党委、政府设下列内设机构。</w:t>
      </w:r>
    </w:p>
    <w:p w14:paraId="694F8A08">
      <w:pPr>
        <w:spacing w:line="580" w:lineRule="exact"/>
        <w:ind w:firstLine="640"/>
        <w:jc w:val="both"/>
      </w:pPr>
      <w:r>
        <w:rPr>
          <w:rFonts w:ascii="仿宋_GB2312" w:hAnsi="仿宋_GB2312" w:eastAsia="仿宋_GB2312"/>
          <w:sz w:val="32"/>
        </w:rPr>
        <w:t>(一)党政综合办公室。主要负责文秘、档案、保密、翻译、综合协调、后勤保障等工作。负责数字化发展、营商环境建设等工作。负责制定机关各项工作制度并监督落实。负责机关、事业</w:t>
      </w:r>
      <w:r>
        <w:rPr>
          <w:rFonts w:hint="eastAsia" w:ascii="仿宋_GB2312" w:hAnsi="仿宋_GB2312" w:eastAsia="仿宋_GB2312"/>
          <w:sz w:val="32"/>
          <w:lang w:eastAsia="zh-CN"/>
        </w:rPr>
        <w:t>单位</w:t>
      </w:r>
      <w:r>
        <w:rPr>
          <w:rFonts w:ascii="仿宋_GB2312" w:hAnsi="仿宋_GB2312" w:eastAsia="仿宋_GB2312"/>
          <w:sz w:val="32"/>
        </w:rPr>
        <w:t>效能建设及绩效考核。负责机关、派驻机构、事业机构的综合协调工作。统筹推进本镇和所辖村(社区)巡察整改相关工作。落实干部岗位在村“2112”工作机制。负责建立完善“乡镇吹哨、部门报到”“接诉即办”工作机制，制定实施“呼叫”事项办理信息反馈评价制度，负责县直部门派驻机构人员和赋权执法事项部门下沉的执法人员的统一指挥调度，完善和实施对派驻机构人员和县直部门下沉执法人员履职的考核评价机制。</w:t>
      </w:r>
    </w:p>
    <w:p w14:paraId="7ADC1744">
      <w:pPr>
        <w:spacing w:line="580" w:lineRule="exact"/>
        <w:ind w:firstLine="640"/>
        <w:jc w:val="both"/>
      </w:pPr>
      <w:r>
        <w:rPr>
          <w:rFonts w:ascii="仿宋_GB2312" w:hAnsi="仿宋_GB2312" w:eastAsia="仿宋_GB2312"/>
          <w:sz w:val="32"/>
        </w:rPr>
        <w:t>(二)党建工作办公室。主要负责纪检、党务、组织、宣传、社会工作、机构编制、人事、老干部等工作的规划、管理、协调和</w:t>
      </w:r>
      <w:r>
        <w:rPr>
          <w:rFonts w:hint="eastAsia" w:ascii="仿宋_GB2312" w:hAnsi="仿宋_GB2312" w:eastAsia="仿宋_GB2312"/>
          <w:sz w:val="32"/>
          <w:lang w:eastAsia="zh-CN"/>
        </w:rPr>
        <w:t>监督</w:t>
      </w:r>
      <w:r>
        <w:rPr>
          <w:rFonts w:ascii="仿宋_GB2312" w:hAnsi="仿宋_GB2312" w:eastAsia="仿宋_GB2312"/>
          <w:sz w:val="32"/>
        </w:rPr>
        <w:t>工作。负责宣传党的各项方针、政策。负责党的基层组织建设和党员队伍建设工作。负责党风廉政建设工作。负责党建引领基层治理和基层政权建设、“两企三新”党建、社会工作人才队伍建设，建立健全基层社会工作格局。负责人大、团委、工会、妇联等日常事务。负责政协委员的联络工作。负责</w:t>
      </w:r>
      <w:r>
        <w:rPr>
          <w:rFonts w:hint="eastAsia" w:ascii="仿宋_GB2312" w:hAnsi="仿宋_GB2312" w:eastAsia="仿宋_GB2312"/>
          <w:sz w:val="32"/>
          <w:lang w:eastAsia="zh-CN"/>
        </w:rPr>
        <w:t>为民办实事</w:t>
      </w:r>
      <w:r>
        <w:rPr>
          <w:rFonts w:ascii="仿宋_GB2312" w:hAnsi="仿宋_GB2312" w:eastAsia="仿宋_GB2312"/>
          <w:sz w:val="32"/>
        </w:rPr>
        <w:t>工作、“民族团结一家亲”、升国旗、农牧民夜校、积分兑换、村(社区)考核。负责组织开展辖区群众的宣传、发动、服务工作，铸牢中华民族共同体意识。负责辖区社团组织的培育、发展和管理。</w:t>
      </w:r>
    </w:p>
    <w:p w14:paraId="52C510A5">
      <w:pPr>
        <w:spacing w:line="580" w:lineRule="exact"/>
        <w:ind w:firstLine="640"/>
        <w:jc w:val="both"/>
      </w:pPr>
      <w:r>
        <w:rPr>
          <w:rFonts w:ascii="仿宋_GB2312" w:hAnsi="仿宋_GB2312" w:eastAsia="仿宋_GB2312"/>
          <w:sz w:val="32"/>
        </w:rPr>
        <w:t>(三)经济发展和财政办公室。主要负责农业、农技、农机、林业、畜牧、水利、财政、土地、统计、交通、村镇建设、乡村振兴、招商引资、项目管理、一二三产业的规划、管理、服务、协调和监督工作。拟定经济发展、产业结构规划、计划并组织实施。贯彻落实统筹城乡发展、加快推进城乡一体化工作总体部署和目标任务。负责农村经济管理、财务管理等工作。负责镇政府财政预算决算的编制、办理各项收支结算和对账、报账工作。</w:t>
      </w:r>
    </w:p>
    <w:p w14:paraId="2388632C">
      <w:pPr>
        <w:spacing w:line="580" w:lineRule="exact"/>
        <w:ind w:firstLine="640"/>
        <w:jc w:val="both"/>
      </w:pPr>
      <w:r>
        <w:rPr>
          <w:rFonts w:ascii="仿宋_GB2312" w:hAnsi="仿宋_GB2312" w:eastAsia="仿宋_GB2312"/>
          <w:sz w:val="32"/>
        </w:rPr>
        <w:t>(四)社会事务办公室(退役军人服务站)。主要负责政法、社会治安综合治理、网信、民族宗教、信访、司法、统战、科技、教育、文化、卫生、体育、广播电视、旅游、安全生产、应急管理、消防救援、民政、劳动就业、社会保障、社会救助、防灾救灾减灾、退役军人、残疾人、红十字事业的规划、管理、协调和监督工作。负责拟定社会发展规划、计划并组织实施。协助做好镇人武部工作。</w:t>
      </w:r>
    </w:p>
    <w:p w14:paraId="3AB9C456">
      <w:pPr>
        <w:spacing w:line="580" w:lineRule="exact"/>
        <w:ind w:firstLine="640"/>
        <w:jc w:val="both"/>
      </w:pPr>
      <w:r>
        <w:rPr>
          <w:rFonts w:ascii="仿宋_GB2312" w:hAnsi="仿宋_GB2312" w:eastAsia="仿宋_GB2312"/>
          <w:sz w:val="32"/>
        </w:rPr>
        <w:t>(五)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推进综合行政执法信息系统建设。负责联系协调县政府相关部门派驻镇执法人员以及本镇执法人员执法工作。组织实施乡镇行政处罚赋权事项清单、权责清单、县乡“属地管理”事项责任清单，建立清单动态调整和公示机制，推动责权一致、责能一致。</w:t>
      </w:r>
    </w:p>
    <w:p w14:paraId="63686E3A">
      <w:pPr>
        <w:spacing w:line="640" w:lineRule="exact"/>
        <w:ind w:firstLine="640"/>
        <w:jc w:val="both"/>
        <w:outlineLvl w:val="2"/>
      </w:pPr>
      <w:r>
        <w:rPr>
          <w:rFonts w:ascii="黑体" w:hAnsi="黑体" w:eastAsia="黑体"/>
          <w:sz w:val="32"/>
        </w:rPr>
        <w:t>二、机构设置及人员情况</w:t>
      </w:r>
    </w:p>
    <w:p w14:paraId="42E678D0">
      <w:pPr>
        <w:spacing w:line="580" w:lineRule="exact"/>
        <w:ind w:firstLine="640"/>
        <w:jc w:val="both"/>
      </w:pPr>
      <w:r>
        <w:rPr>
          <w:rFonts w:ascii="仿宋_GB2312" w:hAnsi="仿宋_GB2312" w:eastAsia="仿宋_GB2312"/>
          <w:sz w:val="32"/>
        </w:rPr>
        <w:t>特克斯县乔拉克铁热克镇人民政府2024年度，实有人数235人，其中：在职人员180人，增加2人；离休人员0人，增加0人；退休人员55人,增加1人。</w:t>
      </w:r>
    </w:p>
    <w:p w14:paraId="68D42B4F">
      <w:pPr>
        <w:spacing w:line="580" w:lineRule="exact"/>
        <w:ind w:firstLine="640"/>
        <w:jc w:val="both"/>
      </w:pPr>
      <w:r>
        <w:rPr>
          <w:rFonts w:ascii="仿宋_GB2312" w:hAnsi="仿宋_GB2312" w:eastAsia="仿宋_GB2312"/>
          <w:sz w:val="32"/>
        </w:rPr>
        <w:t>特克斯县乔拉克铁热克镇人民政府无下属预算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党政综合办公室、党建工作办公室、经济发展和财政办公室、社会事务办公室（退役军人服务站）、综合执法办公室、农业发展服务中心、公共文化服务中心、便民服务中心、村镇建设发展中心、综治和网格化服务中心。</w:t>
      </w:r>
    </w:p>
    <w:p w14:paraId="2B0A3B2C">
      <w:r>
        <w:br w:type="page"/>
      </w:r>
    </w:p>
    <w:p w14:paraId="2A604EBB">
      <w:pPr>
        <w:spacing w:line="240" w:lineRule="auto"/>
        <w:jc w:val="center"/>
        <w:outlineLvl w:val="1"/>
      </w:pPr>
      <w:r>
        <w:rPr>
          <w:rFonts w:ascii="黑体" w:hAnsi="黑体" w:eastAsia="黑体"/>
          <w:sz w:val="32"/>
        </w:rPr>
        <w:t>第二部分 部门决算情况说明</w:t>
      </w:r>
    </w:p>
    <w:p w14:paraId="2782AA93">
      <w:pPr>
        <w:spacing w:line="640" w:lineRule="exact"/>
        <w:ind w:firstLine="640"/>
        <w:jc w:val="both"/>
        <w:outlineLvl w:val="2"/>
      </w:pPr>
      <w:r>
        <w:rPr>
          <w:rFonts w:ascii="黑体" w:hAnsi="黑体" w:eastAsia="黑体"/>
          <w:sz w:val="32"/>
        </w:rPr>
        <w:t>一、收入支出决算总体情况说明</w:t>
      </w:r>
    </w:p>
    <w:p w14:paraId="63FE88EA">
      <w:pPr>
        <w:spacing w:line="580" w:lineRule="exact"/>
        <w:ind w:firstLine="640"/>
        <w:jc w:val="both"/>
      </w:pPr>
      <w:r>
        <w:rPr>
          <w:rFonts w:ascii="仿宋_GB2312" w:hAnsi="仿宋_GB2312" w:eastAsia="仿宋_GB2312"/>
          <w:b/>
          <w:sz w:val="32"/>
        </w:rPr>
        <w:t>2024年度收入总计8,541.15万元，</w:t>
      </w:r>
      <w:r>
        <w:rPr>
          <w:rFonts w:ascii="仿宋_GB2312" w:hAnsi="仿宋_GB2312" w:eastAsia="仿宋_GB2312"/>
          <w:b w:val="0"/>
          <w:sz w:val="32"/>
        </w:rPr>
        <w:t>其中：本年收入合计8,541.15万元，使用非财政拨款结余（含专用结余）0.00万元，年初结转和结余0.00万元。</w:t>
      </w:r>
    </w:p>
    <w:p w14:paraId="0584DE4B">
      <w:pPr>
        <w:spacing w:line="580" w:lineRule="exact"/>
        <w:ind w:firstLine="640"/>
        <w:jc w:val="both"/>
      </w:pPr>
      <w:r>
        <w:rPr>
          <w:rFonts w:ascii="仿宋_GB2312" w:hAnsi="仿宋_GB2312" w:eastAsia="仿宋_GB2312"/>
          <w:b/>
          <w:sz w:val="32"/>
        </w:rPr>
        <w:t>2024年度支出总计8,541.15万元，</w:t>
      </w:r>
      <w:r>
        <w:rPr>
          <w:rFonts w:ascii="仿宋_GB2312" w:hAnsi="仿宋_GB2312" w:eastAsia="仿宋_GB2312"/>
          <w:b w:val="0"/>
          <w:sz w:val="32"/>
        </w:rPr>
        <w:t>其中：本年支出合计8,541.15万元，结余分配0.00万元，年末结转和结余0.00万元。</w:t>
      </w:r>
    </w:p>
    <w:p w14:paraId="5C99F0F7">
      <w:pPr>
        <w:spacing w:line="580" w:lineRule="exact"/>
        <w:ind w:firstLine="640"/>
        <w:jc w:val="both"/>
      </w:pPr>
      <w:r>
        <w:rPr>
          <w:rFonts w:ascii="仿宋_GB2312" w:hAnsi="仿宋_GB2312" w:eastAsia="仿宋_GB2312"/>
          <w:b w:val="0"/>
          <w:sz w:val="32"/>
        </w:rPr>
        <w:t>收入支出总体与上年相比，增加888.34万元，增长11.61%，主要原因是：一是本年在职人员增加，在职人员工资调增、社保、公积金基数调增，人员经费增加；二是本年新增乔拉克铁热克镇林果提质增效水利工程提升建设项目、克孜勒阔拉村壮大村集体经济项目、乔拉克铁热克镇污水处理站提升改造项目，乔拉克铁热克镇农村环境整治建设项目。</w:t>
      </w:r>
    </w:p>
    <w:p w14:paraId="61074975">
      <w:pPr>
        <w:spacing w:line="640" w:lineRule="exact"/>
        <w:ind w:firstLine="640"/>
        <w:jc w:val="both"/>
        <w:outlineLvl w:val="2"/>
      </w:pPr>
      <w:r>
        <w:rPr>
          <w:rFonts w:ascii="黑体" w:hAnsi="黑体" w:eastAsia="黑体"/>
          <w:sz w:val="32"/>
        </w:rPr>
        <w:t>二、收入决算情况说明</w:t>
      </w:r>
    </w:p>
    <w:p w14:paraId="29A184B8">
      <w:pPr>
        <w:spacing w:line="580" w:lineRule="exact"/>
        <w:ind w:firstLine="640"/>
        <w:jc w:val="both"/>
      </w:pPr>
      <w:r>
        <w:rPr>
          <w:rFonts w:ascii="仿宋_GB2312" w:hAnsi="仿宋_GB2312" w:eastAsia="仿宋_GB2312"/>
          <w:b/>
          <w:sz w:val="32"/>
        </w:rPr>
        <w:t>本年收入8,541.15万元，</w:t>
      </w:r>
      <w:r>
        <w:rPr>
          <w:rFonts w:ascii="仿宋_GB2312" w:hAnsi="仿宋_GB2312" w:eastAsia="仿宋_GB2312"/>
          <w:b w:val="0"/>
          <w:sz w:val="32"/>
        </w:rPr>
        <w:t>其中：财政拨款收入8,541.15万元，占100.00%；上级补助收入0.00万元，占0.00%；事业收入0.00万元，占0.00%；经营收入0.00万元，占0.00%；附属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4290B7E">
      <w:pPr>
        <w:spacing w:line="640" w:lineRule="exact"/>
        <w:ind w:firstLine="640"/>
        <w:jc w:val="both"/>
        <w:outlineLvl w:val="2"/>
      </w:pPr>
      <w:r>
        <w:rPr>
          <w:rFonts w:ascii="黑体" w:hAnsi="黑体" w:eastAsia="黑体"/>
          <w:sz w:val="32"/>
        </w:rPr>
        <w:t>三、支出决算情况说明</w:t>
      </w:r>
    </w:p>
    <w:p w14:paraId="2426B0A8">
      <w:pPr>
        <w:spacing w:line="580" w:lineRule="exact"/>
        <w:ind w:firstLine="640"/>
        <w:jc w:val="both"/>
      </w:pPr>
      <w:r>
        <w:rPr>
          <w:rFonts w:ascii="仿宋_GB2312" w:hAnsi="仿宋_GB2312" w:eastAsia="仿宋_GB2312"/>
          <w:b/>
          <w:sz w:val="32"/>
        </w:rPr>
        <w:t>本年支出8,541.15万元，</w:t>
      </w:r>
      <w:r>
        <w:rPr>
          <w:rFonts w:ascii="仿宋_GB2312" w:hAnsi="仿宋_GB2312" w:eastAsia="仿宋_GB2312"/>
          <w:b w:val="0"/>
          <w:sz w:val="32"/>
        </w:rPr>
        <w:t>其中：基本支出3,897.65万元，占45.63%；项目支出4,643.49万元，占54.37%；上缴上级支出0.00万元，占0.00%；经营支出0.00万元，占0.00%；对附属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3702D89">
      <w:pPr>
        <w:spacing w:line="640" w:lineRule="exact"/>
        <w:ind w:firstLine="640"/>
        <w:jc w:val="both"/>
        <w:outlineLvl w:val="2"/>
      </w:pPr>
      <w:r>
        <w:rPr>
          <w:rFonts w:ascii="黑体" w:hAnsi="黑体" w:eastAsia="黑体"/>
          <w:sz w:val="32"/>
        </w:rPr>
        <w:t>四、财政拨款收入支出决算总体情况说明</w:t>
      </w:r>
    </w:p>
    <w:p w14:paraId="5F11AFB0">
      <w:pPr>
        <w:spacing w:line="580" w:lineRule="exact"/>
        <w:ind w:firstLine="640"/>
        <w:jc w:val="both"/>
      </w:pPr>
      <w:r>
        <w:rPr>
          <w:rFonts w:ascii="仿宋_GB2312" w:hAnsi="仿宋_GB2312" w:eastAsia="仿宋_GB2312"/>
          <w:b/>
          <w:sz w:val="32"/>
        </w:rPr>
        <w:t>2024年度财政拨款收入总计8,541.15万元，</w:t>
      </w:r>
      <w:r>
        <w:rPr>
          <w:rFonts w:ascii="仿宋_GB2312" w:hAnsi="仿宋_GB2312" w:eastAsia="仿宋_GB2312"/>
          <w:b w:val="0"/>
          <w:sz w:val="32"/>
        </w:rPr>
        <w:t>其中：年初财政拨款结转和结余0.00万元，本年财政拨款收入8,541.15万元。</w:t>
      </w:r>
      <w:r>
        <w:rPr>
          <w:rFonts w:ascii="仿宋_GB2312" w:hAnsi="仿宋_GB2312" w:eastAsia="仿宋_GB2312"/>
          <w:b/>
          <w:sz w:val="32"/>
        </w:rPr>
        <w:t>财政拨款支出总计8,541.15万元，</w:t>
      </w:r>
      <w:r>
        <w:rPr>
          <w:rFonts w:ascii="仿宋_GB2312" w:hAnsi="仿宋_GB2312" w:eastAsia="仿宋_GB2312"/>
          <w:b w:val="0"/>
          <w:sz w:val="32"/>
        </w:rPr>
        <w:t>其中：年末财政拨款结转和结余0.00万元，本年财政拨款支出8,541.15万元。</w:t>
      </w:r>
    </w:p>
    <w:p w14:paraId="74547D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888.34万元，增长11.61%，主要原因是：一是本年在职人员增加，在职人员工资调增、社保、公积金基数调增，人员经费增加；二是本年新增乔拉克铁热克镇污水处理站提升改造建设项目、乔拉克铁热克镇克孜勒阔拉村壮大村集体经济项目、乔拉克铁热克镇林果提质增效水利工程提升建设项目、乔拉克铁热克镇牧民越冬放牧点生产用房（居住）项目。</w:t>
      </w:r>
      <w:r>
        <w:rPr>
          <w:rFonts w:ascii="仿宋_GB2312" w:hAnsi="仿宋_GB2312" w:eastAsia="仿宋_GB2312"/>
          <w:b/>
          <w:sz w:val="32"/>
        </w:rPr>
        <w:t>与年初预算相比，</w:t>
      </w:r>
      <w:r>
        <w:rPr>
          <w:rFonts w:ascii="仿宋_GB2312" w:hAnsi="仿宋_GB2312" w:eastAsia="仿宋_GB2312"/>
          <w:b w:val="0"/>
          <w:sz w:val="32"/>
        </w:rPr>
        <w:t>年初预算数5,135.88万元，决算数8,541.15万元，预决算差异率66.30%，主要原因是：一是本年在职人员增加，年中追加人员经费及人员工资、社保、公积金基数调增部分资金；二是年中追加乔拉克铁热克镇林果提质增效水利工程提升建设项目、克孜勒阔拉村壮大村集体经济项目、乔拉克铁热克镇污水处理站提升改造项目，乔拉克铁热克镇农村环境整治建设项目，导致预决算存在差异。</w:t>
      </w:r>
    </w:p>
    <w:p w14:paraId="78AD8C39">
      <w:pPr>
        <w:spacing w:line="640" w:lineRule="exact"/>
        <w:ind w:firstLine="640"/>
        <w:jc w:val="both"/>
        <w:outlineLvl w:val="2"/>
      </w:pPr>
      <w:r>
        <w:rPr>
          <w:rFonts w:ascii="黑体" w:hAnsi="黑体" w:eastAsia="黑体"/>
          <w:sz w:val="32"/>
        </w:rPr>
        <w:t>五、一般公共预算财政拨款支出决算情况说明</w:t>
      </w:r>
    </w:p>
    <w:p w14:paraId="4411D321">
      <w:pPr>
        <w:spacing w:line="640" w:lineRule="exact"/>
        <w:ind w:firstLine="640"/>
        <w:jc w:val="both"/>
        <w:outlineLvl w:val="3"/>
      </w:pPr>
      <w:r>
        <w:rPr>
          <w:rFonts w:ascii="楷体_GB2312" w:hAnsi="楷体_GB2312" w:eastAsia="楷体_GB2312"/>
          <w:b/>
          <w:sz w:val="32"/>
        </w:rPr>
        <w:t>（一）一般公共预算财政拨款支出决算总体情况</w:t>
      </w:r>
    </w:p>
    <w:p w14:paraId="7FA998F2">
      <w:pPr>
        <w:spacing w:line="580" w:lineRule="exact"/>
        <w:ind w:firstLine="640"/>
        <w:jc w:val="both"/>
      </w:pPr>
      <w:r>
        <w:rPr>
          <w:rFonts w:ascii="仿宋_GB2312" w:hAnsi="仿宋_GB2312" w:eastAsia="仿宋_GB2312"/>
          <w:b/>
          <w:sz w:val="32"/>
        </w:rPr>
        <w:t>2024年度一般公共预算财政拨款支出8,511.96万元，</w:t>
      </w:r>
      <w:r>
        <w:rPr>
          <w:rFonts w:ascii="仿宋_GB2312" w:hAnsi="仿宋_GB2312" w:eastAsia="仿宋_GB2312"/>
          <w:b w:val="0"/>
          <w:sz w:val="32"/>
        </w:rPr>
        <w:t>占本年支出合计的99.66%。</w:t>
      </w:r>
      <w:r>
        <w:rPr>
          <w:rFonts w:ascii="仿宋_GB2312" w:hAnsi="仿宋_GB2312" w:eastAsia="仿宋_GB2312"/>
          <w:b/>
          <w:sz w:val="32"/>
        </w:rPr>
        <w:t>与上年相比，</w:t>
      </w:r>
      <w:r>
        <w:rPr>
          <w:rFonts w:ascii="仿宋_GB2312" w:hAnsi="仿宋_GB2312" w:eastAsia="仿宋_GB2312"/>
          <w:b w:val="0"/>
          <w:sz w:val="32"/>
        </w:rPr>
        <w:t>增加1,108.94万元，增长14.98%，主要原因是：一是本年在职人员增加，在职人员工资调增、社保、公积金基数调增，人员经费增加；二是本年新增乔拉克铁热克镇污水处理站提升改造建设项目、乔拉克铁热克镇克孜勒阔拉村壮大村集体经济项目、乔拉克铁热克镇林果提质增效水利工程提升建设项目、乔拉克铁热克镇牧民越冬放牧点生产用房（居住）项目。</w:t>
      </w:r>
      <w:r>
        <w:rPr>
          <w:rFonts w:ascii="仿宋_GB2312" w:hAnsi="仿宋_GB2312" w:eastAsia="仿宋_GB2312"/>
          <w:b/>
          <w:sz w:val="32"/>
        </w:rPr>
        <w:t>与年初预算相比,</w:t>
      </w:r>
      <w:r>
        <w:rPr>
          <w:rFonts w:ascii="仿宋_GB2312" w:hAnsi="仿宋_GB2312" w:eastAsia="仿宋_GB2312"/>
          <w:b w:val="0"/>
          <w:sz w:val="32"/>
        </w:rPr>
        <w:t>年初预算数5,100.24万元，决算数8,511.96万元，预决算差异率66.89%，主要原因是：一是本年在职人员增加，年中追加人员经费及人员工资、社保、公积金基数调增部分资金；二是年中追加乔拉克铁热克镇林果提质增效水利工程提升建设项目、克孜勒阔拉村壮大村集体经济项目、乔拉克铁热克镇污水处理站提升改造项目，乔拉克铁热克镇农村环境整治建设项目，导致预决算存在差异。</w:t>
      </w:r>
    </w:p>
    <w:p w14:paraId="5D472103">
      <w:pPr>
        <w:spacing w:line="640" w:lineRule="exact"/>
        <w:ind w:firstLine="640"/>
        <w:jc w:val="both"/>
        <w:outlineLvl w:val="3"/>
      </w:pPr>
      <w:r>
        <w:rPr>
          <w:rFonts w:ascii="楷体_GB2312" w:hAnsi="楷体_GB2312" w:eastAsia="楷体_GB2312"/>
          <w:b/>
          <w:sz w:val="32"/>
        </w:rPr>
        <w:t>（二）一般公共预算财政拨款支出决算结构情况</w:t>
      </w:r>
    </w:p>
    <w:p w14:paraId="55FF863B">
      <w:pPr>
        <w:spacing w:line="580" w:lineRule="exact"/>
        <w:ind w:firstLine="640"/>
        <w:jc w:val="both"/>
      </w:pPr>
      <w:r>
        <w:rPr>
          <w:rFonts w:ascii="仿宋_GB2312" w:hAnsi="仿宋_GB2312" w:eastAsia="仿宋_GB2312"/>
          <w:b w:val="0"/>
          <w:sz w:val="32"/>
        </w:rPr>
        <w:t>1.一般公共服务支出(类)2,427.07万元,占28.51%。</w:t>
      </w:r>
    </w:p>
    <w:p w14:paraId="5FF95F5B">
      <w:pPr>
        <w:spacing w:line="580" w:lineRule="exact"/>
        <w:ind w:firstLine="640"/>
        <w:jc w:val="both"/>
      </w:pPr>
      <w:r>
        <w:rPr>
          <w:rFonts w:ascii="仿宋_GB2312" w:hAnsi="仿宋_GB2312" w:eastAsia="仿宋_GB2312"/>
          <w:b w:val="0"/>
          <w:sz w:val="32"/>
        </w:rPr>
        <w:t>2.文化旅游体育与传媒支出(类)135.84万元,占1.60%。</w:t>
      </w:r>
    </w:p>
    <w:p w14:paraId="7B384427">
      <w:pPr>
        <w:spacing w:line="580" w:lineRule="exact"/>
        <w:ind w:firstLine="640"/>
        <w:jc w:val="both"/>
      </w:pPr>
      <w:r>
        <w:rPr>
          <w:rFonts w:ascii="仿宋_GB2312" w:hAnsi="仿宋_GB2312" w:eastAsia="仿宋_GB2312"/>
          <w:b w:val="0"/>
          <w:sz w:val="32"/>
        </w:rPr>
        <w:t>3.社会保障和就业支出(类)358.58万元,占4.21%。</w:t>
      </w:r>
    </w:p>
    <w:p w14:paraId="05D7B68A">
      <w:pPr>
        <w:spacing w:line="580" w:lineRule="exact"/>
        <w:ind w:firstLine="640"/>
        <w:jc w:val="both"/>
      </w:pPr>
      <w:r>
        <w:rPr>
          <w:rFonts w:ascii="仿宋_GB2312" w:hAnsi="仿宋_GB2312" w:eastAsia="仿宋_GB2312"/>
          <w:b w:val="0"/>
          <w:sz w:val="32"/>
        </w:rPr>
        <w:t>4.卫生健康支出(类)234.10万元,占2.75%。</w:t>
      </w:r>
    </w:p>
    <w:p w14:paraId="5602509D">
      <w:pPr>
        <w:spacing w:line="580" w:lineRule="exact"/>
        <w:ind w:firstLine="640"/>
        <w:jc w:val="both"/>
      </w:pPr>
      <w:r>
        <w:rPr>
          <w:rFonts w:ascii="仿宋_GB2312" w:hAnsi="仿宋_GB2312" w:eastAsia="仿宋_GB2312"/>
          <w:b w:val="0"/>
          <w:sz w:val="32"/>
        </w:rPr>
        <w:t>5.城乡社区支出(类)486.56万元,占5.72%。</w:t>
      </w:r>
    </w:p>
    <w:p w14:paraId="75FEC769">
      <w:pPr>
        <w:spacing w:line="580" w:lineRule="exact"/>
        <w:ind w:firstLine="640"/>
        <w:jc w:val="both"/>
      </w:pPr>
      <w:r>
        <w:rPr>
          <w:rFonts w:ascii="仿宋_GB2312" w:hAnsi="仿宋_GB2312" w:eastAsia="仿宋_GB2312"/>
          <w:b w:val="0"/>
          <w:sz w:val="32"/>
        </w:rPr>
        <w:t>6.农林水支出(类)4,344.52万元,占51.04%。</w:t>
      </w:r>
    </w:p>
    <w:p w14:paraId="3EEA6824">
      <w:pPr>
        <w:spacing w:line="580" w:lineRule="exact"/>
        <w:ind w:firstLine="640"/>
        <w:jc w:val="both"/>
      </w:pPr>
      <w:r>
        <w:rPr>
          <w:rFonts w:ascii="仿宋_GB2312" w:hAnsi="仿宋_GB2312" w:eastAsia="仿宋_GB2312"/>
          <w:b w:val="0"/>
          <w:sz w:val="32"/>
        </w:rPr>
        <w:t>7.住房保障支出(类)525.31万元,占6.17%。</w:t>
      </w:r>
    </w:p>
    <w:p w14:paraId="4832D845">
      <w:pPr>
        <w:spacing w:line="640" w:lineRule="exact"/>
        <w:ind w:firstLine="640"/>
        <w:jc w:val="both"/>
        <w:outlineLvl w:val="3"/>
      </w:pPr>
      <w:r>
        <w:rPr>
          <w:rFonts w:ascii="楷体_GB2312" w:hAnsi="楷体_GB2312" w:eastAsia="楷体_GB2312"/>
          <w:b/>
          <w:sz w:val="32"/>
        </w:rPr>
        <w:t>（三）一般公共预算财政拨款支出决算具体情况</w:t>
      </w:r>
    </w:p>
    <w:p w14:paraId="0613F7B2">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2,100.18万元，比上年决算增加143.93万元，增长7.36%,主要原因是：本年新增在职人员，在职人员工资调增，人员经费增加，导致经费较上年有所增加。</w:t>
      </w:r>
    </w:p>
    <w:p w14:paraId="4C1DFC74">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2.一般公共服务支出(类)纪检监察事务(款)其他纪检监察事务支出(项):支出决算数为2.00万元，比上年决算增加2.00万元，增长100.00%,主要原因是：本年新增伊犁州纪检监察系统专项经费。</w:t>
      </w:r>
    </w:p>
    <w:p w14:paraId="69202228">
      <w:pPr>
        <w:spacing w:line="580" w:lineRule="exact"/>
        <w:ind w:firstLine="640"/>
        <w:jc w:val="both"/>
      </w:pPr>
      <w:r>
        <w:rPr>
          <w:rFonts w:ascii="仿宋_GB2312" w:hAnsi="仿宋_GB2312" w:eastAsia="仿宋_GB2312"/>
          <w:b w:val="0"/>
          <w:sz w:val="32"/>
        </w:rPr>
        <w:t>3.一般公共服务支出(类)组织事务(款)其他组织事务支出(项):支出决算数为324.88万元，比上年决算减少235.41万元，下降42.02%,主要原因是：2024年只支付1</w:t>
      </w:r>
      <w:r>
        <w:rPr>
          <w:rFonts w:hint="eastAsia" w:ascii="仿宋_GB2312" w:hAnsi="仿宋_GB2312" w:eastAsia="仿宋_GB2312"/>
          <w:b w:val="0"/>
          <w:sz w:val="32"/>
          <w:lang w:eastAsia="zh-CN"/>
        </w:rPr>
        <w:t>—</w:t>
      </w:r>
      <w:r>
        <w:rPr>
          <w:rFonts w:ascii="仿宋_GB2312" w:hAnsi="仿宋_GB2312" w:eastAsia="仿宋_GB2312"/>
          <w:b w:val="0"/>
          <w:sz w:val="32"/>
        </w:rPr>
        <w:t>5月村干部工资及社保，2024年6-12月份由组织部支付村干部工资及社保，故经费支出减少。</w:t>
      </w:r>
    </w:p>
    <w:p w14:paraId="01C2269D">
      <w:pPr>
        <w:spacing w:line="580" w:lineRule="exact"/>
        <w:ind w:firstLine="640"/>
        <w:jc w:val="both"/>
      </w:pPr>
      <w:r>
        <w:rPr>
          <w:rFonts w:ascii="仿宋_GB2312" w:hAnsi="仿宋_GB2312" w:eastAsia="仿宋_GB2312"/>
          <w:b w:val="0"/>
          <w:sz w:val="32"/>
        </w:rPr>
        <w:t>4.文化旅游体育与传媒支出(类)文化和旅游(款)群众文化(项):支出决算数为135.84万元，比上年决算增加14.10万元，增长11.58%,主要原因是：本年公共文化服务中心在职人员工资调增，导致相关人员经费较上年有所增加。</w:t>
      </w:r>
    </w:p>
    <w:p w14:paraId="38532BAC">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0.00万元，比上年决算减少15.00万元，下降100.00%,主要原因是：本年未安排中央支持地方公共文化服务体系建设项目资金。</w:t>
      </w:r>
    </w:p>
    <w:p w14:paraId="43FBDB3C">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基本养老保险缴费支出(项):支出决算数为272.12万元，比上年决算增加32.79万元，增长13.70%,主要原因是：本年在职人员增加，人员工资基数调增，养老缴费基数上涨，养老保险缴费较上年增加。</w:t>
      </w:r>
    </w:p>
    <w:p w14:paraId="4BD39656">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职业年金缴费支出(项):支出决算数为17.11万元，比上年决算增加5.75万元，增长50.62%,主要原因是：本年新增退休人员，职业年金缴费支出增加。</w:t>
      </w:r>
    </w:p>
    <w:p w14:paraId="2122F52F">
      <w:pPr>
        <w:spacing w:line="580" w:lineRule="exact"/>
        <w:ind w:firstLine="640"/>
        <w:jc w:val="both"/>
      </w:pPr>
      <w:r>
        <w:rPr>
          <w:rFonts w:ascii="仿宋_GB2312" w:hAnsi="仿宋_GB2312" w:eastAsia="仿宋_GB2312"/>
          <w:b w:val="0"/>
          <w:sz w:val="32"/>
        </w:rPr>
        <w:t>8.社会保障和就业支出(类)抚恤(款)死亡抚恤(项):支出决算数为26.35万元，比上年决算减少36.35万元，下降57.97%,主要原因是：本年新增死亡人员较上年减少，死亡抚恤支出较上年减少。</w:t>
      </w:r>
    </w:p>
    <w:p w14:paraId="2265479B">
      <w:pPr>
        <w:spacing w:line="580" w:lineRule="exact"/>
        <w:ind w:firstLine="640"/>
        <w:jc w:val="both"/>
      </w:pPr>
      <w:r>
        <w:rPr>
          <w:rFonts w:ascii="仿宋_GB2312" w:hAnsi="仿宋_GB2312" w:eastAsia="仿宋_GB2312"/>
          <w:b w:val="0"/>
          <w:sz w:val="32"/>
        </w:rPr>
        <w:t>9.社会保障和就业支出(类)临时救助(款)临时救助支出(项):支出决算数为43.01万元，比上年决算增加32.01万元，增长291.00%,主要原因是：本年增加冬季困难群众生活物资采购费用。</w:t>
      </w:r>
    </w:p>
    <w:p w14:paraId="6AC2B6E0">
      <w:pPr>
        <w:spacing w:line="580" w:lineRule="exact"/>
        <w:ind w:firstLine="640"/>
        <w:jc w:val="both"/>
      </w:pPr>
      <w:r>
        <w:rPr>
          <w:rFonts w:ascii="仿宋_GB2312" w:hAnsi="仿宋_GB2312" w:eastAsia="仿宋_GB2312"/>
          <w:b w:val="0"/>
          <w:sz w:val="32"/>
        </w:rPr>
        <w:t>10.卫生健康支出(类)计划生育事务(款)其他计划生育事务支出(项):支出决算数为116.69万元，比上年决算减少4.99万元，下降4.10%,主要原因是：本年卫生健康服务站退休1人，导致相关人员经费较上年有所减少。</w:t>
      </w:r>
    </w:p>
    <w:p w14:paraId="26288C13">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医疗(项):支出决算数为30.74万元，比上年决算减少0.68万元，下降2.16%,主要原因是：因退休人员医疗保险制度改革，退休人员基本医疗不再由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29489A7B">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医疗(项):支出决算数为83.74万元，比上年决算减少2.29万元，下降2.66%,主要原因是：因退休人员医疗保险制度改革，退休人员基本医疗不再由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12FC17DE">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医疗(款)公务员医疗补助(项):支出决算数为0.75万元，比上年决算减少1.01万元，下降57.39%,主要原因是：因退休人员医疗保险制度改革，退休人员基本医疗不再由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58A18A4F">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医疗支出(项):支出决算数为2.18万元，比上年决算减少0.54万元，下降19.85%,主要原因是：因退休人员医疗保险制度改革，退休人员基本医疗不再由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4BD54181">
      <w:pPr>
        <w:spacing w:line="580" w:lineRule="exact"/>
        <w:ind w:firstLine="640"/>
        <w:jc w:val="both"/>
      </w:pPr>
      <w:r>
        <w:rPr>
          <w:rFonts w:ascii="仿宋_GB2312" w:hAnsi="仿宋_GB2312" w:eastAsia="仿宋_GB2312"/>
          <w:b w:val="0"/>
          <w:sz w:val="32"/>
        </w:rPr>
        <w:t>15.节能环保支出(类)自然生态保护(款)农村环境保护(项):支出决算数为0.00万元，比上年决算减少59.20万元，下降100.00%,主要原因是：本年未安排塔斯巴斯陶村村容村貌整治建设项目支出。</w:t>
      </w:r>
    </w:p>
    <w:p w14:paraId="1528B7D8">
      <w:pPr>
        <w:spacing w:line="580" w:lineRule="exact"/>
        <w:ind w:firstLine="640"/>
        <w:jc w:val="both"/>
      </w:pPr>
      <w:r>
        <w:rPr>
          <w:rFonts w:ascii="仿宋_GB2312" w:hAnsi="仿宋_GB2312" w:eastAsia="仿宋_GB2312"/>
          <w:b w:val="0"/>
          <w:sz w:val="32"/>
        </w:rPr>
        <w:t>16.节能环保支出(类)天然林保护(款)森林管护(项):支出决算数为0.00万元，比上年决算减少100.00万元，下降100.00%,主要原因是：本年未安排乡村绿化美丽建设项目支出。</w:t>
      </w:r>
    </w:p>
    <w:p w14:paraId="35CA95F0">
      <w:pPr>
        <w:spacing w:line="580" w:lineRule="exact"/>
        <w:ind w:firstLine="640"/>
        <w:jc w:val="both"/>
      </w:pPr>
      <w:r>
        <w:rPr>
          <w:rFonts w:ascii="仿宋_GB2312" w:hAnsi="仿宋_GB2312" w:eastAsia="仿宋_GB2312"/>
          <w:b w:val="0"/>
          <w:sz w:val="32"/>
        </w:rPr>
        <w:t>17.城乡社区支出(类)城乡社区公共设施(款)小城镇基础设施建设(项):支出决算数为44.09万元，比上年决算减少25.19万元，下降36.36%,主要原因是：本年安排克孜勒阔拉村综合服务中心建设项目资金较上年减少。</w:t>
      </w:r>
    </w:p>
    <w:p w14:paraId="35809377">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442.47万元，比上年决算增加156.00万元，增长54.46%,主要原因是：本年新增乔拉克铁热克镇塔斯巴斯陶村26公里人畜安全饮水建设项目、伊犁州特克斯县2023年社区综合服务建设项目。</w:t>
      </w:r>
    </w:p>
    <w:p w14:paraId="743BCC27">
      <w:pPr>
        <w:spacing w:line="580" w:lineRule="exact"/>
        <w:ind w:firstLine="640"/>
        <w:jc w:val="both"/>
      </w:pPr>
      <w:r>
        <w:rPr>
          <w:rFonts w:ascii="仿宋_GB2312" w:hAnsi="仿宋_GB2312" w:eastAsia="仿宋_GB2312"/>
          <w:b w:val="0"/>
          <w:sz w:val="32"/>
        </w:rPr>
        <w:t>19.城乡社区支出(类)城乡社区环境卫生(款)城乡社区环境卫生(项):支出决算数为0.00万元，比上年决算减少90.00万元，下降100.00%,主要原因是：本年未安排乔拉克铁热克镇人居环境整治项目支出。</w:t>
      </w:r>
    </w:p>
    <w:p w14:paraId="6C9D4E85">
      <w:pPr>
        <w:spacing w:line="580" w:lineRule="exact"/>
        <w:ind w:firstLine="640"/>
        <w:jc w:val="both"/>
      </w:pPr>
      <w:r>
        <w:rPr>
          <w:rFonts w:ascii="仿宋_GB2312" w:hAnsi="仿宋_GB2312" w:eastAsia="仿宋_GB2312"/>
          <w:b w:val="0"/>
          <w:sz w:val="32"/>
        </w:rPr>
        <w:t>20.农林水支出(类)农业农村(款)农村合作经济(项):支出决算数为38.21万元，比上年决算增加38.21万元，增长100.00%,主要原因是：本年新增乔拉克铁热克镇红土地养殖农民合作社养殖小区建设项目。</w:t>
      </w:r>
    </w:p>
    <w:p w14:paraId="2B4859DB">
      <w:pPr>
        <w:spacing w:line="580" w:lineRule="exact"/>
        <w:ind w:firstLine="640"/>
        <w:jc w:val="both"/>
      </w:pPr>
      <w:r>
        <w:rPr>
          <w:rFonts w:ascii="仿宋_GB2312" w:hAnsi="仿宋_GB2312" w:eastAsia="仿宋_GB2312"/>
          <w:b w:val="0"/>
          <w:sz w:val="32"/>
        </w:rPr>
        <w:t>21.农林水支出(类)水利(款)大中型水库移民后期扶持专项支出(项):支出决算数为60.40万元，比上年决算增加60.40万元，增长100.00%,主要原因是：本年新增乔拉克铁热克镇克孜勒阔拉村旅游与基础设施项目、乔拉克铁热克镇孟布拉克村土地熟化治理项目工程。</w:t>
      </w:r>
    </w:p>
    <w:p w14:paraId="56A5A931">
      <w:pPr>
        <w:spacing w:line="580" w:lineRule="exact"/>
        <w:ind w:firstLine="640"/>
        <w:jc w:val="both"/>
      </w:pPr>
      <w:r>
        <w:rPr>
          <w:rFonts w:ascii="仿宋_GB2312" w:hAnsi="仿宋_GB2312" w:eastAsia="仿宋_GB2312"/>
          <w:b w:val="0"/>
          <w:sz w:val="32"/>
        </w:rPr>
        <w:t>22.农林水支出(类)水利(款)其他水利支出(项):支出决算数为0.00万元，比上年决算减少5.00万元，下降100.00%,主要原因是：本年未安排乔拉克铁热克村水毁修复项目支出。</w:t>
      </w:r>
    </w:p>
    <w:p w14:paraId="6ACBCA3D">
      <w:pPr>
        <w:spacing w:line="580" w:lineRule="exact"/>
        <w:ind w:firstLine="640"/>
        <w:jc w:val="both"/>
      </w:pPr>
      <w:r>
        <w:rPr>
          <w:rFonts w:ascii="仿宋_GB2312" w:hAnsi="仿宋_GB2312" w:eastAsia="仿宋_GB2312"/>
          <w:b w:val="0"/>
          <w:sz w:val="32"/>
        </w:rPr>
        <w:t>23.农林水支出(类)巩固脱贫攻坚成果衔接乡村振兴(款)农村基础设施建设(项):支出决算数为2,000.00万元，比上年决算减少55.24万元，下降2.69%,主要原因是：本年减少阿克铁热克村2022年农村厕所革命整村推进提档升级（农村粪污一体化处理）示范村试点项目、乔拉克铁热克镇乡村振兴示范村建设项目。</w:t>
      </w:r>
    </w:p>
    <w:p w14:paraId="3C1615BC">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1,543.76万元，比上年决算增加1,543.76万元，增长100.00%,主要原因是：本年新增乔拉克铁热克镇污水处理站提升改造建设项目、乔拉克铁热克镇克孜勒阔拉村壮大村集体经济项目、乔拉克铁热克镇林果提质增效水利工程提升建设项目。</w:t>
      </w:r>
    </w:p>
    <w:p w14:paraId="2C38F9B6">
      <w:pPr>
        <w:spacing w:line="580" w:lineRule="exact"/>
        <w:ind w:firstLine="640"/>
        <w:jc w:val="both"/>
      </w:pPr>
      <w:r>
        <w:rPr>
          <w:rFonts w:ascii="仿宋_GB2312" w:hAnsi="仿宋_GB2312" w:eastAsia="仿宋_GB2312"/>
          <w:b w:val="0"/>
          <w:sz w:val="32"/>
        </w:rPr>
        <w:t>25.农林水支出(类)巩固脱贫攻坚成果衔接乡村振兴(款)其他巩固脱贫攻坚成果衔接乡村振兴支出(项):支出决算数为17.04万元，比上年决算减少22.77万元，下降57.20%,主要原因是：本年改厕资金较上年减少。</w:t>
      </w:r>
    </w:p>
    <w:p w14:paraId="7F578051">
      <w:pPr>
        <w:spacing w:line="580" w:lineRule="exact"/>
        <w:ind w:firstLine="640"/>
        <w:jc w:val="both"/>
      </w:pPr>
      <w:r>
        <w:rPr>
          <w:rFonts w:ascii="仿宋_GB2312" w:hAnsi="仿宋_GB2312" w:eastAsia="仿宋_GB2312"/>
          <w:b w:val="0"/>
          <w:sz w:val="32"/>
        </w:rPr>
        <w:t>26.农林水支出(类)农村综合改革(款)对村级公益事业建设的补助(项):支出决算数为149.59万元，比上年决算减少104.25万元，下降41.07%,主要原因是：本年减少一事一议项目及克孜勒阔拉村美丽乡村建设项目。</w:t>
      </w:r>
    </w:p>
    <w:p w14:paraId="6090F7F1">
      <w:pPr>
        <w:spacing w:line="580" w:lineRule="exact"/>
        <w:ind w:firstLine="640"/>
        <w:jc w:val="both"/>
      </w:pPr>
      <w:r>
        <w:rPr>
          <w:rFonts w:ascii="仿宋_GB2312" w:hAnsi="仿宋_GB2312" w:eastAsia="仿宋_GB2312"/>
          <w:b w:val="0"/>
          <w:sz w:val="32"/>
        </w:rPr>
        <w:t>27.农林水支出(类)农村综合改革(款)对村民委员会和村党支部的补助(项):支出决算数为535.52万元，比上年决算减少398.58万元，下降42.67%,主要原因是：2024年只支付1</w:t>
      </w:r>
      <w:r>
        <w:rPr>
          <w:rFonts w:hint="eastAsia" w:ascii="仿宋_GB2312" w:hAnsi="仿宋_GB2312" w:eastAsia="仿宋_GB2312"/>
          <w:b w:val="0"/>
          <w:sz w:val="32"/>
          <w:lang w:eastAsia="zh-CN"/>
        </w:rPr>
        <w:t>—</w:t>
      </w:r>
      <w:r>
        <w:rPr>
          <w:rFonts w:ascii="仿宋_GB2312" w:hAnsi="仿宋_GB2312" w:eastAsia="仿宋_GB2312"/>
          <w:b w:val="0"/>
          <w:sz w:val="32"/>
        </w:rPr>
        <w:t>5月村干部工资及社保，2024年6-12月份由组织部支付村干部工资及社保，故经费支出减少。</w:t>
      </w:r>
    </w:p>
    <w:p w14:paraId="29EFA464">
      <w:pPr>
        <w:spacing w:line="580" w:lineRule="exact"/>
        <w:ind w:firstLine="640"/>
        <w:jc w:val="both"/>
      </w:pPr>
      <w:r>
        <w:rPr>
          <w:rFonts w:ascii="仿宋_GB2312" w:hAnsi="仿宋_GB2312" w:eastAsia="仿宋_GB2312"/>
          <w:b w:val="0"/>
          <w:sz w:val="32"/>
        </w:rPr>
        <w:t>28.农林水支出(类)农村综合改革(款)对村集体经济组织的补助(项):支出决算数为0.00万元，比上年决算减少100.00万元，下降100.00%,主要原因是：本年此科目未安排扶持壮大集体经济项目支出。</w:t>
      </w:r>
    </w:p>
    <w:p w14:paraId="6CF71D3C">
      <w:pPr>
        <w:spacing w:line="580" w:lineRule="exact"/>
        <w:ind w:firstLine="640"/>
        <w:jc w:val="both"/>
      </w:pPr>
      <w:r>
        <w:rPr>
          <w:rFonts w:ascii="仿宋_GB2312" w:hAnsi="仿宋_GB2312" w:eastAsia="仿宋_GB2312"/>
          <w:b w:val="0"/>
          <w:sz w:val="32"/>
        </w:rPr>
        <w:t>29.住房保障支出(类)保障性安居工程支出(款)少数民族地区游牧民定居工程(项):支出决算数为304.80万元，比上年决算增加304.80万元，增长100.00%,主要原因是：本年新增乔拉克铁热克镇牧民越冬放牧点生产用房（居住）项目。</w:t>
      </w:r>
    </w:p>
    <w:p w14:paraId="0F830FB9">
      <w:pPr>
        <w:spacing w:line="580" w:lineRule="exact"/>
        <w:ind w:firstLine="640"/>
        <w:jc w:val="both"/>
      </w:pPr>
      <w:r>
        <w:rPr>
          <w:rFonts w:ascii="仿宋_GB2312" w:hAnsi="仿宋_GB2312" w:eastAsia="仿宋_GB2312"/>
          <w:b w:val="0"/>
          <w:sz w:val="32"/>
        </w:rPr>
        <w:t>30.住房保障支出(类)住房改革支出(款)住房公积金(项):支出决算数为220.51万元，比上年决算增加31.71万元，增长16.80%,主要原因是：本年在职人员增加，人员工资基数调增，公积金缴费基数上涨，住房公积金支出较上年增加。</w:t>
      </w:r>
    </w:p>
    <w:p w14:paraId="05B17B00">
      <w:pPr>
        <w:spacing w:line="640" w:lineRule="exact"/>
        <w:ind w:firstLine="640"/>
        <w:jc w:val="both"/>
        <w:outlineLvl w:val="2"/>
      </w:pPr>
      <w:r>
        <w:rPr>
          <w:rFonts w:ascii="黑体" w:hAnsi="黑体" w:eastAsia="黑体"/>
          <w:sz w:val="32"/>
        </w:rPr>
        <w:t>六、一般公共预算财政拨款基本支出决算情况说明</w:t>
      </w:r>
    </w:p>
    <w:p w14:paraId="31747C34">
      <w:pPr>
        <w:spacing w:line="580" w:lineRule="exact"/>
        <w:ind w:firstLine="640"/>
        <w:jc w:val="both"/>
      </w:pPr>
      <w:r>
        <w:rPr>
          <w:rFonts w:ascii="仿宋_GB2312" w:hAnsi="仿宋_GB2312" w:eastAsia="仿宋_GB2312"/>
          <w:b w:val="0"/>
          <w:sz w:val="32"/>
        </w:rPr>
        <w:t>2024年度一般公共预算财政拨款基本支出3,897.65万元，其中：</w:t>
      </w:r>
      <w:r>
        <w:rPr>
          <w:rFonts w:ascii="仿宋_GB2312" w:hAnsi="仿宋_GB2312" w:eastAsia="仿宋_GB2312"/>
          <w:b/>
          <w:sz w:val="32"/>
        </w:rPr>
        <w:t>人员经费3,516.19万元，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基本养老保险缴费、职业年金缴费、职工基本医疗保险缴费、公务员医疗补助缴费、其他社会保障缴费、住房公积金、其他工资福利支出、退休费、抚恤金、生活补助、其他对个人和家庭的补助。</w:t>
      </w:r>
    </w:p>
    <w:p w14:paraId="4E92E8C7">
      <w:pPr>
        <w:spacing w:line="580" w:lineRule="exact"/>
        <w:ind w:firstLine="640"/>
        <w:jc w:val="both"/>
      </w:pPr>
      <w:r>
        <w:rPr>
          <w:rFonts w:ascii="仿宋_GB2312" w:hAnsi="仿宋_GB2312" w:eastAsia="仿宋_GB2312"/>
          <w:b/>
          <w:sz w:val="32"/>
        </w:rPr>
        <w:t>公用经费381.46万元，</w:t>
      </w:r>
      <w:r>
        <w:rPr>
          <w:rFonts w:ascii="仿宋_GB2312" w:hAnsi="仿宋_GB2312" w:eastAsia="仿宋_GB2312"/>
          <w:b w:val="0"/>
          <w:sz w:val="32"/>
        </w:rPr>
        <w:t>包括：办公费、水费、电费、邮电费、差旅费、租赁费、工会经费、公务用车运行维护费、税金及附加费用。</w:t>
      </w:r>
    </w:p>
    <w:p w14:paraId="4C86DAF8">
      <w:pPr>
        <w:spacing w:line="640" w:lineRule="exact"/>
        <w:ind w:firstLine="640"/>
        <w:jc w:val="both"/>
        <w:outlineLvl w:val="2"/>
      </w:pPr>
      <w:r>
        <w:rPr>
          <w:rFonts w:ascii="黑体" w:hAnsi="黑体" w:eastAsia="黑体"/>
          <w:sz w:val="32"/>
        </w:rPr>
        <w:t>七、政府性基金预算财政拨款收入支出决算情况说明</w:t>
      </w:r>
    </w:p>
    <w:p w14:paraId="07268292">
      <w:pPr>
        <w:spacing w:line="580" w:lineRule="exact"/>
        <w:ind w:firstLine="640"/>
        <w:jc w:val="both"/>
      </w:pPr>
      <w:r>
        <w:rPr>
          <w:rFonts w:ascii="仿宋_GB2312" w:hAnsi="仿宋_GB2312" w:eastAsia="仿宋_GB2312"/>
          <w:b/>
          <w:sz w:val="32"/>
        </w:rPr>
        <w:t>2024年度政府性基金预算财政拨款收入总计29.18万元，</w:t>
      </w:r>
      <w:r>
        <w:rPr>
          <w:rFonts w:ascii="仿宋_GB2312" w:hAnsi="仿宋_GB2312" w:eastAsia="仿宋_GB2312"/>
          <w:b w:val="0"/>
          <w:sz w:val="32"/>
        </w:rPr>
        <w:t>其中：年初结转和结余0.00万元，本年收入29.18万元。</w:t>
      </w:r>
      <w:r>
        <w:rPr>
          <w:rFonts w:ascii="仿宋_GB2312" w:hAnsi="仿宋_GB2312" w:eastAsia="仿宋_GB2312"/>
          <w:b/>
          <w:sz w:val="32"/>
        </w:rPr>
        <w:t>政府性基金预算财政拨款支出总计29.18万元，</w:t>
      </w:r>
      <w:r>
        <w:rPr>
          <w:rFonts w:ascii="仿宋_GB2312" w:hAnsi="仿宋_GB2312" w:eastAsia="仿宋_GB2312"/>
          <w:b w:val="0"/>
          <w:sz w:val="32"/>
        </w:rPr>
        <w:t>其中：年末结转和结余0.00万元，本年支出29.18万元。</w:t>
      </w:r>
    </w:p>
    <w:p w14:paraId="75901D0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减少220.62万元，下降88.32%，主要原因是：本年减少特克斯县乔拉克铁热克镇农业观光</w:t>
      </w:r>
      <w:r>
        <w:rPr>
          <w:rFonts w:hint="eastAsia" w:ascii="仿宋_GB2312" w:hAnsi="仿宋_GB2312" w:eastAsia="仿宋_GB2312"/>
          <w:b w:val="0"/>
          <w:sz w:val="32"/>
          <w:lang w:eastAsia="zh-CN"/>
        </w:rPr>
        <w:t>园</w:t>
      </w:r>
      <w:r>
        <w:rPr>
          <w:rFonts w:ascii="仿宋_GB2312" w:hAnsi="仿宋_GB2312" w:eastAsia="仿宋_GB2312"/>
          <w:b w:val="0"/>
          <w:sz w:val="32"/>
        </w:rPr>
        <w:t>一期项目征地费用（孟布拉克村），2022年水库移民项目。</w:t>
      </w:r>
      <w:r>
        <w:rPr>
          <w:rFonts w:ascii="仿宋_GB2312" w:hAnsi="仿宋_GB2312" w:eastAsia="仿宋_GB2312"/>
          <w:b/>
          <w:sz w:val="32"/>
        </w:rPr>
        <w:t>与年初预算相比，</w:t>
      </w:r>
      <w:r>
        <w:rPr>
          <w:rFonts w:ascii="仿宋_GB2312" w:hAnsi="仿宋_GB2312" w:eastAsia="仿宋_GB2312"/>
          <w:b w:val="0"/>
          <w:sz w:val="32"/>
        </w:rPr>
        <w:t>年初预算数35.64万元，决算数29.18万元，预决算差异率-18.13%，主要原因是：年中调减自治州体育彩票公益金资助项目（萨尔阔布村小广场打造项目）资金，导致预决算存在差异。</w:t>
      </w:r>
    </w:p>
    <w:p w14:paraId="1E87B46E">
      <w:pPr>
        <w:spacing w:line="580" w:lineRule="exact"/>
        <w:ind w:firstLine="640"/>
        <w:jc w:val="both"/>
      </w:pPr>
      <w:r>
        <w:rPr>
          <w:rFonts w:ascii="仿宋_GB2312" w:hAnsi="仿宋_GB2312" w:eastAsia="仿宋_GB2312"/>
          <w:b w:val="0"/>
          <w:sz w:val="32"/>
        </w:rPr>
        <w:t>政府性基金预算财政拨款支出29.18万元。</w:t>
      </w:r>
    </w:p>
    <w:p w14:paraId="0B322847">
      <w:pPr>
        <w:spacing w:line="580" w:lineRule="exact"/>
        <w:ind w:firstLine="640"/>
        <w:jc w:val="both"/>
      </w:pPr>
      <w:r>
        <w:rPr>
          <w:rFonts w:ascii="仿宋_GB2312" w:hAnsi="仿宋_GB2312" w:eastAsia="仿宋_GB2312"/>
          <w:b w:val="0"/>
          <w:sz w:val="32"/>
        </w:rPr>
        <w:t>1.社会保障和就业支出(类)大中型水库移民后期扶持基金支出(款)基础设施建设和经济发展(项):支出决算数为0.00万元，比上年决算减少130.50万元，下降100.00%,主要原因是：本年减少水库移民项目。</w:t>
      </w:r>
    </w:p>
    <w:p w14:paraId="377E51E0">
      <w:pPr>
        <w:spacing w:line="580" w:lineRule="exact"/>
        <w:ind w:firstLine="640"/>
        <w:jc w:val="both"/>
      </w:pPr>
      <w:r>
        <w:rPr>
          <w:rFonts w:ascii="仿宋_GB2312" w:hAnsi="仿宋_GB2312" w:eastAsia="仿宋_GB2312"/>
          <w:b w:val="0"/>
          <w:sz w:val="32"/>
        </w:rPr>
        <w:t>2.城乡社区支出(类)国有土地使用权出让收入安排的支出(款)征地和拆迁补偿支出(项):支出决算数为0.00万元，比上年决算减少109.95万元，下降100.00%,主要原因是：本年减少农业观光园一期项目征地费用（孟布拉克村）支出。</w:t>
      </w:r>
    </w:p>
    <w:p w14:paraId="11A5DCC7">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1.71万元，比上年决算增加1.71万元，增长100.00%,主要原因是：本年新增乔拉克铁热克镇乡村振兴示范村建设水土保持补偿费。</w:t>
      </w:r>
    </w:p>
    <w:p w14:paraId="5F639AB8">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27.47万元，比上年决算增加18.12万元，增长193.80%,主要原因是：本年新增自治州体育彩票公益金资助项目（乔拉克铁热克镇克孜勒阔拉村篮球场建设项目）。</w:t>
      </w:r>
    </w:p>
    <w:p w14:paraId="0147C892">
      <w:pPr>
        <w:spacing w:line="640" w:lineRule="exact"/>
        <w:ind w:firstLine="640"/>
        <w:jc w:val="both"/>
        <w:outlineLvl w:val="2"/>
      </w:pPr>
      <w:r>
        <w:rPr>
          <w:rFonts w:ascii="黑体" w:hAnsi="黑体" w:eastAsia="黑体"/>
          <w:sz w:val="32"/>
        </w:rPr>
        <w:t>八、国有资本经营预算财政拨款收入支出决算情况说明</w:t>
      </w:r>
    </w:p>
    <w:p w14:paraId="65E0513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B2E1F16">
      <w:pPr>
        <w:spacing w:line="640" w:lineRule="exact"/>
        <w:ind w:firstLine="640"/>
        <w:jc w:val="both"/>
        <w:outlineLvl w:val="2"/>
      </w:pPr>
      <w:r>
        <w:rPr>
          <w:rFonts w:ascii="黑体" w:hAnsi="黑体" w:eastAsia="黑体"/>
          <w:sz w:val="32"/>
        </w:rPr>
        <w:t>九、财政拨款“三公”经费支出决算情况说明</w:t>
      </w:r>
    </w:p>
    <w:p w14:paraId="7456949F">
      <w:pPr>
        <w:spacing w:line="580" w:lineRule="exact"/>
        <w:ind w:firstLine="640"/>
        <w:jc w:val="both"/>
      </w:pPr>
      <w:r>
        <w:rPr>
          <w:rFonts w:ascii="仿宋_GB2312" w:hAnsi="仿宋_GB2312" w:eastAsia="仿宋_GB2312"/>
          <w:b/>
          <w:sz w:val="32"/>
        </w:rPr>
        <w:t>2024年度财政拨款“三公”经费支出4.40万元，</w:t>
      </w:r>
      <w:r>
        <w:rPr>
          <w:rFonts w:ascii="仿宋_GB2312" w:hAnsi="仿宋_GB2312" w:eastAsia="仿宋_GB2312"/>
          <w:b w:val="0"/>
          <w:sz w:val="32"/>
        </w:rPr>
        <w:t>比上年减少0.40万元，下降8.33%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4.40万元，占100.00%，比上年减少0.40万元，下降8.33%，主要原因是：严格落实中央八项规定精神，厉行节约，减少公务用车运行维护费。公务接待费支出0.00万元，占0.00%，比上年增加0.00万元，增长0.00%，主要原因是：2023年与2024年均未安排公务接待费支出。</w:t>
      </w:r>
    </w:p>
    <w:p w14:paraId="6F602D31">
      <w:pPr>
        <w:spacing w:line="580" w:lineRule="exact"/>
        <w:ind w:firstLine="640"/>
        <w:jc w:val="both"/>
      </w:pPr>
      <w:r>
        <w:rPr>
          <w:rFonts w:ascii="仿宋_GB2312" w:hAnsi="仿宋_GB2312" w:eastAsia="仿宋_GB2312"/>
          <w:b/>
          <w:sz w:val="32"/>
        </w:rPr>
        <w:t>具体情况如下：</w:t>
      </w:r>
    </w:p>
    <w:p w14:paraId="10C829D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F766187">
      <w:pPr>
        <w:spacing w:line="580" w:lineRule="exact"/>
        <w:ind w:firstLine="640"/>
        <w:jc w:val="both"/>
      </w:pPr>
      <w:r>
        <w:rPr>
          <w:rFonts w:ascii="仿宋_GB2312" w:hAnsi="仿宋_GB2312" w:eastAsia="仿宋_GB2312"/>
          <w:b w:val="0"/>
          <w:sz w:val="32"/>
        </w:rPr>
        <w:t>公务用车购置及运行维护费4.40万元，其中：公务用车购置费0.00万元，公务用车运行维护费4.40万元。公务用车运行维护费开支内容包括车辆加油费、维修费、保险费、审车费。公务用车购置数0辆，公务用车保有量18辆。国有资产占用情况中固定资产车辆18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C2818B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322F53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4.40万元，决算数4.40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4.40万元，决算数4.40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FA7E243">
      <w:pPr>
        <w:spacing w:line="640" w:lineRule="exact"/>
        <w:ind w:firstLine="640"/>
        <w:jc w:val="both"/>
        <w:outlineLvl w:val="2"/>
      </w:pPr>
      <w:r>
        <w:rPr>
          <w:rFonts w:ascii="黑体" w:hAnsi="黑体" w:eastAsia="黑体"/>
          <w:sz w:val="32"/>
        </w:rPr>
        <w:t>十、其他重要事项的情况说明</w:t>
      </w:r>
    </w:p>
    <w:p w14:paraId="35E55F4D">
      <w:pPr>
        <w:spacing w:line="640" w:lineRule="exact"/>
        <w:ind w:firstLine="640"/>
        <w:jc w:val="both"/>
        <w:outlineLvl w:val="3"/>
      </w:pPr>
      <w:r>
        <w:rPr>
          <w:rFonts w:ascii="楷体_GB2312" w:hAnsi="楷体_GB2312" w:eastAsia="楷体_GB2312"/>
          <w:b/>
          <w:sz w:val="32"/>
        </w:rPr>
        <w:t>（一）机关运行经费及公用经费支出情况</w:t>
      </w:r>
    </w:p>
    <w:p w14:paraId="5187E0EF">
      <w:pPr>
        <w:spacing w:line="580" w:lineRule="exact"/>
        <w:ind w:firstLine="640"/>
        <w:jc w:val="both"/>
      </w:pPr>
      <w:r>
        <w:rPr>
          <w:rFonts w:ascii="仿宋_GB2312" w:hAnsi="仿宋_GB2312" w:eastAsia="仿宋_GB2312"/>
          <w:b w:val="0"/>
          <w:sz w:val="32"/>
        </w:rPr>
        <w:t>2024年度特克斯县乔拉克铁热克镇人民政府（行政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381.46万元，比上年减少562.15万元，下降59.57%，主要原因是：本年减少为民办实事经费、第一书记为民办实事经费、工作队办公经费、村级运转经费，办公费、劳务费、维修费减少，导致机关运行经费支出减少。</w:t>
      </w:r>
    </w:p>
    <w:p w14:paraId="6905E52A">
      <w:pPr>
        <w:spacing w:line="640" w:lineRule="exact"/>
        <w:ind w:firstLine="640"/>
        <w:jc w:val="both"/>
        <w:outlineLvl w:val="3"/>
      </w:pPr>
      <w:r>
        <w:rPr>
          <w:rFonts w:ascii="楷体_GB2312" w:hAnsi="楷体_GB2312" w:eastAsia="楷体_GB2312"/>
          <w:b/>
          <w:sz w:val="32"/>
        </w:rPr>
        <w:t>（二）政府采购情况</w:t>
      </w:r>
    </w:p>
    <w:p w14:paraId="6CEED224">
      <w:pPr>
        <w:spacing w:line="580" w:lineRule="exact"/>
        <w:ind w:firstLine="640"/>
        <w:jc w:val="both"/>
      </w:pPr>
      <w:r>
        <w:rPr>
          <w:rFonts w:ascii="仿宋_GB2312" w:hAnsi="仿宋_GB2312" w:eastAsia="仿宋_GB2312"/>
          <w:b w:val="0"/>
          <w:sz w:val="32"/>
        </w:rPr>
        <w:t>2024年度政府采购支出总额16.53万元，其中：政府采购货物支出12.43万元、政府采购工程支出0.00万元、政府采购服务支出4.10万元。</w:t>
      </w:r>
    </w:p>
    <w:p w14:paraId="5E32F388">
      <w:pPr>
        <w:spacing w:line="580" w:lineRule="exact"/>
        <w:ind w:firstLine="640"/>
        <w:jc w:val="both"/>
      </w:pPr>
      <w:r>
        <w:rPr>
          <w:rFonts w:ascii="仿宋_GB2312" w:hAnsi="仿宋_GB2312" w:eastAsia="仿宋_GB2312"/>
          <w:b w:val="0"/>
          <w:sz w:val="32"/>
        </w:rPr>
        <w:t>授予中小企业合同金额14.78万元，占政府采购支出总额的89.41%，其中：授予小微企业合同金额13.81万元，占政府采购支出总额的83.55%。</w:t>
      </w:r>
    </w:p>
    <w:p w14:paraId="67A34460">
      <w:pPr>
        <w:spacing w:line="640" w:lineRule="exact"/>
        <w:ind w:firstLine="640"/>
        <w:jc w:val="both"/>
        <w:outlineLvl w:val="3"/>
      </w:pPr>
      <w:r>
        <w:rPr>
          <w:rFonts w:ascii="楷体_GB2312" w:hAnsi="楷体_GB2312" w:eastAsia="楷体_GB2312"/>
          <w:b/>
          <w:sz w:val="32"/>
        </w:rPr>
        <w:t>（三）国有资产占用情况说明</w:t>
      </w:r>
    </w:p>
    <w:p w14:paraId="1EBBDFB3">
      <w:pPr>
        <w:spacing w:line="580" w:lineRule="exact"/>
        <w:ind w:firstLine="640"/>
        <w:jc w:val="both"/>
      </w:pPr>
      <w:r>
        <w:rPr>
          <w:rFonts w:ascii="仿宋_GB2312" w:hAnsi="仿宋_GB2312" w:eastAsia="仿宋_GB2312"/>
          <w:b w:val="0"/>
          <w:sz w:val="32"/>
        </w:rPr>
        <w:t>截至2024年12月31日，房屋3,119.00平方米，价值365.86万元。车辆18辆，价值275.02万元，其中：副部（省）级及以上领导用车0辆、主要负责人用车0辆、机要通信用车0辆、应急保障用车0辆、执法执勤用车0辆、特种专业技术用车0辆、离退休干部服务用车0辆、其他用车18辆，其他用车主要是：一般公务用车。单价100万元（含）以上设备（不含车辆）0台（套）。</w:t>
      </w:r>
    </w:p>
    <w:p w14:paraId="2FCEFD00">
      <w:pPr>
        <w:spacing w:line="640" w:lineRule="exact"/>
        <w:ind w:firstLine="640"/>
        <w:jc w:val="both"/>
        <w:outlineLvl w:val="2"/>
      </w:pPr>
      <w:r>
        <w:rPr>
          <w:rFonts w:ascii="黑体" w:hAnsi="黑体" w:eastAsia="黑体"/>
          <w:sz w:val="32"/>
        </w:rPr>
        <w:t>十一、预算绩效的情况说明</w:t>
      </w:r>
    </w:p>
    <w:p w14:paraId="5A846B9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2024年度预算绩效管理形成整体支出绩效自评表1个，全年预算总额8,541.14万元，实际执行总额8,541.14万元；预算绩效评价项目6个，全年预算数851.67万元，全年执行数666.15万元。预算绩效管理取得的成效：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w:t>
      </w:r>
      <w:r>
        <w:rPr>
          <w:rFonts w:hint="eastAsia" w:ascii="仿宋_GB2312" w:eastAsia="仿宋_GB2312" w:cs="Times New Roman"/>
          <w:color w:val="auto"/>
          <w:spacing w:val="0"/>
          <w:kern w:val="2"/>
          <w:sz w:val="32"/>
          <w:szCs w:val="32"/>
          <w:highlight w:val="none"/>
          <w:lang w:val="en-US" w:eastAsia="zh-CN" w:bidi="ar-SA"/>
        </w:rPr>
        <w:t>财政资金使用作用</w:t>
      </w:r>
      <w:r>
        <w:rPr>
          <w:rFonts w:hint="eastAsia" w:ascii="仿宋_GB2312" w:hAnsi="Times New Roman" w:eastAsia="仿宋_GB2312" w:cs="Times New Roman"/>
          <w:color w:val="auto"/>
          <w:spacing w:val="0"/>
          <w:kern w:val="2"/>
          <w:sz w:val="32"/>
          <w:szCs w:val="32"/>
          <w:highlight w:val="none"/>
          <w:lang w:val="en-US" w:eastAsia="zh-CN" w:bidi="ar-SA"/>
        </w:rPr>
        <w:t>。二是严格按照工作职责和相关文件依据，确保专款专用。三是严格控制资金的流出方向，确保资金的合规性</w:t>
      </w:r>
      <w:r>
        <w:rPr>
          <w:rFonts w:ascii="仿宋_GB2312" w:hAnsi="仿宋_GB2312" w:eastAsia="仿宋_GB2312"/>
          <w:b w:val="0"/>
          <w:sz w:val="32"/>
        </w:rPr>
        <w:t>。发现的问题及原因：一是评价指标体系不健全，实际操作有困难；二是预算绩效观念不强，工作质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w:t>
      </w:r>
      <w:r>
        <w:rPr>
          <w:rFonts w:hint="eastAsia" w:ascii="仿宋_GB2312" w:eastAsia="仿宋_GB2312" w:cs="Times New Roman"/>
          <w:color w:val="auto"/>
          <w:spacing w:val="0"/>
          <w:kern w:val="2"/>
          <w:sz w:val="32"/>
          <w:szCs w:val="32"/>
          <w:highlight w:val="none"/>
          <w:lang w:val="en-US" w:eastAsia="zh-CN" w:bidi="ar-SA"/>
        </w:rPr>
        <w:t>单位</w:t>
      </w:r>
      <w:r>
        <w:rPr>
          <w:rFonts w:hint="default" w:ascii="仿宋_GB2312" w:hAnsi="Times New Roman" w:eastAsia="仿宋_GB2312" w:cs="Times New Roman"/>
          <w:color w:val="auto"/>
          <w:spacing w:val="0"/>
          <w:kern w:val="2"/>
          <w:sz w:val="32"/>
          <w:szCs w:val="32"/>
          <w:highlight w:val="none"/>
          <w:lang w:val="en-US" w:eastAsia="zh-CN" w:bidi="ar-SA"/>
        </w:rPr>
        <w:t>各项工作的开展、总结、评估提供有效数据资料支撑,为各项业务工作更好</w:t>
      </w:r>
      <w:r>
        <w:rPr>
          <w:rFonts w:hint="eastAsia" w:ascii="仿宋_GB2312" w:hAnsi="Times New Roman"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hAnsi="Times New Roman"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w:t>
      </w:r>
      <w:r>
        <w:rPr>
          <w:rFonts w:hint="eastAsia" w:ascii="仿宋_GB2312" w:eastAsia="仿宋_GB2312" w:cs="Times New Roman"/>
          <w:color w:val="auto"/>
          <w:spacing w:val="0"/>
          <w:kern w:val="2"/>
          <w:sz w:val="32"/>
          <w:szCs w:val="32"/>
          <w:highlight w:val="none"/>
          <w:lang w:val="en-US" w:eastAsia="zh-CN" w:bidi="ar-SA"/>
        </w:rPr>
        <w:t>单位</w:t>
      </w:r>
      <w:r>
        <w:rPr>
          <w:rFonts w:hint="default" w:ascii="仿宋_GB2312" w:hAnsi="Times New Roman" w:eastAsia="仿宋_GB2312" w:cs="Times New Roman"/>
          <w:color w:val="auto"/>
          <w:spacing w:val="0"/>
          <w:kern w:val="2"/>
          <w:sz w:val="32"/>
          <w:szCs w:val="32"/>
          <w:highlight w:val="none"/>
          <w:lang w:val="en-US" w:eastAsia="zh-CN" w:bidi="ar-SA"/>
        </w:rPr>
        <w:t>实际,按轻重缓急统筹安排编制预算,提高预算编制科学性和合理性，优化资金结构</w:t>
      </w:r>
      <w:r>
        <w:rPr>
          <w:rFonts w:ascii="仿宋_GB2312" w:hAnsi="仿宋_GB2312" w:eastAsia="仿宋_GB2312"/>
          <w:b w:val="0"/>
          <w:sz w:val="32"/>
        </w:rPr>
        <w:t>。具体附整体支出绩效自评表，项目支出绩效自评表和评价报告。</w:t>
      </w:r>
    </w:p>
    <w:p w14:paraId="1C7FCF0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EDC0100">
        <w:tblPrEx>
          <w:tblCellMar>
            <w:top w:w="0" w:type="dxa"/>
            <w:left w:w="108" w:type="dxa"/>
            <w:bottom w:w="0" w:type="dxa"/>
            <w:right w:w="108" w:type="dxa"/>
          </w:tblCellMar>
        </w:tblPrEx>
        <w:tc>
          <w:tcPr>
            <w:tcW w:w="8840" w:type="dxa"/>
            <w:gridSpan w:val="8"/>
            <w:vAlign w:val="center"/>
          </w:tcPr>
          <w:p w14:paraId="482E0634">
            <w:pPr>
              <w:jc w:val="center"/>
            </w:pPr>
            <w:r>
              <w:rPr>
                <w:rFonts w:hint="eastAsia" w:ascii="宋体" w:hAnsi="宋体"/>
                <w:sz w:val="24"/>
                <w:lang w:eastAsia="zh-CN"/>
              </w:rPr>
              <w:t>单位</w:t>
            </w:r>
            <w:r>
              <w:rPr>
                <w:rFonts w:ascii="宋体" w:hAnsi="宋体" w:eastAsia="宋体"/>
                <w:sz w:val="24"/>
              </w:rPr>
              <w:t>整体支出绩效自评表</w:t>
            </w:r>
          </w:p>
        </w:tc>
      </w:tr>
      <w:tr w14:paraId="03FA917B">
        <w:tblPrEx>
          <w:tblCellMar>
            <w:top w:w="0" w:type="dxa"/>
            <w:left w:w="108" w:type="dxa"/>
            <w:bottom w:w="0" w:type="dxa"/>
            <w:right w:w="108" w:type="dxa"/>
          </w:tblCellMar>
        </w:tblPrEx>
        <w:tc>
          <w:tcPr>
            <w:tcW w:w="8840" w:type="dxa"/>
            <w:gridSpan w:val="8"/>
            <w:vAlign w:val="center"/>
          </w:tcPr>
          <w:p w14:paraId="6EA6B7A4">
            <w:pPr>
              <w:jc w:val="center"/>
            </w:pPr>
            <w:r>
              <w:rPr>
                <w:rFonts w:ascii="宋体" w:hAnsi="宋体" w:eastAsia="宋体"/>
                <w:sz w:val="24"/>
              </w:rPr>
              <w:t>（2024年度）</w:t>
            </w:r>
          </w:p>
        </w:tc>
      </w:tr>
      <w:tr w14:paraId="437D977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613F2">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73D85">
            <w:pPr>
              <w:jc w:val="center"/>
            </w:pPr>
            <w:r>
              <w:rPr>
                <w:rFonts w:ascii="宋体" w:hAnsi="宋体" w:eastAsia="宋体"/>
                <w:sz w:val="16"/>
              </w:rPr>
              <w:t>特克斯县乔拉克铁热克镇人民政府</w:t>
            </w:r>
          </w:p>
        </w:tc>
      </w:tr>
      <w:tr w14:paraId="185512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4DB1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760A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B00B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CD4C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A42D7">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92D4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BD6E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A81C4">
            <w:pPr>
              <w:jc w:val="center"/>
            </w:pPr>
            <w:r>
              <w:rPr>
                <w:rFonts w:ascii="宋体" w:hAnsi="宋体" w:eastAsia="宋体"/>
                <w:sz w:val="16"/>
              </w:rPr>
              <w:t>得分</w:t>
            </w:r>
          </w:p>
        </w:tc>
      </w:tr>
      <w:tr w14:paraId="17D200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9DFD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398C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3239F">
            <w:pPr>
              <w:jc w:val="center"/>
            </w:pPr>
            <w:r>
              <w:rPr>
                <w:rFonts w:ascii="宋体" w:hAnsi="宋体" w:eastAsia="宋体"/>
                <w:sz w:val="16"/>
              </w:rPr>
              <w:t>4,842.59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709E7">
            <w:pPr>
              <w:jc w:val="center"/>
            </w:pPr>
            <w:r>
              <w:rPr>
                <w:rFonts w:ascii="宋体" w:hAnsi="宋体" w:eastAsia="宋体"/>
                <w:sz w:val="16"/>
              </w:rPr>
              <w:t>8,541.14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FC27F">
            <w:pPr>
              <w:jc w:val="center"/>
            </w:pPr>
            <w:r>
              <w:rPr>
                <w:rFonts w:ascii="宋体" w:hAnsi="宋体" w:eastAsia="宋体"/>
                <w:sz w:val="16"/>
              </w:rPr>
              <w:t>8,541.14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286D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B62D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99B83">
            <w:pPr>
              <w:jc w:val="center"/>
            </w:pPr>
            <w:r>
              <w:rPr>
                <w:rFonts w:ascii="宋体" w:hAnsi="宋体" w:eastAsia="宋体"/>
                <w:sz w:val="16"/>
              </w:rPr>
              <w:t>10</w:t>
            </w:r>
          </w:p>
        </w:tc>
      </w:tr>
      <w:tr w14:paraId="2AD072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7CAA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A861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F912F">
            <w:pPr>
              <w:jc w:val="center"/>
            </w:pPr>
            <w:r>
              <w:rPr>
                <w:rFonts w:ascii="宋体" w:hAnsi="宋体" w:eastAsia="宋体"/>
                <w:sz w:val="16"/>
              </w:rPr>
              <w:t>1,869.70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E6237">
            <w:pPr>
              <w:jc w:val="center"/>
            </w:pPr>
            <w:r>
              <w:rPr>
                <w:rFonts w:ascii="宋体" w:hAnsi="宋体" w:eastAsia="宋体"/>
                <w:sz w:val="16"/>
              </w:rPr>
              <w:t>2,388.23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B194D">
            <w:pPr>
              <w:jc w:val="center"/>
            </w:pPr>
            <w:r>
              <w:rPr>
                <w:rFonts w:ascii="宋体" w:hAnsi="宋体" w:eastAsia="宋体"/>
                <w:sz w:val="16"/>
              </w:rPr>
              <w:t>2,388.23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CCA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FB2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97E50">
            <w:pPr>
              <w:jc w:val="center"/>
            </w:pPr>
            <w:r>
              <w:rPr>
                <w:rFonts w:ascii="宋体" w:hAnsi="宋体" w:eastAsia="宋体"/>
                <w:sz w:val="16"/>
              </w:rPr>
              <w:t>-</w:t>
            </w:r>
          </w:p>
        </w:tc>
      </w:tr>
      <w:tr w14:paraId="522793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FA31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610D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0A96E">
            <w:pPr>
              <w:jc w:val="center"/>
            </w:pPr>
            <w:r>
              <w:rPr>
                <w:rFonts w:ascii="宋体" w:hAnsi="宋体" w:eastAsia="宋体"/>
                <w:sz w:val="16"/>
              </w:rPr>
              <w:t>2,972.89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77A57">
            <w:pPr>
              <w:jc w:val="center"/>
            </w:pPr>
            <w:r>
              <w:rPr>
                <w:rFonts w:ascii="宋体" w:hAnsi="宋体" w:eastAsia="宋体"/>
                <w:sz w:val="16"/>
              </w:rPr>
              <w:t>6,152.91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A2BF3">
            <w:pPr>
              <w:jc w:val="center"/>
            </w:pPr>
            <w:r>
              <w:rPr>
                <w:rFonts w:ascii="宋体" w:hAnsi="宋体" w:eastAsia="宋体"/>
                <w:sz w:val="16"/>
              </w:rPr>
              <w:t>6,152.91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4BC4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B9A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51E48">
            <w:pPr>
              <w:jc w:val="center"/>
            </w:pPr>
            <w:r>
              <w:rPr>
                <w:rFonts w:ascii="宋体" w:hAnsi="宋体" w:eastAsia="宋体"/>
                <w:sz w:val="16"/>
              </w:rPr>
              <w:t>-</w:t>
            </w:r>
          </w:p>
        </w:tc>
      </w:tr>
      <w:tr w14:paraId="1C2D58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AE5E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7825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3DE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6FA6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0E8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336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D32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75119">
            <w:pPr>
              <w:jc w:val="center"/>
            </w:pPr>
            <w:r>
              <w:rPr>
                <w:rFonts w:ascii="宋体" w:hAnsi="宋体" w:eastAsia="宋体"/>
                <w:sz w:val="16"/>
              </w:rPr>
              <w:t>-</w:t>
            </w:r>
          </w:p>
        </w:tc>
      </w:tr>
      <w:tr w14:paraId="0D632E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A7A4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E89B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B47C65">
            <w:pPr>
              <w:jc w:val="center"/>
            </w:pPr>
            <w:r>
              <w:rPr>
                <w:rFonts w:ascii="宋体" w:hAnsi="宋体" w:eastAsia="宋体"/>
                <w:sz w:val="16"/>
              </w:rPr>
              <w:t>实际完成情况</w:t>
            </w:r>
          </w:p>
        </w:tc>
      </w:tr>
      <w:tr w14:paraId="1671A4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24D1F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DD9E65">
            <w:pPr>
              <w:jc w:val="both"/>
            </w:pPr>
            <w:r>
              <w:rPr>
                <w:rFonts w:ascii="宋体" w:hAnsi="宋体" w:eastAsia="宋体"/>
                <w:sz w:val="16"/>
              </w:rPr>
              <w:t>坚持以习近平新时代中国特色社会主义思想为指导，深入学习贯彻党的二十大和二十届二中全会精神，深入学习贯彻中央经济工作会议、农村工作会议精神，贯彻落实习近平总书记听取自治区和兵团工作汇报时的重要讲话精神，全面落实自治区、自治州党委新部署新要求和县委十三届七次会议精神，完整准确贯彻新时代党的治疆方略，系统安排部署2024年发展重点任务，动员全镇广大党员干部和各族群众，紧紧围绕县委中心工作，科学谋划部署，坚持胸怀大局、乘势而谋、顺势而为，扎实做好全镇改革发展稳定各项工作，奋力谱写乔拉克铁热克镇经济社会高质量发展新篇章。</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CD28A2">
            <w:pPr>
              <w:jc w:val="both"/>
            </w:pPr>
            <w:r>
              <w:rPr>
                <w:rFonts w:ascii="宋体" w:hAnsi="宋体" w:eastAsia="宋体"/>
                <w:sz w:val="16"/>
              </w:rPr>
              <w:t>过去的一年是克难奋进、实干为先的一年。在特克斯县委、县政府的坚强领导下，全镇上下聚焦高质量发展首要任务，锚定“牵一发而动全身”的重点工作，集中攻坚、聚力突破，推动事关长治久安的根本性、基础性、长远性工作取得了新进展，高质量发展迈出新步伐，群众生活品质得到新提升，党员干部干事创业展现新担当，各项事业取得了新成效。坚持把发展作为第一要务，聚焦县委、县政府年初既定发展目标要求，集中精力谋大事、抓要事、办实事，有效推动全镇经济社会持续健康发展。2024年全镇一般公共预算收入预计增长24%，固定资产投资预计增长11.88%。实施招商引资项目12个，到位资金1.53亿元；推进农业高效转型、优化种植结构，土地流转5.32万亩，实播面积15.3万亩，其中春小麦单产696.59公斤、黑小麦单产511.67公斤、甜菜单产6954.4公斤创全县历年最高；探索草原畜牧业“4+1+X”养殖模式，承办全国草原畜牧业转型升级工作观摩会，社会化服务公司运行模式被</w:t>
            </w:r>
            <w:r>
              <w:rPr>
                <w:rFonts w:hint="eastAsia" w:ascii="宋体" w:hAnsi="宋体"/>
                <w:sz w:val="16"/>
                <w:lang w:eastAsia="zh-CN"/>
              </w:rPr>
              <w:t>农业农村部</w:t>
            </w:r>
            <w:r>
              <w:rPr>
                <w:rFonts w:ascii="宋体" w:hAnsi="宋体" w:eastAsia="宋体"/>
                <w:sz w:val="16"/>
              </w:rPr>
              <w:t>全国推广。依托喀拉峻、琼库什台景区景点名片优势，打造孟布拉克、阿克铁热克、阿特恰比斯、克孜勒阔拉等旅游区域性的经营商圈。全年新增民宿45家、酒店1家，解决了910名困难群众就业，实现了镇村经济多元发展。全年累计发放各类保障资金448.97万元；开展现场招聘会15场次，带动就业2800人次，劳动力转移15061人次。教育体制机制改革进一步深化，撤并优化小学3所、幼儿园2所。完成粮食种植面积8.81万亩，2024年养老保险征缴率89.07%，城乡居民基本医疗保险征收率96.06%，新增高端民宿21家，义务教育巩固率98%。</w:t>
            </w:r>
          </w:p>
        </w:tc>
      </w:tr>
      <w:tr w14:paraId="2C915DA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6DB5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1F3A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B639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6A86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7D56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23FD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F9F9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37B80">
            <w:pPr>
              <w:jc w:val="center"/>
            </w:pPr>
            <w:r>
              <w:rPr>
                <w:rFonts w:ascii="宋体" w:hAnsi="宋体" w:eastAsia="宋体"/>
                <w:sz w:val="16"/>
              </w:rPr>
              <w:t>得分</w:t>
            </w:r>
          </w:p>
        </w:tc>
      </w:tr>
      <w:tr w14:paraId="7025059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9A7D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DF30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C1295">
            <w:pPr>
              <w:jc w:val="center"/>
            </w:pPr>
            <w:r>
              <w:rPr>
                <w:rFonts w:ascii="宋体" w:hAnsi="宋体" w:eastAsia="宋体"/>
                <w:sz w:val="16"/>
              </w:rPr>
              <w:t>种植粮食作物面积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82ECE">
            <w:pPr>
              <w:jc w:val="center"/>
            </w:pPr>
            <w:r>
              <w:rPr>
                <w:rFonts w:ascii="宋体" w:hAnsi="宋体" w:eastAsia="宋体"/>
                <w:sz w:val="16"/>
              </w:rPr>
              <w:t>=8万亩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9579A">
            <w:pPr>
              <w:jc w:val="center"/>
            </w:pPr>
            <w:r>
              <w:rPr>
                <w:rFonts w:ascii="宋体" w:hAnsi="宋体" w:eastAsia="宋体"/>
                <w:sz w:val="16"/>
              </w:rPr>
              <w:t>乔拉克铁热克镇2024年工作思路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7FDF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BBD34">
            <w:pPr>
              <w:jc w:val="center"/>
            </w:pPr>
            <w:r>
              <w:rPr>
                <w:rFonts w:ascii="宋体" w:hAnsi="宋体" w:eastAsia="宋体"/>
                <w:sz w:val="16"/>
              </w:rPr>
              <w:t>8.81万亩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1DF21">
            <w:pPr>
              <w:jc w:val="center"/>
            </w:pPr>
            <w:r>
              <w:rPr>
                <w:rFonts w:ascii="宋体" w:hAnsi="宋体" w:eastAsia="宋体"/>
                <w:sz w:val="16"/>
              </w:rPr>
              <w:t>20</w:t>
            </w:r>
          </w:p>
        </w:tc>
      </w:tr>
      <w:tr w14:paraId="5889F7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97916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B9A3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8BFF0">
            <w:pPr>
              <w:jc w:val="center"/>
            </w:pPr>
            <w:r>
              <w:rPr>
                <w:rFonts w:ascii="宋体" w:hAnsi="宋体" w:eastAsia="宋体"/>
                <w:sz w:val="16"/>
              </w:rPr>
              <w:t>农村富余劳动力转移就业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17522">
            <w:pPr>
              <w:jc w:val="center"/>
            </w:pPr>
            <w:r>
              <w:rPr>
                <w:rFonts w:ascii="宋体" w:hAnsi="宋体" w:eastAsia="宋体"/>
                <w:sz w:val="16"/>
              </w:rPr>
              <w:t>&gt;=10000人次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63237">
            <w:pPr>
              <w:jc w:val="center"/>
            </w:pPr>
            <w:r>
              <w:rPr>
                <w:rFonts w:ascii="宋体" w:hAnsi="宋体" w:eastAsia="宋体"/>
                <w:sz w:val="16"/>
              </w:rPr>
              <w:t>乔拉克铁热克镇2024年工作思路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849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1FF37">
            <w:pPr>
              <w:jc w:val="center"/>
            </w:pPr>
            <w:r>
              <w:rPr>
                <w:rFonts w:ascii="宋体" w:hAnsi="宋体" w:eastAsia="宋体"/>
                <w:sz w:val="16"/>
              </w:rPr>
              <w:t>15061人次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0D7B6">
            <w:pPr>
              <w:jc w:val="center"/>
            </w:pPr>
            <w:r>
              <w:rPr>
                <w:rFonts w:ascii="宋体" w:hAnsi="宋体" w:eastAsia="宋体"/>
                <w:sz w:val="16"/>
              </w:rPr>
              <w:t>20</w:t>
            </w:r>
          </w:p>
        </w:tc>
      </w:tr>
      <w:tr w14:paraId="73E2DE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05B6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D77E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168F9">
            <w:pPr>
              <w:jc w:val="center"/>
            </w:pPr>
            <w:r>
              <w:rPr>
                <w:rFonts w:ascii="宋体" w:hAnsi="宋体" w:eastAsia="宋体"/>
                <w:sz w:val="16"/>
              </w:rPr>
              <w:t>新增高端民宿数量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A1587">
            <w:pPr>
              <w:jc w:val="center"/>
            </w:pPr>
            <w:r>
              <w:rPr>
                <w:rFonts w:ascii="宋体" w:hAnsi="宋体" w:eastAsia="宋体"/>
                <w:sz w:val="16"/>
              </w:rPr>
              <w:t>&gt;=20家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26CAF">
            <w:pPr>
              <w:jc w:val="center"/>
            </w:pPr>
            <w:r>
              <w:rPr>
                <w:rFonts w:ascii="宋体" w:hAnsi="宋体" w:eastAsia="宋体"/>
                <w:sz w:val="16"/>
              </w:rPr>
              <w:t>乔拉克铁热克镇2024年工作思路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930A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0835E">
            <w:pPr>
              <w:jc w:val="center"/>
            </w:pPr>
            <w:r>
              <w:rPr>
                <w:rFonts w:ascii="宋体" w:hAnsi="宋体" w:eastAsia="宋体"/>
                <w:sz w:val="16"/>
              </w:rPr>
              <w:t>21家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52F05">
            <w:pPr>
              <w:jc w:val="center"/>
            </w:pPr>
            <w:r>
              <w:rPr>
                <w:rFonts w:ascii="宋体" w:hAnsi="宋体" w:eastAsia="宋体"/>
                <w:sz w:val="16"/>
              </w:rPr>
              <w:t>20</w:t>
            </w:r>
          </w:p>
        </w:tc>
      </w:tr>
      <w:tr w14:paraId="2CDB69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DDE16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66DD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C6CBF">
            <w:pPr>
              <w:jc w:val="center"/>
            </w:pPr>
            <w:r>
              <w:rPr>
                <w:rFonts w:ascii="宋体" w:hAnsi="宋体" w:eastAsia="宋体"/>
                <w:sz w:val="16"/>
              </w:rPr>
              <w:t>养老医疗保险参保率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05FE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023DD">
            <w:pPr>
              <w:jc w:val="center"/>
            </w:pPr>
            <w:r>
              <w:rPr>
                <w:rFonts w:ascii="宋体" w:hAnsi="宋体" w:eastAsia="宋体"/>
                <w:sz w:val="16"/>
              </w:rPr>
              <w:t>乔拉克铁热克镇2024年工作思路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7B93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839CA">
            <w:pPr>
              <w:jc w:val="center"/>
            </w:pPr>
            <w:r>
              <w:rPr>
                <w:rFonts w:ascii="宋体" w:hAnsi="宋体" w:eastAsia="宋体"/>
                <w:sz w:val="16"/>
              </w:rPr>
              <w:t>92.56%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A49F1">
            <w:pPr>
              <w:jc w:val="center"/>
            </w:pPr>
            <w:r>
              <w:rPr>
                <w:rFonts w:ascii="宋体" w:hAnsi="宋体" w:eastAsia="宋体"/>
                <w:sz w:val="16"/>
              </w:rPr>
              <w:t>18</w:t>
            </w:r>
          </w:p>
        </w:tc>
      </w:tr>
      <w:tr w14:paraId="64C6A9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D1E1D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94D0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00A69">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B3A96">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1152A">
            <w:pPr>
              <w:jc w:val="center"/>
            </w:pPr>
            <w:r>
              <w:rPr>
                <w:rFonts w:ascii="宋体" w:hAnsi="宋体" w:eastAsia="宋体"/>
                <w:sz w:val="16"/>
              </w:rPr>
              <w:t>乔拉克铁热克镇2024年工作思路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34B3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5E602">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13F07">
            <w:pPr>
              <w:jc w:val="center"/>
            </w:pPr>
            <w:r>
              <w:rPr>
                <w:rFonts w:ascii="宋体" w:hAnsi="宋体" w:eastAsia="宋体"/>
                <w:sz w:val="16"/>
              </w:rPr>
              <w:t>10</w:t>
            </w:r>
          </w:p>
        </w:tc>
      </w:tr>
    </w:tbl>
    <w:p w14:paraId="074BA9A0">
      <w:r>
        <w:br w:type="page"/>
      </w:r>
    </w:p>
    <w:tbl>
      <w:tblPr>
        <w:tblStyle w:val="9"/>
        <w:tblW w:w="9392" w:type="dxa"/>
        <w:tblInd w:w="0" w:type="dxa"/>
        <w:tblLayout w:type="autofit"/>
        <w:tblCellMar>
          <w:top w:w="0" w:type="dxa"/>
          <w:left w:w="108" w:type="dxa"/>
          <w:bottom w:w="0" w:type="dxa"/>
          <w:right w:w="108" w:type="dxa"/>
        </w:tblCellMar>
      </w:tblPr>
      <w:tblGrid>
        <w:gridCol w:w="630"/>
        <w:gridCol w:w="630"/>
        <w:gridCol w:w="631"/>
        <w:gridCol w:w="631"/>
        <w:gridCol w:w="631"/>
        <w:gridCol w:w="632"/>
        <w:gridCol w:w="631"/>
        <w:gridCol w:w="632"/>
        <w:gridCol w:w="632"/>
        <w:gridCol w:w="631"/>
        <w:gridCol w:w="631"/>
        <w:gridCol w:w="631"/>
        <w:gridCol w:w="631"/>
        <w:gridCol w:w="1188"/>
      </w:tblGrid>
      <w:tr w14:paraId="0A7FC326">
        <w:tblPrEx>
          <w:tblCellMar>
            <w:top w:w="0" w:type="dxa"/>
            <w:left w:w="108" w:type="dxa"/>
            <w:bottom w:w="0" w:type="dxa"/>
            <w:right w:w="108" w:type="dxa"/>
          </w:tblCellMar>
        </w:tblPrEx>
        <w:tc>
          <w:tcPr>
            <w:tcW w:w="9392" w:type="dxa"/>
            <w:gridSpan w:val="14"/>
            <w:vAlign w:val="center"/>
          </w:tcPr>
          <w:p w14:paraId="7645FE63">
            <w:pPr>
              <w:jc w:val="center"/>
            </w:pPr>
            <w:r>
              <w:rPr>
                <w:rFonts w:ascii="宋体" w:hAnsi="宋体" w:eastAsia="宋体"/>
                <w:sz w:val="24"/>
              </w:rPr>
              <w:t>项目支出绩效自评表</w:t>
            </w:r>
          </w:p>
        </w:tc>
      </w:tr>
      <w:tr w14:paraId="28BB2208">
        <w:tblPrEx>
          <w:tblCellMar>
            <w:top w:w="0" w:type="dxa"/>
            <w:left w:w="108" w:type="dxa"/>
            <w:bottom w:w="0" w:type="dxa"/>
            <w:right w:w="108" w:type="dxa"/>
          </w:tblCellMar>
        </w:tblPrEx>
        <w:tc>
          <w:tcPr>
            <w:tcW w:w="9392" w:type="dxa"/>
            <w:gridSpan w:val="14"/>
            <w:vAlign w:val="center"/>
          </w:tcPr>
          <w:p w14:paraId="19EBCE47">
            <w:pPr>
              <w:jc w:val="center"/>
            </w:pPr>
            <w:r>
              <w:rPr>
                <w:rFonts w:ascii="宋体" w:hAnsi="宋体" w:eastAsia="宋体"/>
                <w:sz w:val="24"/>
              </w:rPr>
              <w:t>(2024年度)</w:t>
            </w:r>
          </w:p>
        </w:tc>
      </w:tr>
      <w:tr w14:paraId="4E49085B">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5D1D14D">
            <w:pPr>
              <w:jc w:val="center"/>
            </w:pPr>
            <w:r>
              <w:rPr>
                <w:rFonts w:ascii="宋体" w:hAnsi="宋体" w:eastAsia="宋体"/>
                <w:sz w:val="16"/>
              </w:rPr>
              <w:t>项目名称</w:t>
            </w:r>
          </w:p>
        </w:tc>
        <w:tc>
          <w:tcPr>
            <w:tcW w:w="876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2900AB">
            <w:pPr>
              <w:jc w:val="center"/>
            </w:pPr>
            <w:r>
              <w:rPr>
                <w:rFonts w:ascii="宋体" w:hAnsi="宋体" w:eastAsia="宋体"/>
                <w:sz w:val="16"/>
              </w:rPr>
              <w:t>伊州财农</w:t>
            </w:r>
            <w:r>
              <w:rPr>
                <w:rFonts w:hint="eastAsia" w:ascii="宋体" w:hAnsi="宋体"/>
                <w:sz w:val="16"/>
                <w:lang w:eastAsia="zh-CN"/>
              </w:rPr>
              <w:t>〔2023〕49号</w:t>
            </w:r>
            <w:r>
              <w:rPr>
                <w:rFonts w:ascii="宋体" w:hAnsi="宋体" w:eastAsia="宋体"/>
                <w:sz w:val="16"/>
              </w:rPr>
              <w:t>中央农村综合改革项目</w:t>
            </w:r>
          </w:p>
        </w:tc>
      </w:tr>
      <w:tr w14:paraId="7A2F5824">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506166">
            <w:pPr>
              <w:jc w:val="center"/>
            </w:pPr>
            <w:r>
              <w:rPr>
                <w:rFonts w:ascii="宋体" w:hAnsi="宋体" w:eastAsia="宋体"/>
                <w:sz w:val="16"/>
              </w:rPr>
              <w:t>主管部门</w:t>
            </w:r>
          </w:p>
        </w:tc>
        <w:tc>
          <w:tcPr>
            <w:tcW w:w="44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279FD">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3C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7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580E0">
            <w:pPr>
              <w:jc w:val="center"/>
            </w:pPr>
            <w:r>
              <w:rPr>
                <w:rFonts w:ascii="宋体" w:hAnsi="宋体" w:eastAsia="宋体"/>
                <w:sz w:val="16"/>
              </w:rPr>
              <w:t>特克斯县乔拉克铁热克镇人民政府</w:t>
            </w:r>
          </w:p>
        </w:tc>
      </w:tr>
      <w:tr w14:paraId="414B43A6">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AE274">
            <w:pPr>
              <w:jc w:val="center"/>
            </w:pPr>
            <w:r>
              <w:rPr>
                <w:rFonts w:ascii="宋体" w:hAnsi="宋体" w:eastAsia="宋体"/>
                <w:sz w:val="16"/>
              </w:rPr>
              <w:t>项目资金（万元）</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D75B">
            <w:pPr>
              <w:jc w:val="center"/>
            </w:pP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E494D">
            <w:pPr>
              <w:jc w:val="center"/>
            </w:pPr>
            <w:r>
              <w:rPr>
                <w:rFonts w:ascii="宋体" w:hAnsi="宋体" w:eastAsia="宋体"/>
                <w:sz w:val="16"/>
              </w:rPr>
              <w:t>年初预算数</w:t>
            </w:r>
          </w:p>
        </w:tc>
        <w:tc>
          <w:tcPr>
            <w:tcW w:w="12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30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F09E">
            <w:pPr>
              <w:jc w:val="center"/>
            </w:pPr>
            <w:r>
              <w:rPr>
                <w:rFonts w:ascii="宋体" w:hAnsi="宋体" w:eastAsia="宋体"/>
                <w:sz w:val="16"/>
              </w:rPr>
              <w:t>全年执行数</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B3784">
            <w:pPr>
              <w:jc w:val="center"/>
            </w:pPr>
            <w:r>
              <w:rPr>
                <w:rFonts w:ascii="宋体" w:hAnsi="宋体" w:eastAsia="宋体"/>
                <w:sz w:val="16"/>
              </w:rPr>
              <w:t>分值</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5CD2">
            <w:pPr>
              <w:jc w:val="center"/>
            </w:pPr>
            <w:r>
              <w:rPr>
                <w:rFonts w:ascii="宋体" w:hAnsi="宋体" w:eastAsia="宋体"/>
                <w:sz w:val="16"/>
              </w:rPr>
              <w:t>执行率</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3117A781">
            <w:pPr>
              <w:jc w:val="center"/>
            </w:pPr>
            <w:r>
              <w:rPr>
                <w:rFonts w:ascii="宋体" w:hAnsi="宋体" w:eastAsia="宋体"/>
                <w:sz w:val="16"/>
              </w:rPr>
              <w:t>得分</w:t>
            </w:r>
          </w:p>
        </w:tc>
      </w:tr>
      <w:tr w14:paraId="498D17F2">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E5FFD46"/>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D9609">
            <w:pPr>
              <w:jc w:val="center"/>
            </w:pPr>
            <w:r>
              <w:rPr>
                <w:rFonts w:ascii="宋体" w:hAnsi="宋体" w:eastAsia="宋体"/>
                <w:sz w:val="16"/>
              </w:rPr>
              <w:t>年度资金总额</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7020D">
            <w:pPr>
              <w:jc w:val="center"/>
            </w:pPr>
            <w:r>
              <w:rPr>
                <w:rFonts w:ascii="宋体" w:hAnsi="宋体" w:eastAsia="宋体"/>
                <w:sz w:val="16"/>
              </w:rPr>
              <w:t>150.00</w:t>
            </w:r>
          </w:p>
        </w:tc>
        <w:tc>
          <w:tcPr>
            <w:tcW w:w="12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610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73C9">
            <w:pPr>
              <w:jc w:val="center"/>
            </w:pPr>
            <w:r>
              <w:rPr>
                <w:rFonts w:ascii="宋体" w:hAnsi="宋体" w:eastAsia="宋体"/>
                <w:sz w:val="16"/>
              </w:rPr>
              <w:t>109.71</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7B538">
            <w:pPr>
              <w:jc w:val="center"/>
            </w:pPr>
            <w:r>
              <w:rPr>
                <w:rFonts w:ascii="宋体" w:hAnsi="宋体" w:eastAsia="宋体"/>
                <w:sz w:val="16"/>
              </w:rPr>
              <w:t>10</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9BCE">
            <w:pPr>
              <w:jc w:val="center"/>
            </w:pPr>
            <w:r>
              <w:rPr>
                <w:rFonts w:ascii="宋体" w:hAnsi="宋体" w:eastAsia="宋体"/>
                <w:sz w:val="16"/>
              </w:rPr>
              <w:t>73.14%</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041D04FD">
            <w:pPr>
              <w:jc w:val="center"/>
            </w:pPr>
            <w:r>
              <w:rPr>
                <w:rFonts w:ascii="宋体" w:hAnsi="宋体" w:eastAsia="宋体"/>
                <w:sz w:val="16"/>
              </w:rPr>
              <w:t>3.29</w:t>
            </w:r>
          </w:p>
        </w:tc>
      </w:tr>
      <w:tr w14:paraId="0A787FA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82D6DBA"/>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CC12D">
            <w:pPr>
              <w:jc w:val="center"/>
            </w:pPr>
            <w:r>
              <w:rPr>
                <w:rFonts w:ascii="宋体" w:hAnsi="宋体" w:eastAsia="宋体"/>
                <w:sz w:val="16"/>
              </w:rPr>
              <w:t>其中：当年财政拨款</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D8333">
            <w:pPr>
              <w:jc w:val="center"/>
            </w:pPr>
            <w:r>
              <w:rPr>
                <w:rFonts w:ascii="宋体" w:hAnsi="宋体" w:eastAsia="宋体"/>
                <w:sz w:val="16"/>
              </w:rPr>
              <w:t>150.00</w:t>
            </w:r>
          </w:p>
        </w:tc>
        <w:tc>
          <w:tcPr>
            <w:tcW w:w="12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CC2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7A94">
            <w:pPr>
              <w:jc w:val="center"/>
            </w:pPr>
            <w:r>
              <w:rPr>
                <w:rFonts w:ascii="宋体" w:hAnsi="宋体" w:eastAsia="宋体"/>
                <w:sz w:val="16"/>
              </w:rPr>
              <w:t>109.71</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C692">
            <w:pPr>
              <w:jc w:val="center"/>
            </w:pPr>
            <w:r>
              <w:rPr>
                <w:rFonts w:ascii="宋体" w:hAnsi="宋体" w:eastAsia="宋体"/>
                <w:sz w:val="16"/>
              </w:rPr>
              <w:t>—</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E39C7">
            <w:pPr>
              <w:jc w:val="center"/>
            </w:pPr>
            <w:r>
              <w:rPr>
                <w:rFonts w:ascii="宋体" w:hAnsi="宋体" w:eastAsia="宋体"/>
                <w:sz w:val="16"/>
              </w:rPr>
              <w:t>—</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1AAA40EA">
            <w:pPr>
              <w:jc w:val="center"/>
            </w:pPr>
            <w:r>
              <w:rPr>
                <w:rFonts w:ascii="宋体" w:hAnsi="宋体" w:eastAsia="宋体"/>
                <w:sz w:val="16"/>
              </w:rPr>
              <w:t>—</w:t>
            </w:r>
          </w:p>
        </w:tc>
      </w:tr>
      <w:tr w14:paraId="53DF827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7744F22"/>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19F66">
            <w:pPr>
              <w:jc w:val="center"/>
            </w:pPr>
            <w:r>
              <w:rPr>
                <w:rFonts w:ascii="宋体" w:hAnsi="宋体" w:eastAsia="宋体"/>
                <w:sz w:val="16"/>
              </w:rPr>
              <w:t xml:space="preserve">  其他资金</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2CAF5">
            <w:pPr>
              <w:jc w:val="center"/>
            </w:pPr>
            <w:r>
              <w:rPr>
                <w:rFonts w:ascii="宋体" w:hAnsi="宋体" w:eastAsia="宋体"/>
                <w:sz w:val="16"/>
              </w:rPr>
              <w:t>0.00</w:t>
            </w:r>
          </w:p>
        </w:tc>
        <w:tc>
          <w:tcPr>
            <w:tcW w:w="12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E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D6B0">
            <w:pPr>
              <w:jc w:val="center"/>
            </w:pPr>
            <w:r>
              <w:rPr>
                <w:rFonts w:ascii="宋体" w:hAnsi="宋体" w:eastAsia="宋体"/>
                <w:sz w:val="16"/>
              </w:rPr>
              <w:t>0.00</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DFA3">
            <w:pPr>
              <w:jc w:val="center"/>
            </w:pPr>
            <w:r>
              <w:rPr>
                <w:rFonts w:ascii="宋体" w:hAnsi="宋体" w:eastAsia="宋体"/>
                <w:sz w:val="16"/>
              </w:rPr>
              <w:t>—</w:t>
            </w:r>
          </w:p>
        </w:tc>
        <w:tc>
          <w:tcPr>
            <w:tcW w:w="12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68D1">
            <w:pPr>
              <w:jc w:val="center"/>
            </w:pPr>
            <w:r>
              <w:rPr>
                <w:rFonts w:ascii="宋体" w:hAnsi="宋体" w:eastAsia="宋体"/>
                <w:sz w:val="16"/>
              </w:rPr>
              <w:t>—</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693EA2D1">
            <w:pPr>
              <w:jc w:val="center"/>
            </w:pPr>
            <w:r>
              <w:rPr>
                <w:rFonts w:ascii="宋体" w:hAnsi="宋体" w:eastAsia="宋体"/>
                <w:sz w:val="16"/>
              </w:rPr>
              <w:t>—</w:t>
            </w:r>
          </w:p>
        </w:tc>
      </w:tr>
      <w:tr w14:paraId="419926A5">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A72A5">
            <w:pPr>
              <w:jc w:val="center"/>
            </w:pPr>
            <w:r>
              <w:rPr>
                <w:rFonts w:ascii="宋体" w:hAnsi="宋体" w:eastAsia="宋体"/>
                <w:sz w:val="16"/>
              </w:rPr>
              <w:t>年度总体目标</w:t>
            </w:r>
          </w:p>
        </w:tc>
        <w:tc>
          <w:tcPr>
            <w:tcW w:w="44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4423B">
            <w:pPr>
              <w:jc w:val="center"/>
            </w:pPr>
            <w:r>
              <w:rPr>
                <w:rFonts w:ascii="宋体" w:hAnsi="宋体" w:eastAsia="宋体"/>
                <w:sz w:val="16"/>
              </w:rPr>
              <w:t>预期目标</w:t>
            </w:r>
          </w:p>
        </w:tc>
        <w:tc>
          <w:tcPr>
            <w:tcW w:w="43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544CF">
            <w:pPr>
              <w:jc w:val="center"/>
            </w:pPr>
            <w:r>
              <w:rPr>
                <w:rFonts w:ascii="宋体" w:hAnsi="宋体" w:eastAsia="宋体"/>
                <w:sz w:val="16"/>
              </w:rPr>
              <w:t>实际完成情况</w:t>
            </w:r>
          </w:p>
        </w:tc>
      </w:tr>
      <w:tr w14:paraId="44AD0A2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B7F0777"/>
        </w:tc>
        <w:tc>
          <w:tcPr>
            <w:tcW w:w="44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DFF7B">
            <w:pPr>
              <w:jc w:val="both"/>
            </w:pPr>
            <w:r>
              <w:rPr>
                <w:rFonts w:ascii="宋体" w:hAnsi="宋体" w:eastAsia="宋体"/>
                <w:sz w:val="16"/>
              </w:rPr>
              <w:t>1推进农村公益事业建设，提升农村人居环境2.建设一批美丽乡村，逐步实现农村人居环境明显改善3.建设红色美丽村庄，传承红色基因、弘扬革命传统4.发展村级集体经济，逐步实现村村都有稳定的集体经济收入。</w:t>
            </w:r>
          </w:p>
        </w:tc>
        <w:tc>
          <w:tcPr>
            <w:tcW w:w="43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10158">
            <w:pPr>
              <w:jc w:val="both"/>
            </w:pPr>
            <w:r>
              <w:rPr>
                <w:rFonts w:ascii="宋体" w:hAnsi="宋体" w:eastAsia="宋体"/>
                <w:sz w:val="16"/>
              </w:rPr>
              <w:t>拨付三个村一事一议资金。</w:t>
            </w:r>
          </w:p>
        </w:tc>
      </w:tr>
      <w:tr w14:paraId="24977075">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4B6AA0F7"/>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4EC4766">
            <w:pPr>
              <w:jc w:val="center"/>
            </w:pPr>
            <w:r>
              <w:rPr>
                <w:rFonts w:ascii="宋体" w:hAnsi="宋体" w:eastAsia="宋体"/>
                <w:sz w:val="16"/>
              </w:rPr>
              <w:t>一级指标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C5AB8D2">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C904BB">
            <w:pPr>
              <w:jc w:val="center"/>
            </w:pPr>
            <w:r>
              <w:rPr>
                <w:rFonts w:ascii="宋体" w:hAnsi="宋体" w:eastAsia="宋体"/>
                <w:sz w:val="16"/>
              </w:rPr>
              <w:t>三级指标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37B71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39D4">
            <w:pPr>
              <w:jc w:val="center"/>
            </w:pPr>
            <w:r>
              <w:rPr>
                <w:rFonts w:ascii="宋体" w:hAnsi="宋体" w:eastAsia="宋体"/>
                <w:sz w:val="16"/>
              </w:rPr>
              <w:t>目标值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ED47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66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F614">
            <w:pPr>
              <w:jc w:val="center"/>
            </w:pPr>
            <w:r>
              <w:rPr>
                <w:rFonts w:ascii="宋体" w:hAnsi="宋体" w:eastAsia="宋体"/>
                <w:sz w:val="16"/>
              </w:rPr>
              <w:t>指标得分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7413AA">
            <w:pPr>
              <w:jc w:val="center"/>
            </w:pPr>
            <w:r>
              <w:rPr>
                <w:rFonts w:ascii="宋体" w:hAnsi="宋体" w:eastAsia="宋体"/>
                <w:sz w:val="16"/>
              </w:rPr>
              <w:t>指标值设定依据</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70CF30">
            <w:pPr>
              <w:jc w:val="center"/>
            </w:pPr>
            <w:r>
              <w:rPr>
                <w:rFonts w:ascii="宋体" w:hAnsi="宋体" w:eastAsia="宋体"/>
                <w:sz w:val="16"/>
              </w:rPr>
              <w:t>上年完成情况</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A715A2">
            <w:pPr>
              <w:jc w:val="center"/>
            </w:pPr>
            <w:r>
              <w:rPr>
                <w:rFonts w:ascii="宋体" w:hAnsi="宋体" w:eastAsia="宋体"/>
                <w:sz w:val="16"/>
              </w:rPr>
              <w:t>赋分规则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C3D46F">
            <w:pPr>
              <w:jc w:val="center"/>
            </w:pPr>
            <w:r>
              <w:rPr>
                <w:rFonts w:ascii="宋体" w:hAnsi="宋体" w:eastAsia="宋体"/>
                <w:sz w:val="16"/>
              </w:rPr>
              <w:t>佐证资料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7168AED8">
            <w:pPr>
              <w:jc w:val="center"/>
            </w:pPr>
            <w:r>
              <w:rPr>
                <w:rFonts w:ascii="宋体" w:hAnsi="宋体" w:eastAsia="宋体"/>
                <w:sz w:val="16"/>
              </w:rPr>
              <w:t>偏差原因分析及改进措施</w:t>
            </w:r>
          </w:p>
        </w:tc>
      </w:tr>
      <w:tr w14:paraId="1250DFC8">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B9F3">
            <w:pPr>
              <w:jc w:val="center"/>
            </w:pPr>
            <w:r>
              <w:rPr>
                <w:rFonts w:ascii="宋体" w:hAnsi="宋体" w:eastAsia="宋体"/>
                <w:sz w:val="16"/>
              </w:rPr>
              <w:t>年度绩效指标完成情况</w:t>
            </w:r>
          </w:p>
        </w:tc>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E57E7">
            <w:pPr>
              <w:jc w:val="center"/>
            </w:pPr>
            <w:r>
              <w:rPr>
                <w:rFonts w:ascii="宋体" w:hAnsi="宋体" w:eastAsia="宋体"/>
                <w:sz w:val="16"/>
              </w:rPr>
              <w:t>产出指标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DE11626">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0E59E5">
            <w:pPr>
              <w:jc w:val="center"/>
            </w:pPr>
            <w:r>
              <w:rPr>
                <w:rFonts w:ascii="宋体" w:hAnsi="宋体" w:eastAsia="宋体"/>
                <w:sz w:val="16"/>
              </w:rPr>
              <w:t>乡村数量</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B5F1A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C616">
            <w:pPr>
              <w:jc w:val="center"/>
            </w:pPr>
            <w:r>
              <w:rPr>
                <w:rFonts w:ascii="宋体" w:hAnsi="宋体" w:eastAsia="宋体"/>
                <w:sz w:val="16"/>
              </w:rPr>
              <w:t>=3个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AFDCAD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9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386D">
            <w:pPr>
              <w:jc w:val="center"/>
            </w:pPr>
            <w:r>
              <w:rPr>
                <w:rFonts w:ascii="宋体" w:hAnsi="宋体" w:eastAsia="宋体"/>
                <w:sz w:val="16"/>
              </w:rPr>
              <w:t>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ED55BB">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1209BF">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277240">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1557CD7">
            <w:pPr>
              <w:jc w:val="center"/>
            </w:pPr>
            <w:r>
              <w:rPr>
                <w:rFonts w:ascii="宋体" w:hAnsi="宋体" w:eastAsia="宋体"/>
                <w:sz w:val="16"/>
              </w:rPr>
              <w:t>工作资料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147856CA">
            <w:pPr>
              <w:jc w:val="center"/>
            </w:pPr>
          </w:p>
        </w:tc>
      </w:tr>
      <w:tr w14:paraId="61DE9CC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56E0DA9"/>
        </w:tc>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FD2A638"/>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D5D8E68">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3CF417">
            <w:pPr>
              <w:jc w:val="center"/>
            </w:pPr>
            <w:r>
              <w:rPr>
                <w:rFonts w:ascii="宋体" w:hAnsi="宋体" w:eastAsia="宋体"/>
                <w:sz w:val="16"/>
              </w:rPr>
              <w:t>资金拨付准确率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FD4FC0D">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B6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BE04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D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8DDD">
            <w:pPr>
              <w:jc w:val="center"/>
            </w:pPr>
            <w:r>
              <w:rPr>
                <w:rFonts w:ascii="宋体" w:hAnsi="宋体" w:eastAsia="宋体"/>
                <w:sz w:val="16"/>
              </w:rPr>
              <w:t>14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D03D1D1">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37A514A">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E90851">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952A4E">
            <w:pPr>
              <w:jc w:val="center"/>
            </w:pPr>
            <w:r>
              <w:rPr>
                <w:rFonts w:ascii="宋体" w:hAnsi="宋体" w:eastAsia="宋体"/>
                <w:sz w:val="16"/>
              </w:rPr>
              <w:t>工作资料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0CCBA61F">
            <w:pPr>
              <w:jc w:val="center"/>
            </w:pPr>
          </w:p>
        </w:tc>
      </w:tr>
      <w:tr w14:paraId="35E1932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7F882A9"/>
        </w:tc>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29E8D7B"/>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D941BF">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3A5986">
            <w:pPr>
              <w:jc w:val="center"/>
            </w:pPr>
            <w:r>
              <w:rPr>
                <w:rFonts w:ascii="宋体" w:hAnsi="宋体" w:eastAsia="宋体"/>
                <w:sz w:val="16"/>
              </w:rPr>
              <w:t>资金拨付及时率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ADCDD4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4607">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BD5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3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497B">
            <w:pPr>
              <w:jc w:val="center"/>
            </w:pPr>
            <w:r>
              <w:rPr>
                <w:rFonts w:ascii="宋体" w:hAnsi="宋体" w:eastAsia="宋体"/>
                <w:sz w:val="16"/>
              </w:rPr>
              <w:t>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F9DB766">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DCB0603">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D8E80D">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12767E8">
            <w:pPr>
              <w:jc w:val="center"/>
            </w:pPr>
            <w:r>
              <w:rPr>
                <w:rFonts w:ascii="宋体" w:hAnsi="宋体" w:eastAsia="宋体"/>
                <w:sz w:val="16"/>
              </w:rPr>
              <w:t>工作资料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6E6781FF">
            <w:pPr>
              <w:jc w:val="center"/>
            </w:pPr>
          </w:p>
        </w:tc>
      </w:tr>
      <w:tr w14:paraId="7386476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F38F2B1"/>
        </w:tc>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E817">
            <w:pPr>
              <w:jc w:val="center"/>
            </w:pPr>
            <w:r>
              <w:rPr>
                <w:rFonts w:ascii="宋体" w:hAnsi="宋体" w:eastAsia="宋体"/>
                <w:sz w:val="16"/>
              </w:rPr>
              <w:t>成本指标</w:t>
            </w:r>
          </w:p>
        </w:tc>
        <w:tc>
          <w:tcPr>
            <w:tcW w:w="63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A81C2">
            <w:pPr>
              <w:jc w:val="center"/>
            </w:pPr>
            <w:r>
              <w:rPr>
                <w:rFonts w:ascii="宋体" w:hAnsi="宋体" w:eastAsia="宋体"/>
                <w:sz w:val="16"/>
              </w:rPr>
              <w:t>经济成本指标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EA7BBAF">
            <w:pPr>
              <w:jc w:val="center"/>
            </w:pPr>
            <w:r>
              <w:rPr>
                <w:rFonts w:ascii="宋体" w:hAnsi="宋体" w:eastAsia="宋体"/>
                <w:sz w:val="16"/>
              </w:rPr>
              <w:t>莫因卓勒村成本</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F44D6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A1DD">
            <w:pPr>
              <w:jc w:val="center"/>
            </w:pPr>
            <w:r>
              <w:rPr>
                <w:rFonts w:ascii="宋体" w:hAnsi="宋体" w:eastAsia="宋体"/>
                <w:sz w:val="16"/>
              </w:rPr>
              <w:t>&lt;=50万元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F984F3">
            <w:pPr>
              <w:jc w:val="center"/>
            </w:pPr>
            <w:r>
              <w:rPr>
                <w:rFonts w:ascii="宋体" w:hAnsi="宋体" w:eastAsia="宋体"/>
                <w:sz w:val="16"/>
              </w:rPr>
              <w:t>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665B">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004B">
            <w:pPr>
              <w:jc w:val="center"/>
            </w:pPr>
            <w:r>
              <w:rPr>
                <w:rFonts w:ascii="宋体" w:hAnsi="宋体" w:eastAsia="宋体"/>
                <w:sz w:val="16"/>
              </w:rPr>
              <w:t>4.87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10D7B6">
            <w:pPr>
              <w:jc w:val="center"/>
            </w:pPr>
            <w:r>
              <w:rPr>
                <w:rFonts w:ascii="宋体" w:hAnsi="宋体" w:eastAsia="宋体"/>
                <w:sz w:val="16"/>
              </w:rPr>
              <w:t>预算支出标准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ACAC019">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0476430">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0D0EE39">
            <w:pPr>
              <w:jc w:val="center"/>
            </w:pPr>
            <w:r>
              <w:rPr>
                <w:rFonts w:ascii="宋体" w:hAnsi="宋体" w:eastAsia="宋体"/>
                <w:sz w:val="16"/>
              </w:rPr>
              <w:t>原始凭证</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46CBA7D4">
            <w:pPr>
              <w:jc w:val="center"/>
            </w:pPr>
            <w:r>
              <w:rPr>
                <w:rFonts w:ascii="宋体" w:hAnsi="宋体" w:eastAsia="宋体"/>
                <w:sz w:val="16"/>
              </w:rPr>
              <w:t>偏差原因：由于工作失误，在支付莫因卓勒村项目资金14.88万元时选错指标，该笔资金从伊州财农</w:t>
            </w:r>
            <w:r>
              <w:rPr>
                <w:rFonts w:hint="eastAsia" w:ascii="宋体" w:hAnsi="宋体"/>
                <w:sz w:val="16"/>
                <w:lang w:eastAsia="zh-CN"/>
              </w:rPr>
              <w:t>〔2023〕58号</w:t>
            </w:r>
            <w:r>
              <w:rPr>
                <w:rFonts w:ascii="宋体" w:hAnsi="宋体" w:eastAsia="宋体"/>
                <w:sz w:val="16"/>
              </w:rPr>
              <w:t>自治区农村综合改革项目预算中支出，实际项目资金已完成结算。改进措施：加强财务制度和系统操作流程培训，经办人和审核人在支付时重点核对预算指标信息。</w:t>
            </w:r>
          </w:p>
        </w:tc>
      </w:tr>
      <w:tr w14:paraId="492D36E3">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2DFFBAC"/>
        </w:tc>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C81E28F"/>
        </w:tc>
        <w:tc>
          <w:tcPr>
            <w:tcW w:w="631" w:type="dxa"/>
            <w:vMerge w:val="continue"/>
            <w:tcBorders>
              <w:top w:val="single" w:color="auto" w:sz="10" w:space="0"/>
              <w:left w:val="single" w:color="auto" w:sz="10" w:space="0"/>
              <w:bottom w:val="single" w:color="auto" w:sz="10" w:space="0"/>
              <w:right w:val="single" w:color="auto" w:sz="10" w:space="0"/>
              <w:insideV w:val="single" w:sz="10" w:space="0"/>
            </w:tcBorders>
          </w:tcPr>
          <w:p w14:paraId="2075AC72"/>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8970708">
            <w:pPr>
              <w:jc w:val="center"/>
            </w:pPr>
            <w:r>
              <w:rPr>
                <w:rFonts w:ascii="宋体" w:hAnsi="宋体" w:eastAsia="宋体"/>
                <w:sz w:val="16"/>
              </w:rPr>
              <w:t>阿克铁热克村成本</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DED2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DFD0">
            <w:pPr>
              <w:jc w:val="center"/>
            </w:pPr>
            <w:r>
              <w:rPr>
                <w:rFonts w:ascii="宋体" w:hAnsi="宋体" w:eastAsia="宋体"/>
                <w:sz w:val="16"/>
              </w:rPr>
              <w:t>&lt;=50万元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1EF729">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9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4ABE">
            <w:pPr>
              <w:jc w:val="center"/>
            </w:pPr>
            <w:r>
              <w:rPr>
                <w:rFonts w:ascii="宋体" w:hAnsi="宋体" w:eastAsia="宋体"/>
                <w:sz w:val="16"/>
              </w:rPr>
              <w:t>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915F6F0">
            <w:pPr>
              <w:jc w:val="center"/>
            </w:pPr>
            <w:r>
              <w:rPr>
                <w:rFonts w:ascii="宋体" w:hAnsi="宋体" w:eastAsia="宋体"/>
                <w:sz w:val="16"/>
              </w:rPr>
              <w:t>预算支出标准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2616633">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3CD487">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BF5E7C">
            <w:pPr>
              <w:jc w:val="center"/>
            </w:pPr>
            <w:r>
              <w:rPr>
                <w:rFonts w:ascii="宋体" w:hAnsi="宋体" w:eastAsia="宋体"/>
                <w:sz w:val="16"/>
              </w:rPr>
              <w:t>原始凭证</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69FC9049">
            <w:pPr>
              <w:jc w:val="center"/>
            </w:pPr>
          </w:p>
        </w:tc>
      </w:tr>
      <w:tr w14:paraId="5B0A9CE4">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BE69BDF"/>
        </w:tc>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5219DBD"/>
        </w:tc>
        <w:tc>
          <w:tcPr>
            <w:tcW w:w="631" w:type="dxa"/>
            <w:vMerge w:val="continue"/>
            <w:tcBorders>
              <w:top w:val="single" w:color="auto" w:sz="10" w:space="0"/>
              <w:left w:val="single" w:color="auto" w:sz="10" w:space="0"/>
              <w:bottom w:val="single" w:color="auto" w:sz="10" w:space="0"/>
              <w:right w:val="single" w:color="auto" w:sz="10" w:space="0"/>
              <w:insideV w:val="single" w:sz="10" w:space="0"/>
            </w:tcBorders>
          </w:tcPr>
          <w:p w14:paraId="416D7916"/>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08AC757">
            <w:pPr>
              <w:jc w:val="center"/>
            </w:pPr>
            <w:r>
              <w:rPr>
                <w:rFonts w:ascii="宋体" w:hAnsi="宋体" w:eastAsia="宋体"/>
                <w:sz w:val="16"/>
              </w:rPr>
              <w:t>孟布拉克村成本</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1B45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742F">
            <w:pPr>
              <w:jc w:val="center"/>
            </w:pPr>
            <w:r>
              <w:rPr>
                <w:rFonts w:ascii="宋体" w:hAnsi="宋体" w:eastAsia="宋体"/>
                <w:sz w:val="16"/>
              </w:rPr>
              <w:t>&lt;=50万元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5E882B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155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6802">
            <w:pPr>
              <w:jc w:val="center"/>
            </w:pPr>
            <w:r>
              <w:rPr>
                <w:rFonts w:ascii="宋体" w:hAnsi="宋体" w:eastAsia="宋体"/>
                <w:sz w:val="16"/>
              </w:rPr>
              <w:t>3.5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DD418D">
            <w:pPr>
              <w:jc w:val="center"/>
            </w:pPr>
            <w:r>
              <w:rPr>
                <w:rFonts w:ascii="宋体" w:hAnsi="宋体" w:eastAsia="宋体"/>
                <w:sz w:val="16"/>
              </w:rPr>
              <w:t>预算支出标准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787A23">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0F63B5E">
            <w:pPr>
              <w:jc w:val="center"/>
            </w:pPr>
            <w:r>
              <w:rPr>
                <w:rFonts w:ascii="宋体" w:hAnsi="宋体" w:eastAsia="宋体"/>
                <w:sz w:val="16"/>
              </w:rPr>
              <w:t>按照完成比例赋分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7554AEF">
            <w:pPr>
              <w:jc w:val="center"/>
            </w:pPr>
            <w:r>
              <w:rPr>
                <w:rFonts w:ascii="宋体" w:hAnsi="宋体" w:eastAsia="宋体"/>
                <w:sz w:val="16"/>
              </w:rPr>
              <w:t>原始凭证</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74A034DF">
            <w:pPr>
              <w:jc w:val="center"/>
            </w:pPr>
            <w:r>
              <w:rPr>
                <w:rFonts w:ascii="宋体" w:hAnsi="宋体" w:eastAsia="宋体"/>
                <w:sz w:val="16"/>
              </w:rPr>
              <w:t>项目结算未完成</w:t>
            </w:r>
          </w:p>
        </w:tc>
      </w:tr>
      <w:tr w14:paraId="555EADE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C91384C"/>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EC55BDC">
            <w:pPr>
              <w:jc w:val="center"/>
            </w:pPr>
            <w:r>
              <w:rPr>
                <w:rFonts w:ascii="宋体" w:hAnsi="宋体" w:eastAsia="宋体"/>
                <w:sz w:val="16"/>
              </w:rPr>
              <w:t>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D7E335">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168294">
            <w:pPr>
              <w:jc w:val="center"/>
            </w:pPr>
            <w:r>
              <w:rPr>
                <w:rFonts w:ascii="宋体" w:hAnsi="宋体" w:eastAsia="宋体"/>
                <w:sz w:val="16"/>
              </w:rPr>
              <w:t>农村公益设施</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0BC0E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E1E6">
            <w:pPr>
              <w:jc w:val="center"/>
            </w:pPr>
            <w:r>
              <w:rPr>
                <w:rFonts w:ascii="宋体" w:hAnsi="宋体" w:eastAsia="宋体"/>
                <w:sz w:val="16"/>
              </w:rPr>
              <w:t>有效改善</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2ACE48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9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3714">
            <w:pPr>
              <w:jc w:val="center"/>
            </w:pPr>
            <w:r>
              <w:rPr>
                <w:rFonts w:ascii="宋体" w:hAnsi="宋体" w:eastAsia="宋体"/>
                <w:sz w:val="16"/>
              </w:rPr>
              <w:t>20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7648D64">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D4A97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EDF702">
            <w:pPr>
              <w:jc w:val="center"/>
            </w:pPr>
            <w:r>
              <w:rPr>
                <w:rFonts w:ascii="宋体" w:hAnsi="宋体" w:eastAsia="宋体"/>
                <w:sz w:val="16"/>
              </w:rPr>
              <w:t>按评判等级赋分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3FCE58">
            <w:pPr>
              <w:jc w:val="center"/>
            </w:pPr>
            <w:r>
              <w:rPr>
                <w:rFonts w:ascii="宋体" w:hAnsi="宋体" w:eastAsia="宋体"/>
                <w:sz w:val="16"/>
              </w:rPr>
              <w:t>工作资料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3F3D3301">
            <w:pPr>
              <w:jc w:val="center"/>
            </w:pPr>
          </w:p>
        </w:tc>
      </w:tr>
      <w:tr w14:paraId="2EE9C964">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B014540"/>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9FE5F5C">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CFCFA9">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D228EF">
            <w:pPr>
              <w:jc w:val="center"/>
            </w:pPr>
            <w:r>
              <w:rPr>
                <w:rFonts w:ascii="宋体" w:hAnsi="宋体" w:eastAsia="宋体"/>
                <w:sz w:val="16"/>
              </w:rPr>
              <w:t>村民满意度</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3C0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495D">
            <w:pPr>
              <w:jc w:val="center"/>
            </w:pPr>
            <w:r>
              <w:rPr>
                <w:rFonts w:ascii="宋体" w:hAnsi="宋体" w:eastAsia="宋体"/>
                <w:sz w:val="16"/>
              </w:rPr>
              <w:t>&gt;=98%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F1B8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6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C5FB">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093714">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D66A99">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B63A691">
            <w:pPr>
              <w:jc w:val="center"/>
            </w:pPr>
            <w:r>
              <w:rPr>
                <w:rFonts w:ascii="宋体" w:hAnsi="宋体" w:eastAsia="宋体"/>
                <w:sz w:val="16"/>
              </w:rPr>
              <w:t>满意度赋分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A30604">
            <w:pPr>
              <w:jc w:val="center"/>
            </w:pPr>
            <w:r>
              <w:rPr>
                <w:rFonts w:ascii="宋体" w:hAnsi="宋体" w:eastAsia="宋体"/>
                <w:sz w:val="16"/>
              </w:rPr>
              <w:t>工作资料</w:t>
            </w:r>
          </w:p>
        </w:tc>
        <w:tc>
          <w:tcPr>
            <w:tcW w:w="1188" w:type="dxa"/>
            <w:tcBorders>
              <w:top w:val="single" w:color="auto" w:sz="10" w:space="0"/>
              <w:left w:val="single" w:color="auto" w:sz="10" w:space="0"/>
              <w:bottom w:val="single" w:color="auto" w:sz="10" w:space="0"/>
              <w:right w:val="single" w:color="auto" w:sz="10" w:space="0"/>
              <w:insideV w:val="single" w:sz="10" w:space="0"/>
            </w:tcBorders>
            <w:vAlign w:val="center"/>
          </w:tcPr>
          <w:p w14:paraId="3289A04D">
            <w:pPr>
              <w:jc w:val="center"/>
            </w:pPr>
          </w:p>
        </w:tc>
      </w:tr>
      <w:tr w14:paraId="7FE8FB33">
        <w:tblPrEx>
          <w:tblCellMar>
            <w:top w:w="0" w:type="dxa"/>
            <w:left w:w="108" w:type="dxa"/>
            <w:bottom w:w="0" w:type="dxa"/>
            <w:right w:w="108" w:type="dxa"/>
          </w:tblCellMar>
        </w:tblPrEx>
        <w:tc>
          <w:tcPr>
            <w:tcW w:w="252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E4C2B3">
            <w:pPr>
              <w:jc w:val="center"/>
            </w:pPr>
            <w:r>
              <w:rPr>
                <w:rFonts w:ascii="宋体" w:hAnsi="宋体" w:eastAsia="宋体"/>
                <w:sz w:val="16"/>
              </w:rPr>
              <w:t>总分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693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488C1"/>
        </w:tc>
        <w:tc>
          <w:tcPr>
            <w:tcW w:w="631" w:type="dxa"/>
            <w:tcBorders>
              <w:top w:val="single" w:color="auto" w:sz="10" w:space="0"/>
              <w:left w:val="single" w:color="auto" w:sz="10" w:space="0"/>
              <w:bottom w:val="single" w:color="auto" w:sz="10" w:space="0"/>
              <w:right w:val="single" w:color="auto" w:sz="10" w:space="0"/>
              <w:insideV w:val="single" w:sz="10" w:space="0"/>
            </w:tcBorders>
          </w:tcPr>
          <w:p w14:paraId="03A39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AE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422B">
            <w:pPr>
              <w:jc w:val="center"/>
            </w:pPr>
            <w:r>
              <w:rPr>
                <w:rFonts w:ascii="宋体" w:hAnsi="宋体" w:eastAsia="宋体"/>
                <w:sz w:val="16"/>
              </w:rPr>
              <w:t>87.66分</w:t>
            </w:r>
          </w:p>
        </w:tc>
        <w:tc>
          <w:tcPr>
            <w:tcW w:w="631" w:type="dxa"/>
            <w:tcBorders>
              <w:top w:val="single" w:color="auto" w:sz="10" w:space="0"/>
              <w:left w:val="single" w:color="auto" w:sz="10" w:space="0"/>
              <w:bottom w:val="single" w:color="auto" w:sz="10" w:space="0"/>
              <w:right w:val="single" w:color="auto" w:sz="10" w:space="0"/>
              <w:insideV w:val="single" w:sz="10" w:space="0"/>
            </w:tcBorders>
          </w:tcPr>
          <w:p w14:paraId="536AB6F7"/>
        </w:tc>
        <w:tc>
          <w:tcPr>
            <w:tcW w:w="631" w:type="dxa"/>
            <w:tcBorders>
              <w:top w:val="single" w:color="auto" w:sz="10" w:space="0"/>
              <w:left w:val="single" w:color="auto" w:sz="10" w:space="0"/>
              <w:bottom w:val="single" w:color="auto" w:sz="10" w:space="0"/>
              <w:right w:val="single" w:color="auto" w:sz="10" w:space="0"/>
              <w:insideV w:val="single" w:sz="10" w:space="0"/>
            </w:tcBorders>
          </w:tcPr>
          <w:p w14:paraId="2D2F6F9A"/>
        </w:tc>
        <w:tc>
          <w:tcPr>
            <w:tcW w:w="631" w:type="dxa"/>
            <w:tcBorders>
              <w:top w:val="single" w:color="auto" w:sz="10" w:space="0"/>
              <w:left w:val="single" w:color="auto" w:sz="10" w:space="0"/>
              <w:bottom w:val="single" w:color="auto" w:sz="10" w:space="0"/>
              <w:right w:val="single" w:color="auto" w:sz="10" w:space="0"/>
              <w:insideV w:val="single" w:sz="10" w:space="0"/>
            </w:tcBorders>
          </w:tcPr>
          <w:p w14:paraId="405E0B05"/>
        </w:tc>
        <w:tc>
          <w:tcPr>
            <w:tcW w:w="631" w:type="dxa"/>
            <w:tcBorders>
              <w:top w:val="single" w:color="auto" w:sz="10" w:space="0"/>
              <w:left w:val="single" w:color="auto" w:sz="10" w:space="0"/>
              <w:bottom w:val="single" w:color="auto" w:sz="10" w:space="0"/>
              <w:right w:val="single" w:color="auto" w:sz="10" w:space="0"/>
              <w:insideV w:val="single" w:sz="10" w:space="0"/>
            </w:tcBorders>
          </w:tcPr>
          <w:p w14:paraId="76093F43"/>
        </w:tc>
        <w:tc>
          <w:tcPr>
            <w:tcW w:w="1188" w:type="dxa"/>
            <w:tcBorders>
              <w:top w:val="single" w:color="auto" w:sz="10" w:space="0"/>
              <w:left w:val="single" w:color="auto" w:sz="10" w:space="0"/>
              <w:bottom w:val="single" w:color="auto" w:sz="10" w:space="0"/>
              <w:right w:val="single" w:color="auto" w:sz="10" w:space="0"/>
              <w:insideV w:val="single" w:sz="10" w:space="0"/>
            </w:tcBorders>
          </w:tcPr>
          <w:p w14:paraId="1F5FD7D6"/>
        </w:tc>
      </w:tr>
    </w:tbl>
    <w:p w14:paraId="490D38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48E966D2">
        <w:tc>
          <w:tcPr>
            <w:tcW w:w="8848" w:type="dxa"/>
            <w:gridSpan w:val="14"/>
            <w:vAlign w:val="center"/>
          </w:tcPr>
          <w:p w14:paraId="41B619FB">
            <w:pPr>
              <w:jc w:val="center"/>
            </w:pPr>
            <w:r>
              <w:rPr>
                <w:rFonts w:ascii="宋体" w:hAnsi="宋体" w:eastAsia="宋体"/>
                <w:sz w:val="24"/>
              </w:rPr>
              <w:t>项目支出绩效自评表</w:t>
            </w:r>
          </w:p>
        </w:tc>
      </w:tr>
      <w:tr w14:paraId="73377185">
        <w:tblPrEx>
          <w:tblCellMar>
            <w:top w:w="0" w:type="dxa"/>
            <w:left w:w="108" w:type="dxa"/>
            <w:bottom w:w="0" w:type="dxa"/>
            <w:right w:w="108" w:type="dxa"/>
          </w:tblCellMar>
        </w:tblPrEx>
        <w:tc>
          <w:tcPr>
            <w:tcW w:w="8848" w:type="dxa"/>
            <w:gridSpan w:val="14"/>
            <w:vAlign w:val="center"/>
          </w:tcPr>
          <w:p w14:paraId="3918FA52">
            <w:pPr>
              <w:jc w:val="center"/>
            </w:pPr>
            <w:r>
              <w:rPr>
                <w:rFonts w:ascii="宋体" w:hAnsi="宋体" w:eastAsia="宋体"/>
                <w:sz w:val="24"/>
              </w:rPr>
              <w:t>(2024年度)</w:t>
            </w:r>
          </w:p>
        </w:tc>
      </w:tr>
      <w:tr w14:paraId="5A4C97BB">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AD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17D105">
            <w:pPr>
              <w:jc w:val="center"/>
            </w:pPr>
            <w:r>
              <w:rPr>
                <w:rFonts w:ascii="宋体" w:hAnsi="宋体" w:eastAsia="宋体"/>
                <w:sz w:val="16"/>
              </w:rPr>
              <w:t>伊州财农</w:t>
            </w:r>
            <w:r>
              <w:rPr>
                <w:rFonts w:hint="eastAsia" w:ascii="宋体" w:hAnsi="宋体"/>
                <w:sz w:val="16"/>
                <w:lang w:eastAsia="zh-CN"/>
              </w:rPr>
              <w:t>〔2023〕58号</w:t>
            </w:r>
            <w:r>
              <w:rPr>
                <w:rFonts w:ascii="宋体" w:hAnsi="宋体" w:eastAsia="宋体"/>
                <w:sz w:val="16"/>
              </w:rPr>
              <w:t>自治区农村综合改革项目</w:t>
            </w:r>
          </w:p>
        </w:tc>
      </w:tr>
      <w:tr w14:paraId="6602EC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43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B7215">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E7A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EAE6D">
            <w:pPr>
              <w:jc w:val="center"/>
            </w:pPr>
            <w:r>
              <w:rPr>
                <w:rFonts w:ascii="宋体" w:hAnsi="宋体" w:eastAsia="宋体"/>
                <w:sz w:val="16"/>
              </w:rPr>
              <w:t>特克斯县乔拉克铁热克镇人民政府</w:t>
            </w:r>
          </w:p>
        </w:tc>
      </w:tr>
      <w:tr w14:paraId="73479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479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F4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38D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FC0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31F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38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46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65B0">
            <w:pPr>
              <w:jc w:val="center"/>
            </w:pPr>
            <w:r>
              <w:rPr>
                <w:rFonts w:ascii="宋体" w:hAnsi="宋体" w:eastAsia="宋体"/>
                <w:sz w:val="16"/>
              </w:rPr>
              <w:t>得分</w:t>
            </w:r>
          </w:p>
        </w:tc>
      </w:tr>
      <w:tr w14:paraId="6AE93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D7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1E4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337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B0C7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E6D85">
            <w:pPr>
              <w:jc w:val="center"/>
            </w:pPr>
            <w:r>
              <w:rPr>
                <w:rFonts w:ascii="宋体" w:hAnsi="宋体" w:eastAsia="宋体"/>
                <w:sz w:val="16"/>
              </w:rPr>
              <w:t>39.88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2E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62CA">
            <w:pPr>
              <w:jc w:val="center"/>
            </w:pPr>
            <w:r>
              <w:rPr>
                <w:rFonts w:ascii="宋体" w:hAnsi="宋体" w:eastAsia="宋体"/>
                <w:sz w:val="16"/>
              </w:rPr>
              <w:t>79.76%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C6A9">
            <w:pPr>
              <w:jc w:val="center"/>
            </w:pPr>
            <w:r>
              <w:rPr>
                <w:rFonts w:ascii="宋体" w:hAnsi="宋体" w:eastAsia="宋体"/>
                <w:sz w:val="16"/>
              </w:rPr>
              <w:t>4.94</w:t>
            </w:r>
          </w:p>
        </w:tc>
      </w:tr>
      <w:tr w14:paraId="724232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5A0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98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711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A1E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F6EA">
            <w:pPr>
              <w:jc w:val="center"/>
            </w:pPr>
            <w:r>
              <w:rPr>
                <w:rFonts w:ascii="宋体" w:hAnsi="宋体" w:eastAsia="宋体"/>
                <w:sz w:val="16"/>
              </w:rPr>
              <w:t>39.88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00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A4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8759">
            <w:pPr>
              <w:jc w:val="center"/>
            </w:pPr>
            <w:r>
              <w:rPr>
                <w:rFonts w:ascii="宋体" w:hAnsi="宋体" w:eastAsia="宋体"/>
                <w:sz w:val="16"/>
              </w:rPr>
              <w:t>—</w:t>
            </w:r>
          </w:p>
        </w:tc>
      </w:tr>
      <w:tr w14:paraId="24FF5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72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5A7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AC0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7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FB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50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E2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C740">
            <w:pPr>
              <w:jc w:val="center"/>
            </w:pPr>
            <w:r>
              <w:rPr>
                <w:rFonts w:ascii="宋体" w:hAnsi="宋体" w:eastAsia="宋体"/>
                <w:sz w:val="16"/>
              </w:rPr>
              <w:t>—</w:t>
            </w:r>
          </w:p>
        </w:tc>
      </w:tr>
      <w:tr w14:paraId="204AAA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B86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D89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BDCD1">
            <w:pPr>
              <w:jc w:val="center"/>
            </w:pPr>
            <w:r>
              <w:rPr>
                <w:rFonts w:ascii="宋体" w:hAnsi="宋体" w:eastAsia="宋体"/>
                <w:sz w:val="16"/>
              </w:rPr>
              <w:t>实际完成情况</w:t>
            </w:r>
          </w:p>
        </w:tc>
      </w:tr>
      <w:tr w14:paraId="31493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6AA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4AEF8">
            <w:pPr>
              <w:jc w:val="both"/>
            </w:pPr>
            <w:r>
              <w:rPr>
                <w:rFonts w:ascii="宋体" w:hAnsi="宋体" w:eastAsia="宋体"/>
                <w:sz w:val="16"/>
              </w:rPr>
              <w:t>新建围栏1.3公里，绿化1.3公里，安装大门20座。通过本项目的实施，可进一步完善和提升克孜勒阔拉村牧业生产环境、旅游业观光环境，进一步减少牧业生产和旅游业发展对环境造成的污染和影响。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5C9FBA">
            <w:pPr>
              <w:jc w:val="both"/>
            </w:pPr>
            <w:r>
              <w:rPr>
                <w:rFonts w:ascii="宋体" w:hAnsi="宋体" w:eastAsia="宋体"/>
                <w:sz w:val="16"/>
              </w:rPr>
              <w:t>拨付给克孜勒阔拉村一事一议资金，提升农村人居环境，逐步实现农村人居环境明显改善，本次拨付25万元；莫因卓勒村基础设施建设拨付14.88万元。</w:t>
            </w:r>
          </w:p>
        </w:tc>
      </w:tr>
      <w:tr w14:paraId="605163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83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A1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5F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43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71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48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F9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D7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981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98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79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C0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D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9C6A">
            <w:pPr>
              <w:jc w:val="center"/>
            </w:pPr>
            <w:r>
              <w:rPr>
                <w:rFonts w:ascii="宋体" w:hAnsi="宋体" w:eastAsia="宋体"/>
                <w:sz w:val="16"/>
              </w:rPr>
              <w:t>偏差原因分析及改进措施</w:t>
            </w:r>
          </w:p>
        </w:tc>
      </w:tr>
      <w:tr w14:paraId="5A4F6A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93F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99B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3B9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D470">
            <w:pPr>
              <w:jc w:val="center"/>
            </w:pPr>
            <w:r>
              <w:rPr>
                <w:rFonts w:ascii="宋体" w:hAnsi="宋体" w:eastAsia="宋体"/>
                <w:sz w:val="16"/>
              </w:rPr>
              <w:t>新建围栏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1A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AA94">
            <w:pPr>
              <w:jc w:val="center"/>
            </w:pPr>
            <w:r>
              <w:rPr>
                <w:rFonts w:ascii="宋体" w:hAnsi="宋体" w:eastAsia="宋体"/>
                <w:sz w:val="16"/>
              </w:rPr>
              <w:t>&gt;=1.3公里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609F">
            <w:pPr>
              <w:jc w:val="center"/>
            </w:pPr>
            <w:r>
              <w:rPr>
                <w:rFonts w:ascii="宋体" w:hAnsi="宋体" w:eastAsia="宋体"/>
                <w:sz w:val="16"/>
              </w:rPr>
              <w: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D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EC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7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F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8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B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96F6">
            <w:pPr>
              <w:jc w:val="center"/>
            </w:pPr>
          </w:p>
        </w:tc>
      </w:tr>
      <w:tr w14:paraId="78999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37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F8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E9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92B5">
            <w:pPr>
              <w:jc w:val="center"/>
            </w:pPr>
            <w:r>
              <w:rPr>
                <w:rFonts w:ascii="宋体" w:hAnsi="宋体" w:eastAsia="宋体"/>
                <w:sz w:val="16"/>
              </w:rPr>
              <w:t>绿化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75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15C9">
            <w:pPr>
              <w:jc w:val="center"/>
            </w:pPr>
            <w:r>
              <w:rPr>
                <w:rFonts w:ascii="宋体" w:hAnsi="宋体" w:eastAsia="宋体"/>
                <w:sz w:val="16"/>
              </w:rPr>
              <w:t>&gt;=1.3公里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2442">
            <w:pPr>
              <w:jc w:val="center"/>
            </w:pPr>
            <w:r>
              <w:rPr>
                <w:rFonts w:ascii="宋体" w:hAnsi="宋体" w:eastAsia="宋体"/>
                <w:sz w:val="16"/>
              </w:rPr>
              <w:t>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7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9F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6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1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9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2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16DF">
            <w:pPr>
              <w:jc w:val="center"/>
            </w:pPr>
          </w:p>
        </w:tc>
      </w:tr>
      <w:tr w14:paraId="361CC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A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F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2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EB92">
            <w:pPr>
              <w:jc w:val="center"/>
            </w:pPr>
            <w:r>
              <w:rPr>
                <w:rFonts w:ascii="宋体" w:hAnsi="宋体" w:eastAsia="宋体"/>
                <w:sz w:val="16"/>
              </w:rPr>
              <w:t>大门安装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E8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960A">
            <w:pPr>
              <w:jc w:val="center"/>
            </w:pPr>
            <w:r>
              <w:rPr>
                <w:rFonts w:ascii="宋体" w:hAnsi="宋体" w:eastAsia="宋体"/>
                <w:sz w:val="16"/>
              </w:rPr>
              <w:t>&gt;=20座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0D7E">
            <w:pPr>
              <w:jc w:val="center"/>
            </w:pPr>
            <w:r>
              <w:rPr>
                <w:rFonts w:ascii="宋体" w:hAnsi="宋体" w:eastAsia="宋体"/>
                <w:sz w:val="16"/>
              </w:rPr>
              <w:t>20座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3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B8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3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F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1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F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10B2">
            <w:pPr>
              <w:jc w:val="center"/>
            </w:pPr>
          </w:p>
        </w:tc>
      </w:tr>
      <w:tr w14:paraId="76CAA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C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1C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95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D2B4">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F2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696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2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6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DD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B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3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3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8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064E">
            <w:pPr>
              <w:jc w:val="center"/>
            </w:pPr>
          </w:p>
        </w:tc>
      </w:tr>
      <w:tr w14:paraId="10EE8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C0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7A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AD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635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7D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9AA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2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F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55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1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0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E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3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A548">
            <w:pPr>
              <w:jc w:val="center"/>
            </w:pPr>
          </w:p>
        </w:tc>
      </w:tr>
      <w:tr w14:paraId="547763C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D9C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BC2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1ED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6484">
            <w:pPr>
              <w:jc w:val="center"/>
            </w:pPr>
            <w:r>
              <w:rPr>
                <w:rFonts w:ascii="宋体" w:hAnsi="宋体" w:eastAsia="宋体"/>
                <w:sz w:val="16"/>
              </w:rPr>
              <w:t>新建围栏1.3公里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89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E96A">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6B5F">
            <w:pPr>
              <w:jc w:val="center"/>
            </w:pPr>
            <w:r>
              <w:rPr>
                <w:rFonts w:ascii="宋体" w:hAnsi="宋体" w:eastAsia="宋体"/>
                <w:sz w:val="16"/>
              </w:rPr>
              <w:t>16.88万元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B2C7">
            <w:pPr>
              <w:jc w:val="center"/>
            </w:pPr>
            <w:r>
              <w:rPr>
                <w:rFonts w:ascii="宋体" w:hAnsi="宋体" w:eastAsia="宋体"/>
                <w:sz w:val="16"/>
              </w:rPr>
              <w:t>62.51%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88A1">
            <w:pPr>
              <w:jc w:val="center"/>
            </w:pPr>
            <w:r>
              <w:rPr>
                <w:rFonts w:ascii="宋体" w:hAnsi="宋体" w:eastAsia="宋体"/>
                <w:sz w:val="16"/>
              </w:rPr>
              <w:t>4.38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6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0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9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03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3CBA">
            <w:pPr>
              <w:jc w:val="center"/>
            </w:pPr>
            <w:r>
              <w:rPr>
                <w:rFonts w:ascii="宋体" w:hAnsi="宋体" w:eastAsia="宋体"/>
                <w:sz w:val="16"/>
              </w:rPr>
              <w:t>项目未结算完</w:t>
            </w:r>
          </w:p>
        </w:tc>
      </w:tr>
      <w:tr w14:paraId="10F34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3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36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63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7D2B">
            <w:pPr>
              <w:jc w:val="center"/>
            </w:pPr>
            <w:r>
              <w:rPr>
                <w:rFonts w:ascii="宋体" w:hAnsi="宋体" w:eastAsia="宋体"/>
                <w:sz w:val="16"/>
              </w:rPr>
              <w:t>绿化1.3公里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10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6B8E">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0064">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6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BA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2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E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2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B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CFA4">
            <w:pPr>
              <w:jc w:val="center"/>
            </w:pPr>
          </w:p>
        </w:tc>
      </w:tr>
      <w:tr w14:paraId="5D8A6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3B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89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F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DB33">
            <w:pPr>
              <w:jc w:val="center"/>
            </w:pPr>
            <w:r>
              <w:rPr>
                <w:rFonts w:ascii="宋体" w:hAnsi="宋体" w:eastAsia="宋体"/>
                <w:sz w:val="16"/>
              </w:rPr>
              <w:t>大门安装20座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4F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78F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DA9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A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0F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0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2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3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AE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E8C4">
            <w:pPr>
              <w:jc w:val="center"/>
            </w:pPr>
          </w:p>
        </w:tc>
      </w:tr>
      <w:tr w14:paraId="70025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84C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5DD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DB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1314">
            <w:pPr>
              <w:jc w:val="center"/>
            </w:pPr>
            <w:r>
              <w:rPr>
                <w:rFonts w:ascii="宋体" w:hAnsi="宋体" w:eastAsia="宋体"/>
                <w:sz w:val="16"/>
              </w:rPr>
              <w:t>农村公益设施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2B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658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DE5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0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5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4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3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35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9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D4C9">
            <w:pPr>
              <w:jc w:val="center"/>
            </w:pPr>
          </w:p>
        </w:tc>
      </w:tr>
      <w:tr w14:paraId="378DD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D0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A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239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5252">
            <w:pPr>
              <w:jc w:val="center"/>
            </w:pPr>
            <w:r>
              <w:rPr>
                <w:rFonts w:ascii="宋体" w:hAnsi="宋体" w:eastAsia="宋体"/>
                <w:sz w:val="16"/>
              </w:rPr>
              <w:t>改善区域环境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A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9A6B">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1599">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D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2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3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0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6D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3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163E">
            <w:pPr>
              <w:jc w:val="center"/>
            </w:pPr>
          </w:p>
        </w:tc>
      </w:tr>
      <w:tr w14:paraId="6EC9E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1E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3A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26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B9A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60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3EA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2D7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C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4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5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2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D5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7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86AC">
            <w:pPr>
              <w:jc w:val="center"/>
            </w:pPr>
          </w:p>
        </w:tc>
      </w:tr>
      <w:tr w14:paraId="30844F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F507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0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80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44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DC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10D1">
            <w:pPr>
              <w:jc w:val="center"/>
            </w:pPr>
            <w:r>
              <w:rPr>
                <w:rFonts w:ascii="宋体" w:hAnsi="宋体" w:eastAsia="宋体"/>
                <w:sz w:val="16"/>
              </w:rPr>
              <w:t>92.32分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E0B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B7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56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7CB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6AE18"/>
        </w:tc>
      </w:tr>
    </w:tbl>
    <w:p w14:paraId="77D0CC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046682">
        <w:tblPrEx>
          <w:tblCellMar>
            <w:top w:w="0" w:type="dxa"/>
            <w:left w:w="108" w:type="dxa"/>
            <w:bottom w:w="0" w:type="dxa"/>
            <w:right w:w="108" w:type="dxa"/>
          </w:tblCellMar>
        </w:tblPrEx>
        <w:tc>
          <w:tcPr>
            <w:tcW w:w="8848" w:type="dxa"/>
            <w:gridSpan w:val="14"/>
            <w:vAlign w:val="center"/>
          </w:tcPr>
          <w:p w14:paraId="1F37B7AC">
            <w:pPr>
              <w:jc w:val="center"/>
            </w:pPr>
            <w:r>
              <w:rPr>
                <w:rFonts w:ascii="宋体" w:hAnsi="宋体" w:eastAsia="宋体"/>
                <w:sz w:val="24"/>
              </w:rPr>
              <w:t>项目支出绩效自评表</w:t>
            </w:r>
          </w:p>
        </w:tc>
      </w:tr>
      <w:tr w14:paraId="48D487D8">
        <w:tblPrEx>
          <w:tblCellMar>
            <w:top w:w="0" w:type="dxa"/>
            <w:left w:w="108" w:type="dxa"/>
            <w:bottom w:w="0" w:type="dxa"/>
            <w:right w:w="108" w:type="dxa"/>
          </w:tblCellMar>
        </w:tblPrEx>
        <w:tc>
          <w:tcPr>
            <w:tcW w:w="8848" w:type="dxa"/>
            <w:gridSpan w:val="14"/>
            <w:vAlign w:val="center"/>
          </w:tcPr>
          <w:p w14:paraId="3681D1EE">
            <w:pPr>
              <w:jc w:val="center"/>
            </w:pPr>
            <w:r>
              <w:rPr>
                <w:rFonts w:ascii="宋体" w:hAnsi="宋体" w:eastAsia="宋体"/>
                <w:sz w:val="24"/>
              </w:rPr>
              <w:t>(2024年度)</w:t>
            </w:r>
          </w:p>
        </w:tc>
      </w:tr>
      <w:tr w14:paraId="5D5F1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7F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44FD4">
            <w:pPr>
              <w:jc w:val="center"/>
            </w:pPr>
            <w:r>
              <w:rPr>
                <w:rFonts w:ascii="宋体" w:hAnsi="宋体" w:eastAsia="宋体"/>
                <w:sz w:val="16"/>
              </w:rPr>
              <w:t>伊犁州特克斯县乔拉克铁热克镇牧民越冬放牧点生产用房（居住）项目</w:t>
            </w:r>
          </w:p>
        </w:tc>
      </w:tr>
      <w:tr w14:paraId="5F9B8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40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AA06B">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331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DDDB9">
            <w:pPr>
              <w:jc w:val="center"/>
            </w:pPr>
            <w:r>
              <w:rPr>
                <w:rFonts w:ascii="宋体" w:hAnsi="宋体" w:eastAsia="宋体"/>
                <w:sz w:val="16"/>
              </w:rPr>
              <w:t>特克斯县乔拉克铁热克镇人民政府</w:t>
            </w:r>
          </w:p>
        </w:tc>
      </w:tr>
      <w:tr w14:paraId="757572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2A3B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54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43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5C6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AF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5F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5FE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DB9F">
            <w:pPr>
              <w:jc w:val="center"/>
            </w:pPr>
            <w:r>
              <w:rPr>
                <w:rFonts w:ascii="宋体" w:hAnsi="宋体" w:eastAsia="宋体"/>
                <w:sz w:val="16"/>
              </w:rPr>
              <w:t>得分</w:t>
            </w:r>
          </w:p>
        </w:tc>
      </w:tr>
      <w:tr w14:paraId="5363F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E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840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3A3A">
            <w:pPr>
              <w:jc w:val="center"/>
            </w:pPr>
            <w:r>
              <w:rPr>
                <w:rFonts w:ascii="宋体" w:hAnsi="宋体" w:eastAsia="宋体"/>
                <w:sz w:val="16"/>
              </w:rPr>
              <w:t>381.00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AAD0">
            <w:pPr>
              <w:jc w:val="center"/>
            </w:pPr>
            <w:r>
              <w:rPr>
                <w:rFonts w:ascii="宋体" w:hAnsi="宋体" w:eastAsia="宋体"/>
                <w:sz w:val="16"/>
              </w:rPr>
              <w:t>381.00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A06C">
            <w:pPr>
              <w:jc w:val="center"/>
            </w:pPr>
            <w:r>
              <w:rPr>
                <w:rFonts w:ascii="宋体" w:hAnsi="宋体" w:eastAsia="宋体"/>
                <w:sz w:val="16"/>
              </w:rPr>
              <w:t>304.80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D0D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BFEBF">
            <w:pPr>
              <w:jc w:val="center"/>
            </w:pPr>
            <w:r>
              <w:rPr>
                <w:rFonts w:ascii="宋体" w:hAnsi="宋体" w:eastAsia="宋体"/>
                <w:sz w:val="16"/>
              </w:rPr>
              <w:t>80.00%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EB38">
            <w:pPr>
              <w:jc w:val="center"/>
            </w:pPr>
            <w:r>
              <w:rPr>
                <w:rFonts w:ascii="宋体" w:hAnsi="宋体" w:eastAsia="宋体"/>
                <w:sz w:val="16"/>
              </w:rPr>
              <w:t>5.00</w:t>
            </w:r>
          </w:p>
        </w:tc>
      </w:tr>
      <w:tr w14:paraId="37BBA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0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FD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A4C9">
            <w:pPr>
              <w:jc w:val="center"/>
            </w:pPr>
            <w:r>
              <w:rPr>
                <w:rFonts w:ascii="宋体" w:hAnsi="宋体" w:eastAsia="宋体"/>
                <w:sz w:val="16"/>
              </w:rPr>
              <w:t>381.00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786A">
            <w:pPr>
              <w:jc w:val="center"/>
            </w:pPr>
            <w:r>
              <w:rPr>
                <w:rFonts w:ascii="宋体" w:hAnsi="宋体" w:eastAsia="宋体"/>
                <w:sz w:val="16"/>
              </w:rPr>
              <w:t>381.00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BD91">
            <w:pPr>
              <w:jc w:val="center"/>
            </w:pPr>
            <w:r>
              <w:rPr>
                <w:rFonts w:ascii="宋体" w:hAnsi="宋体" w:eastAsia="宋体"/>
                <w:sz w:val="16"/>
              </w:rPr>
              <w:t>304.80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74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C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41D6">
            <w:pPr>
              <w:jc w:val="center"/>
            </w:pPr>
            <w:r>
              <w:rPr>
                <w:rFonts w:ascii="宋体" w:hAnsi="宋体" w:eastAsia="宋体"/>
                <w:sz w:val="16"/>
              </w:rPr>
              <w:t>—</w:t>
            </w:r>
          </w:p>
        </w:tc>
      </w:tr>
      <w:tr w14:paraId="672B1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CA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A3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28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03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9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C8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D7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E0AC">
            <w:pPr>
              <w:jc w:val="center"/>
            </w:pPr>
            <w:r>
              <w:rPr>
                <w:rFonts w:ascii="宋体" w:hAnsi="宋体" w:eastAsia="宋体"/>
                <w:sz w:val="16"/>
              </w:rPr>
              <w:t>—</w:t>
            </w:r>
          </w:p>
        </w:tc>
      </w:tr>
      <w:tr w14:paraId="365F1C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1BE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CE8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8B8B9">
            <w:pPr>
              <w:jc w:val="center"/>
            </w:pPr>
            <w:r>
              <w:rPr>
                <w:rFonts w:ascii="宋体" w:hAnsi="宋体" w:eastAsia="宋体"/>
                <w:sz w:val="16"/>
              </w:rPr>
              <w:t>实际完成情况</w:t>
            </w:r>
          </w:p>
        </w:tc>
      </w:tr>
      <w:tr w14:paraId="299EA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70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FD26A">
            <w:pPr>
              <w:jc w:val="both"/>
            </w:pPr>
            <w:r>
              <w:rPr>
                <w:rFonts w:ascii="宋体" w:hAnsi="宋体" w:eastAsia="宋体"/>
                <w:sz w:val="16"/>
              </w:rPr>
              <w:t>通过《关于下达2024年城乡抗震安居工程建设民生实施资金预算的通知》伊州财建</w:t>
            </w:r>
            <w:r>
              <w:rPr>
                <w:rFonts w:hint="eastAsia" w:ascii="宋体" w:hAnsi="宋体"/>
                <w:sz w:val="16"/>
                <w:lang w:eastAsia="zh-CN"/>
              </w:rPr>
              <w:t>〔2024〕81号</w:t>
            </w:r>
            <w:r>
              <w:rPr>
                <w:rFonts w:ascii="宋体" w:hAnsi="宋体" w:eastAsia="宋体"/>
                <w:sz w:val="16"/>
              </w:rPr>
              <w:t>，完成拆除及新建工作。在综合研判我镇牧区地质结构和运费的基础上，实施面积为15-30平方米木结构房屋，轻钢房，单户建房价格控制在3万元以内，同时达到抗震、保温、防水要求，牧民越冬放牧点生产用房(居住)建成后上级有关部门按照相关要求进行验收。改善牧民生活环境，提供牧民住房保障，</w:t>
            </w:r>
            <w:r>
              <w:rPr>
                <w:rFonts w:hint="eastAsia" w:ascii="宋体" w:hAnsi="宋体"/>
                <w:sz w:val="16"/>
                <w:lang w:eastAsia="zh-CN"/>
              </w:rPr>
              <w:t>提高</w:t>
            </w:r>
            <w:r>
              <w:rPr>
                <w:rFonts w:ascii="宋体" w:hAnsi="宋体" w:eastAsia="宋体"/>
                <w:sz w:val="16"/>
              </w:rPr>
              <w:t>居民生活水平。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8DC77">
            <w:pPr>
              <w:jc w:val="both"/>
            </w:pPr>
            <w:r>
              <w:rPr>
                <w:rFonts w:ascii="宋体" w:hAnsi="宋体" w:eastAsia="宋体"/>
                <w:sz w:val="16"/>
              </w:rPr>
              <w:t>已完成乔拉克铁热克镇牧业区域内127户越冬放牧点危房、旧房拆除及新建工作。根据我镇牧区实际情况，已实施面积为每户16平方米木结构房、轻钢结构房，单户建房价约3万元，完全达到抗震、保温、防水要求，牧民越冬放牧点生产用房(居住)按照相关要求已进行验收，验收合格。已大幅度改善了牧民生产生活，为牧民越冬提供了住房、生产保障，显著提升牧民生活水平和幸福指数。</w:t>
            </w:r>
          </w:p>
        </w:tc>
      </w:tr>
      <w:tr w14:paraId="0B089A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13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B6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44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32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83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41E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B05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AC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F3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D1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F3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11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77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7CA0">
            <w:pPr>
              <w:jc w:val="center"/>
            </w:pPr>
            <w:r>
              <w:rPr>
                <w:rFonts w:ascii="宋体" w:hAnsi="宋体" w:eastAsia="宋体"/>
                <w:sz w:val="16"/>
              </w:rPr>
              <w:t>偏差原因分析及改进措施</w:t>
            </w:r>
          </w:p>
        </w:tc>
      </w:tr>
      <w:tr w14:paraId="032777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2DB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15A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7F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AB9C">
            <w:pPr>
              <w:jc w:val="center"/>
            </w:pPr>
            <w:r>
              <w:rPr>
                <w:rFonts w:ascii="宋体" w:hAnsi="宋体" w:eastAsia="宋体"/>
                <w:sz w:val="16"/>
              </w:rPr>
              <w:t>新建放牧越冬房间数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C6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A70A">
            <w:pPr>
              <w:jc w:val="center"/>
            </w:pPr>
            <w:r>
              <w:rPr>
                <w:rFonts w:ascii="宋体" w:hAnsi="宋体" w:eastAsia="宋体"/>
                <w:sz w:val="16"/>
              </w:rPr>
              <w:t>&gt;=127间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3CE1">
            <w:pPr>
              <w:jc w:val="center"/>
            </w:pPr>
            <w:r>
              <w:rPr>
                <w:rFonts w:ascii="宋体" w:hAnsi="宋体" w:eastAsia="宋体"/>
                <w:sz w:val="16"/>
              </w:rPr>
              <w:t>127间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7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A5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A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F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C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3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ACD1">
            <w:pPr>
              <w:jc w:val="center"/>
            </w:pPr>
          </w:p>
        </w:tc>
      </w:tr>
      <w:tr w14:paraId="74D72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13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E6B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6E0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95B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83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D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C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9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CF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F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7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3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A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B28B">
            <w:pPr>
              <w:jc w:val="center"/>
            </w:pPr>
          </w:p>
        </w:tc>
      </w:tr>
      <w:tr w14:paraId="321C1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D6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77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42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329D">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5A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A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665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C01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5486">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1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F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F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2C4E">
            <w:pPr>
              <w:jc w:val="center"/>
            </w:pPr>
            <w:r>
              <w:rPr>
                <w:rFonts w:ascii="宋体" w:hAnsi="宋体" w:eastAsia="宋体"/>
                <w:sz w:val="16"/>
              </w:rPr>
              <w:t>该项</w:t>
            </w:r>
            <w:r>
              <w:rPr>
                <w:rFonts w:hint="eastAsia" w:ascii="宋体" w:hAnsi="宋体"/>
                <w:sz w:val="16"/>
                <w:lang w:eastAsia="zh-CN"/>
              </w:rPr>
              <w:t>目尚</w:t>
            </w:r>
            <w:r>
              <w:rPr>
                <w:rFonts w:ascii="宋体" w:hAnsi="宋体" w:eastAsia="宋体"/>
                <w:sz w:val="16"/>
              </w:rPr>
              <w:t>未决算</w:t>
            </w:r>
          </w:p>
        </w:tc>
      </w:tr>
      <w:tr w14:paraId="15EA3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CB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926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437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CFC5">
            <w:pPr>
              <w:jc w:val="center"/>
            </w:pPr>
            <w:r>
              <w:rPr>
                <w:rFonts w:ascii="宋体" w:hAnsi="宋体" w:eastAsia="宋体"/>
                <w:sz w:val="16"/>
              </w:rPr>
              <w:t>开工日期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CC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FB5E">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8C57">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8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9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5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B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7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E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1CD0">
            <w:pPr>
              <w:jc w:val="center"/>
            </w:pPr>
          </w:p>
        </w:tc>
      </w:tr>
      <w:tr w14:paraId="183E0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47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2A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DE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A92C">
            <w:pPr>
              <w:jc w:val="center"/>
            </w:pPr>
            <w:r>
              <w:rPr>
                <w:rFonts w:ascii="宋体" w:hAnsi="宋体" w:eastAsia="宋体"/>
                <w:sz w:val="16"/>
              </w:rPr>
              <w:t>竣工时间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2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0FB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3FF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6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37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7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F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B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A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5344">
            <w:pPr>
              <w:jc w:val="center"/>
            </w:pPr>
          </w:p>
        </w:tc>
      </w:tr>
      <w:tr w14:paraId="38750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C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03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D1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F2A7">
            <w:pPr>
              <w:jc w:val="center"/>
            </w:pPr>
            <w:r>
              <w:rPr>
                <w:rFonts w:ascii="宋体" w:hAnsi="宋体" w:eastAsia="宋体"/>
                <w:sz w:val="16"/>
              </w:rPr>
              <w:t>新建放牧越冬房每间资金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17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C588">
            <w:pPr>
              <w:jc w:val="center"/>
            </w:pPr>
            <w:r>
              <w:rPr>
                <w:rFonts w:ascii="宋体" w:hAnsi="宋体" w:eastAsia="宋体"/>
                <w:sz w:val="16"/>
              </w:rPr>
              <w:t>&lt;=3万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750F">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C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B4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0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B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6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B7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9A1D">
            <w:pPr>
              <w:jc w:val="center"/>
            </w:pPr>
          </w:p>
        </w:tc>
      </w:tr>
      <w:tr w14:paraId="5B3D5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E4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DE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52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4947">
            <w:pPr>
              <w:jc w:val="center"/>
            </w:pPr>
            <w:r>
              <w:rPr>
                <w:rFonts w:ascii="宋体" w:hAnsi="宋体" w:eastAsia="宋体"/>
                <w:sz w:val="16"/>
              </w:rPr>
              <w:t>解决牧民冬季用房人数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3A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686F">
            <w:pPr>
              <w:jc w:val="center"/>
            </w:pPr>
            <w:r>
              <w:rPr>
                <w:rFonts w:ascii="宋体" w:hAnsi="宋体" w:eastAsia="宋体"/>
                <w:sz w:val="16"/>
              </w:rPr>
              <w:t>&gt;=600人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5E12">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7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0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5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F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AD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2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D06C">
            <w:pPr>
              <w:jc w:val="center"/>
            </w:pPr>
          </w:p>
        </w:tc>
      </w:tr>
      <w:tr w14:paraId="5F0C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1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AB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18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047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3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4B7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6DF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1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6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A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F4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5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D04F">
            <w:pPr>
              <w:jc w:val="center"/>
            </w:pPr>
            <w:r>
              <w:rPr>
                <w:rFonts w:ascii="宋体" w:hAnsi="宋体" w:eastAsia="宋体"/>
                <w:sz w:val="16"/>
              </w:rPr>
              <w:t>对部分房屋质量不满意</w:t>
            </w:r>
          </w:p>
        </w:tc>
      </w:tr>
      <w:tr w14:paraId="5E770D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CD00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4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43A1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8C4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72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2C41">
            <w:pPr>
              <w:jc w:val="center"/>
            </w:pPr>
            <w:r>
              <w:rPr>
                <w:rFonts w:ascii="宋体" w:hAnsi="宋体" w:eastAsia="宋体"/>
                <w:sz w:val="16"/>
              </w:rPr>
              <w:t>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39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20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1C0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B66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66EC9"/>
        </w:tc>
      </w:tr>
    </w:tbl>
    <w:p w14:paraId="635B94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06AA47CB">
        <w:tblPrEx>
          <w:tblCellMar>
            <w:top w:w="0" w:type="dxa"/>
            <w:left w:w="108" w:type="dxa"/>
            <w:bottom w:w="0" w:type="dxa"/>
            <w:right w:w="108" w:type="dxa"/>
          </w:tblCellMar>
        </w:tblPrEx>
        <w:tc>
          <w:tcPr>
            <w:tcW w:w="8848" w:type="dxa"/>
            <w:gridSpan w:val="14"/>
            <w:vAlign w:val="center"/>
          </w:tcPr>
          <w:p w14:paraId="17514CF3">
            <w:pPr>
              <w:jc w:val="center"/>
            </w:pPr>
            <w:r>
              <w:rPr>
                <w:rFonts w:ascii="宋体" w:hAnsi="宋体" w:eastAsia="宋体"/>
                <w:sz w:val="24"/>
              </w:rPr>
              <w:t>项目支出绩效自评表</w:t>
            </w:r>
          </w:p>
        </w:tc>
      </w:tr>
      <w:tr w14:paraId="1F273F17">
        <w:tblPrEx>
          <w:tblCellMar>
            <w:top w:w="0" w:type="dxa"/>
            <w:left w:w="108" w:type="dxa"/>
            <w:bottom w:w="0" w:type="dxa"/>
            <w:right w:w="108" w:type="dxa"/>
          </w:tblCellMar>
        </w:tblPrEx>
        <w:tc>
          <w:tcPr>
            <w:tcW w:w="8848" w:type="dxa"/>
            <w:gridSpan w:val="14"/>
            <w:vAlign w:val="center"/>
          </w:tcPr>
          <w:p w14:paraId="43E4D8B4">
            <w:pPr>
              <w:jc w:val="center"/>
            </w:pPr>
            <w:r>
              <w:rPr>
                <w:rFonts w:ascii="宋体" w:hAnsi="宋体" w:eastAsia="宋体"/>
                <w:sz w:val="24"/>
              </w:rPr>
              <w:t>(2024年度)</w:t>
            </w:r>
          </w:p>
        </w:tc>
      </w:tr>
      <w:tr w14:paraId="6575E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B6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428C8A">
            <w:pPr>
              <w:jc w:val="center"/>
            </w:pPr>
            <w:r>
              <w:rPr>
                <w:rFonts w:ascii="宋体" w:hAnsi="宋体" w:eastAsia="宋体"/>
                <w:sz w:val="16"/>
              </w:rPr>
              <w:t>特克斯县乔拉克铁热克镇2023年村级组织活动场所建设项目</w:t>
            </w:r>
          </w:p>
        </w:tc>
      </w:tr>
      <w:tr w14:paraId="471925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9B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6EBBA">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C03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5068FF">
            <w:pPr>
              <w:jc w:val="center"/>
            </w:pPr>
            <w:r>
              <w:rPr>
                <w:rFonts w:ascii="宋体" w:hAnsi="宋体" w:eastAsia="宋体"/>
                <w:sz w:val="16"/>
              </w:rPr>
              <w:t>特克斯县乔拉克铁热克镇人民政府</w:t>
            </w:r>
          </w:p>
        </w:tc>
      </w:tr>
      <w:tr w14:paraId="4A16E3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CEF7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BD2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6A4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66F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68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FA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2E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1BF8">
            <w:pPr>
              <w:jc w:val="center"/>
            </w:pPr>
            <w:r>
              <w:rPr>
                <w:rFonts w:ascii="宋体" w:hAnsi="宋体" w:eastAsia="宋体"/>
                <w:sz w:val="16"/>
              </w:rPr>
              <w:t>得分</w:t>
            </w:r>
          </w:p>
        </w:tc>
      </w:tr>
      <w:tr w14:paraId="25237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7F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97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A058">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2E8A">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140A">
            <w:pPr>
              <w:jc w:val="center"/>
            </w:pPr>
            <w:r>
              <w:rPr>
                <w:rFonts w:ascii="宋体" w:hAnsi="宋体" w:eastAsia="宋体"/>
                <w:sz w:val="16"/>
              </w:rPr>
              <w:t>151.93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C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346F">
            <w:pPr>
              <w:jc w:val="center"/>
            </w:pPr>
            <w:r>
              <w:rPr>
                <w:rFonts w:ascii="宋体" w:hAnsi="宋体" w:eastAsia="宋体"/>
                <w:sz w:val="16"/>
              </w:rPr>
              <w:t>72.23%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BAF3">
            <w:pPr>
              <w:jc w:val="center"/>
            </w:pPr>
            <w:r>
              <w:rPr>
                <w:rFonts w:ascii="宋体" w:hAnsi="宋体" w:eastAsia="宋体"/>
                <w:sz w:val="16"/>
              </w:rPr>
              <w:t>3.06</w:t>
            </w:r>
          </w:p>
        </w:tc>
      </w:tr>
      <w:tr w14:paraId="10E92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0FB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21F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9D71">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32B22">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C7628">
            <w:pPr>
              <w:jc w:val="center"/>
            </w:pPr>
            <w:r>
              <w:rPr>
                <w:rFonts w:ascii="宋体" w:hAnsi="宋体" w:eastAsia="宋体"/>
                <w:sz w:val="16"/>
              </w:rPr>
              <w:t>151.93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364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3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7696">
            <w:pPr>
              <w:jc w:val="center"/>
            </w:pPr>
            <w:r>
              <w:rPr>
                <w:rFonts w:ascii="宋体" w:hAnsi="宋体" w:eastAsia="宋体"/>
                <w:sz w:val="16"/>
              </w:rPr>
              <w:t>—</w:t>
            </w:r>
          </w:p>
        </w:tc>
      </w:tr>
      <w:tr w14:paraId="7FC9D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C7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48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4C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4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E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C69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4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FBE3">
            <w:pPr>
              <w:jc w:val="center"/>
            </w:pPr>
            <w:r>
              <w:rPr>
                <w:rFonts w:ascii="宋体" w:hAnsi="宋体" w:eastAsia="宋体"/>
                <w:sz w:val="16"/>
              </w:rPr>
              <w:t>—</w:t>
            </w:r>
          </w:p>
        </w:tc>
      </w:tr>
      <w:tr w14:paraId="2B3FB0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BCE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883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3BFD1">
            <w:pPr>
              <w:jc w:val="center"/>
            </w:pPr>
            <w:r>
              <w:rPr>
                <w:rFonts w:ascii="宋体" w:hAnsi="宋体" w:eastAsia="宋体"/>
                <w:sz w:val="16"/>
              </w:rPr>
              <w:t>实际完成情况</w:t>
            </w:r>
          </w:p>
        </w:tc>
      </w:tr>
      <w:tr w14:paraId="34305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0A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3FE59">
            <w:pPr>
              <w:jc w:val="both"/>
            </w:pPr>
            <w:r>
              <w:rPr>
                <w:rFonts w:ascii="宋体" w:hAnsi="宋体" w:eastAsia="宋体"/>
                <w:sz w:val="16"/>
              </w:rPr>
              <w:t>新建特克斯县乔拉克铁热克镇村级组织活动场所总建筑面积1050平方米，其中：阿克铁热克村300平方米；阿特恰比斯村400平方米；克孜勒阔拉村350平方米。其中阿克铁热克村成本70.13万元；阿特恰比斯村成本80.12万元；克孜勒阔拉村成本60.10万元。为了充分发挥农村党组织在建设社会主义新农村中的战斗堡垒作用和广大农村党员的先锋模范作用，夯实党在农村的执政基础，更好</w:t>
            </w:r>
            <w:r>
              <w:rPr>
                <w:rFonts w:hint="eastAsia" w:ascii="宋体" w:hAnsi="宋体"/>
                <w:sz w:val="16"/>
                <w:lang w:eastAsia="zh-CN"/>
              </w:rPr>
              <w:t>地</w:t>
            </w:r>
            <w:r>
              <w:rPr>
                <w:rFonts w:ascii="宋体" w:hAnsi="宋体" w:eastAsia="宋体"/>
                <w:sz w:val="16"/>
              </w:rPr>
              <w:t>发挥村级组织活动场所在社会主义新农村建设中的作用，以加强村级组织规范化建设为目标，整体推进村级组织活动场所建设，为全面提升农村基层组织建设和新农村建设水平，为特克斯县整体建设提供坚强有力的组织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22779D">
            <w:pPr>
              <w:jc w:val="both"/>
            </w:pPr>
            <w:r>
              <w:rPr>
                <w:rFonts w:ascii="宋体" w:hAnsi="宋体" w:eastAsia="宋体"/>
                <w:sz w:val="16"/>
              </w:rPr>
              <w:t>支付三个村项目工程款151.93万元。整体推进村级组织活动场所建设，为全面提升农村基层组织建设和新农村建设水平，为特克斯县整体建设提供坚强有力的组织保障。</w:t>
            </w:r>
          </w:p>
        </w:tc>
      </w:tr>
      <w:tr w14:paraId="466F9F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7A3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F4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3D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93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8D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19C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011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FB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55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FF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D0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05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00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1F7A">
            <w:pPr>
              <w:jc w:val="center"/>
            </w:pPr>
            <w:r>
              <w:rPr>
                <w:rFonts w:ascii="宋体" w:hAnsi="宋体" w:eastAsia="宋体"/>
                <w:sz w:val="16"/>
              </w:rPr>
              <w:t>偏差原因分析及改进措施</w:t>
            </w:r>
          </w:p>
        </w:tc>
      </w:tr>
      <w:tr w14:paraId="2B60E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DEC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242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9CB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576A">
            <w:pPr>
              <w:jc w:val="center"/>
            </w:pPr>
            <w:r>
              <w:rPr>
                <w:rFonts w:ascii="宋体" w:hAnsi="宋体" w:eastAsia="宋体"/>
                <w:sz w:val="16"/>
              </w:rPr>
              <w:t>保障村级数量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DD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837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77E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C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95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9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7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8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7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F6CA">
            <w:pPr>
              <w:jc w:val="center"/>
            </w:pPr>
          </w:p>
        </w:tc>
      </w:tr>
      <w:tr w14:paraId="39B27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64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8B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B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C58C">
            <w:pPr>
              <w:jc w:val="center"/>
            </w:pPr>
            <w:r>
              <w:rPr>
                <w:rFonts w:ascii="宋体" w:hAnsi="宋体" w:eastAsia="宋体"/>
                <w:sz w:val="16"/>
              </w:rPr>
              <w:t>阿克铁热克村村级组活动场所建筑面积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64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2113">
            <w:pPr>
              <w:jc w:val="center"/>
            </w:pPr>
            <w:r>
              <w:rPr>
                <w:rFonts w:ascii="宋体" w:hAnsi="宋体" w:eastAsia="宋体"/>
                <w:sz w:val="16"/>
              </w:rPr>
              <w: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C268">
            <w:pPr>
              <w:jc w:val="center"/>
            </w:pPr>
            <w:r>
              <w:rPr>
                <w:rFonts w:ascii="宋体" w:hAnsi="宋体" w:eastAsia="宋体"/>
                <w:sz w:val="16"/>
              </w:rPr>
              <w: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A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7C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A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C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8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F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AD0B">
            <w:pPr>
              <w:jc w:val="center"/>
            </w:pPr>
          </w:p>
        </w:tc>
      </w:tr>
      <w:tr w14:paraId="079A0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4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B9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F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FE86">
            <w:pPr>
              <w:jc w:val="center"/>
            </w:pPr>
            <w:r>
              <w:rPr>
                <w:rFonts w:ascii="宋体" w:hAnsi="宋体" w:eastAsia="宋体"/>
                <w:sz w:val="16"/>
              </w:rPr>
              <w:t>阿特恰比斯村村级组织活动场所建筑面积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18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1E7B">
            <w:pPr>
              <w:jc w:val="center"/>
            </w:pPr>
            <w:r>
              <w:rPr>
                <w:rFonts w:ascii="宋体" w:hAnsi="宋体" w:eastAsia="宋体"/>
                <w:sz w:val="16"/>
              </w:rPr>
              <w: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0958">
            <w:pPr>
              <w:jc w:val="center"/>
            </w:pPr>
            <w:r>
              <w:rPr>
                <w:rFonts w:ascii="宋体" w:hAnsi="宋体" w:eastAsia="宋体"/>
                <w:sz w:val="16"/>
              </w:rPr>
              <w: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6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6C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7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E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A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6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ABC">
            <w:pPr>
              <w:jc w:val="center"/>
            </w:pPr>
          </w:p>
        </w:tc>
      </w:tr>
      <w:tr w14:paraId="7A58D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83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C2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CB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2571">
            <w:pPr>
              <w:jc w:val="center"/>
            </w:pPr>
            <w:r>
              <w:rPr>
                <w:rFonts w:ascii="宋体" w:hAnsi="宋体" w:eastAsia="宋体"/>
                <w:sz w:val="16"/>
              </w:rPr>
              <w:t>克孜勒阔拉村村级组织活动场所建筑面积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52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C931">
            <w:pPr>
              <w:jc w:val="center"/>
            </w:pPr>
            <w:r>
              <w:rPr>
                <w:rFonts w:ascii="宋体" w:hAnsi="宋体" w:eastAsia="宋体"/>
                <w:sz w:val="16"/>
              </w:rPr>
              <w: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2EF6">
            <w:pPr>
              <w:jc w:val="center"/>
            </w:pPr>
            <w:r>
              <w:rPr>
                <w:rFonts w:ascii="宋体" w:hAnsi="宋体" w:eastAsia="宋体"/>
                <w:sz w:val="16"/>
              </w:rPr>
              <w:t>350平方米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4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37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8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D3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9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B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E50B">
            <w:pPr>
              <w:jc w:val="center"/>
            </w:pPr>
          </w:p>
        </w:tc>
      </w:tr>
      <w:tr w14:paraId="1BF6A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DC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DCB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A21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EA0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0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9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0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A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E1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D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D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D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D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9B73">
            <w:pPr>
              <w:jc w:val="center"/>
            </w:pPr>
          </w:p>
        </w:tc>
      </w:tr>
      <w:tr w14:paraId="6D3EF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E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1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D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A7A7">
            <w:pPr>
              <w:jc w:val="center"/>
            </w:pPr>
            <w:r>
              <w:rPr>
                <w:rFonts w:ascii="宋体" w:hAnsi="宋体" w:eastAsia="宋体"/>
                <w:sz w:val="16"/>
              </w:rPr>
              <w:t>上级资金规范使用率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F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5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A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2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1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7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E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F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6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F6DE">
            <w:pPr>
              <w:jc w:val="center"/>
            </w:pPr>
          </w:p>
        </w:tc>
      </w:tr>
      <w:tr w14:paraId="7C04B63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8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D8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A9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E4AB">
            <w:pPr>
              <w:jc w:val="center"/>
            </w:pPr>
            <w:r>
              <w:rPr>
                <w:rFonts w:ascii="宋体" w:hAnsi="宋体" w:eastAsia="宋体"/>
                <w:sz w:val="16"/>
              </w:rPr>
              <w:t>工程进度延迟率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3C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A4A6">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E2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5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8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E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E4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E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E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3BD8">
            <w:pPr>
              <w:jc w:val="center"/>
            </w:pPr>
          </w:p>
        </w:tc>
      </w:tr>
      <w:tr w14:paraId="352FC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87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8D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5A2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25C2">
            <w:pPr>
              <w:jc w:val="center"/>
            </w:pPr>
            <w:r>
              <w:rPr>
                <w:rFonts w:ascii="宋体" w:hAnsi="宋体" w:eastAsia="宋体"/>
                <w:sz w:val="16"/>
              </w:rPr>
              <w:t>阿克铁热克村村级组织活动场所成本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09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5C59">
            <w:pPr>
              <w:jc w:val="center"/>
            </w:pPr>
            <w:r>
              <w:rPr>
                <w:rFonts w:ascii="宋体" w:hAnsi="宋体" w:eastAsia="宋体"/>
                <w:sz w:val="16"/>
              </w:rPr>
              <w:t>&lt;=60.10万元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9844">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78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240E">
            <w:pPr>
              <w:jc w:val="center"/>
            </w:pPr>
            <w:r>
              <w:rPr>
                <w:rFonts w:ascii="宋体" w:hAnsi="宋体" w:eastAsia="宋体"/>
                <w:sz w:val="16"/>
              </w:rPr>
              <w:t>0.15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F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A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2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8C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598">
            <w:pPr>
              <w:jc w:val="center"/>
            </w:pPr>
            <w:r>
              <w:rPr>
                <w:rFonts w:ascii="宋体" w:hAnsi="宋体" w:eastAsia="宋体"/>
                <w:sz w:val="16"/>
              </w:rPr>
              <w:t>该项目其中一个村未完成决算</w:t>
            </w:r>
          </w:p>
        </w:tc>
      </w:tr>
      <w:tr w14:paraId="64060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4C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B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6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BA23">
            <w:pPr>
              <w:jc w:val="center"/>
            </w:pPr>
            <w:r>
              <w:rPr>
                <w:rFonts w:ascii="宋体" w:hAnsi="宋体" w:eastAsia="宋体"/>
                <w:sz w:val="16"/>
              </w:rPr>
              <w:t>阿特恰比斯村村级组织活动场所成本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4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D760">
            <w:pPr>
              <w:jc w:val="center"/>
            </w:pPr>
            <w:r>
              <w:rPr>
                <w:rFonts w:ascii="宋体" w:hAnsi="宋体" w:eastAsia="宋体"/>
                <w:sz w:val="16"/>
              </w:rPr>
              <w:t>&lt;=80.12万元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7172">
            <w:pPr>
              <w:jc w:val="center"/>
            </w:pPr>
            <w:r>
              <w:rPr>
                <w:rFonts w:ascii="宋体" w:hAnsi="宋体" w:eastAsia="宋体"/>
                <w:sz w:val="16"/>
              </w:rPr>
              <w:t>80.12万元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2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9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0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0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E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8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728C">
            <w:pPr>
              <w:jc w:val="center"/>
            </w:pPr>
          </w:p>
        </w:tc>
      </w:tr>
      <w:tr w14:paraId="2FE29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3F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FE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6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FC09">
            <w:pPr>
              <w:jc w:val="center"/>
            </w:pPr>
            <w:r>
              <w:rPr>
                <w:rFonts w:ascii="宋体" w:hAnsi="宋体" w:eastAsia="宋体"/>
                <w:sz w:val="16"/>
              </w:rPr>
              <w:t>克孜勒阔拉村村级组织活动场所成本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FB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5FB3">
            <w:pPr>
              <w:jc w:val="center"/>
            </w:pPr>
            <w:r>
              <w:rPr>
                <w:rFonts w:ascii="宋体" w:hAnsi="宋体" w:eastAsia="宋体"/>
                <w:sz w:val="16"/>
              </w:rPr>
              <w:t>&lt;=70.13万元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6048">
            <w:pPr>
              <w:jc w:val="center"/>
            </w:pPr>
            <w:r>
              <w:rPr>
                <w:rFonts w:ascii="宋体" w:hAnsi="宋体" w:eastAsia="宋体"/>
                <w:sz w:val="16"/>
              </w:rPr>
              <w:t>70.13万元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6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B5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5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5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36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F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B6F1">
            <w:pPr>
              <w:jc w:val="center"/>
            </w:pPr>
          </w:p>
        </w:tc>
      </w:tr>
      <w:tr w14:paraId="71982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3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7F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7D6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70DA">
            <w:pPr>
              <w:jc w:val="center"/>
            </w:pPr>
            <w:r>
              <w:rPr>
                <w:rFonts w:ascii="宋体" w:hAnsi="宋体" w:eastAsia="宋体"/>
                <w:sz w:val="16"/>
              </w:rPr>
              <w:t>提升基层服务水平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D9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24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1FD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F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D3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B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1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F1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4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341C">
            <w:pPr>
              <w:jc w:val="center"/>
            </w:pPr>
          </w:p>
        </w:tc>
      </w:tr>
      <w:tr w14:paraId="2F1A1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E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95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B8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A1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9D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03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2E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4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E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0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E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D9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C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1654">
            <w:pPr>
              <w:jc w:val="center"/>
            </w:pPr>
          </w:p>
        </w:tc>
      </w:tr>
      <w:tr w14:paraId="78F383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6A3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D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DBF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B36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FF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ABF0">
            <w:pPr>
              <w:jc w:val="center"/>
            </w:pPr>
            <w:r>
              <w:rPr>
                <w:rFonts w:ascii="宋体" w:hAnsi="宋体" w:eastAsia="宋体"/>
                <w:sz w:val="16"/>
              </w:rPr>
              <w:t>88.21分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60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940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7A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7B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2BDE0"/>
        </w:tc>
      </w:tr>
    </w:tbl>
    <w:p w14:paraId="70380B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2C0D6ED">
        <w:tblPrEx>
          <w:tblCellMar>
            <w:top w:w="0" w:type="dxa"/>
            <w:left w:w="108" w:type="dxa"/>
            <w:bottom w:w="0" w:type="dxa"/>
            <w:right w:w="108" w:type="dxa"/>
          </w:tblCellMar>
        </w:tblPrEx>
        <w:tc>
          <w:tcPr>
            <w:tcW w:w="8848" w:type="dxa"/>
            <w:gridSpan w:val="14"/>
            <w:vAlign w:val="center"/>
          </w:tcPr>
          <w:p w14:paraId="2B54325B">
            <w:pPr>
              <w:jc w:val="center"/>
            </w:pPr>
            <w:r>
              <w:rPr>
                <w:rFonts w:ascii="宋体" w:hAnsi="宋体" w:eastAsia="宋体"/>
                <w:sz w:val="24"/>
              </w:rPr>
              <w:t>项目支出绩效自评表</w:t>
            </w:r>
          </w:p>
        </w:tc>
      </w:tr>
      <w:tr w14:paraId="2B548FA0">
        <w:tblPrEx>
          <w:tblCellMar>
            <w:top w:w="0" w:type="dxa"/>
            <w:left w:w="108" w:type="dxa"/>
            <w:bottom w:w="0" w:type="dxa"/>
            <w:right w:w="108" w:type="dxa"/>
          </w:tblCellMar>
        </w:tblPrEx>
        <w:tc>
          <w:tcPr>
            <w:tcW w:w="8848" w:type="dxa"/>
            <w:gridSpan w:val="14"/>
            <w:vAlign w:val="center"/>
          </w:tcPr>
          <w:p w14:paraId="56A6C2D3">
            <w:pPr>
              <w:jc w:val="center"/>
            </w:pPr>
            <w:r>
              <w:rPr>
                <w:rFonts w:ascii="宋体" w:hAnsi="宋体" w:eastAsia="宋体"/>
                <w:sz w:val="24"/>
              </w:rPr>
              <w:t>(2024年度)</w:t>
            </w:r>
          </w:p>
        </w:tc>
      </w:tr>
      <w:tr w14:paraId="4943F9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EC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7D96C2">
            <w:pPr>
              <w:jc w:val="center"/>
            </w:pPr>
            <w:r>
              <w:rPr>
                <w:rFonts w:ascii="宋体" w:hAnsi="宋体" w:eastAsia="宋体"/>
                <w:sz w:val="16"/>
              </w:rPr>
              <w:t>特克斯县红土地牲畜育肥养殖农民专业合作社养殖小区建设项目</w:t>
            </w:r>
          </w:p>
        </w:tc>
      </w:tr>
      <w:tr w14:paraId="299435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2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A1186">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853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2ED88">
            <w:pPr>
              <w:jc w:val="center"/>
            </w:pPr>
            <w:r>
              <w:rPr>
                <w:rFonts w:ascii="宋体" w:hAnsi="宋体" w:eastAsia="宋体"/>
                <w:sz w:val="16"/>
              </w:rPr>
              <w:t>特克斯县乔拉克铁热克镇人民政府</w:t>
            </w:r>
          </w:p>
        </w:tc>
      </w:tr>
      <w:tr w14:paraId="0EAD8A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3DF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E3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FB2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7C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D7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38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032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8D68">
            <w:pPr>
              <w:jc w:val="center"/>
            </w:pPr>
            <w:r>
              <w:rPr>
                <w:rFonts w:ascii="宋体" w:hAnsi="宋体" w:eastAsia="宋体"/>
                <w:sz w:val="16"/>
              </w:rPr>
              <w:t>得分</w:t>
            </w:r>
          </w:p>
        </w:tc>
      </w:tr>
      <w:tr w14:paraId="75A5C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4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CBD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FBBD">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665B">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2830">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31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60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A3BF">
            <w:pPr>
              <w:jc w:val="center"/>
            </w:pPr>
            <w:r>
              <w:rPr>
                <w:rFonts w:ascii="宋体" w:hAnsi="宋体" w:eastAsia="宋体"/>
                <w:sz w:val="16"/>
              </w:rPr>
              <w:t>10.00</w:t>
            </w:r>
          </w:p>
        </w:tc>
      </w:tr>
      <w:tr w14:paraId="446E2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35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752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3E4C">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4C64">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B2F0">
            <w:pPr>
              <w:jc w:val="center"/>
            </w:pPr>
            <w:r>
              <w:rPr>
                <w:rFonts w:ascii="宋体" w:hAnsi="宋体" w:eastAsia="宋体"/>
                <w:sz w:val="16"/>
              </w:rPr>
              <w:t>38.21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85C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5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5D52">
            <w:pPr>
              <w:jc w:val="center"/>
            </w:pPr>
            <w:r>
              <w:rPr>
                <w:rFonts w:ascii="宋体" w:hAnsi="宋体" w:eastAsia="宋体"/>
                <w:sz w:val="16"/>
              </w:rPr>
              <w:t>—</w:t>
            </w:r>
          </w:p>
        </w:tc>
      </w:tr>
      <w:tr w14:paraId="406C4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C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4D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9C8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297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3B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2E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9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B2B0">
            <w:pPr>
              <w:jc w:val="center"/>
            </w:pPr>
            <w:r>
              <w:rPr>
                <w:rFonts w:ascii="宋体" w:hAnsi="宋体" w:eastAsia="宋体"/>
                <w:sz w:val="16"/>
              </w:rPr>
              <w:t>—</w:t>
            </w:r>
          </w:p>
        </w:tc>
      </w:tr>
      <w:tr w14:paraId="686EC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278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62E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59BA8">
            <w:pPr>
              <w:jc w:val="center"/>
            </w:pPr>
            <w:r>
              <w:rPr>
                <w:rFonts w:ascii="宋体" w:hAnsi="宋体" w:eastAsia="宋体"/>
                <w:sz w:val="16"/>
              </w:rPr>
              <w:t>实际完成情况</w:t>
            </w:r>
          </w:p>
        </w:tc>
      </w:tr>
      <w:tr w14:paraId="73ECA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55E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81D7F">
            <w:pPr>
              <w:jc w:val="both"/>
            </w:pPr>
            <w:r>
              <w:rPr>
                <w:rFonts w:ascii="宋体" w:hAnsi="宋体" w:eastAsia="宋体"/>
                <w:sz w:val="16"/>
              </w:rPr>
              <w:t>新建棚圈1座600平方米。夯实发展乡村养殖业基础，实施乡村振兴战略，努力补齐影响群众生活品质短板，提升社会文明程度和经济发展水平，缩短城乡发展不均衡现象，改善农村人居环境、群众素质提升、社会文明进步，推动区域社会经济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6162E3">
            <w:pPr>
              <w:jc w:val="both"/>
            </w:pPr>
            <w:r>
              <w:rPr>
                <w:rFonts w:ascii="宋体" w:hAnsi="宋体" w:eastAsia="宋体"/>
                <w:sz w:val="16"/>
              </w:rPr>
              <w:t>完成新建棚圈1座600平方米。</w:t>
            </w:r>
          </w:p>
        </w:tc>
      </w:tr>
      <w:tr w14:paraId="1F39EA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D4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B3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DE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E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E1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0BF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ED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C4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09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05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55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44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85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61E5">
            <w:pPr>
              <w:jc w:val="center"/>
            </w:pPr>
            <w:r>
              <w:rPr>
                <w:rFonts w:ascii="宋体" w:hAnsi="宋体" w:eastAsia="宋体"/>
                <w:sz w:val="16"/>
              </w:rPr>
              <w:t>偏差原因分析及改进措施</w:t>
            </w:r>
          </w:p>
        </w:tc>
      </w:tr>
      <w:tr w14:paraId="5A5D6B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2BD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444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62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5EB2">
            <w:pPr>
              <w:jc w:val="center"/>
            </w:pPr>
            <w:r>
              <w:rPr>
                <w:rFonts w:ascii="宋体" w:hAnsi="宋体" w:eastAsia="宋体"/>
                <w:sz w:val="16"/>
              </w:rPr>
              <w:t>新建棚圈1座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683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44FE">
            <w:pPr>
              <w:jc w:val="center"/>
            </w:pPr>
            <w:r>
              <w:rPr>
                <w:rFonts w:ascii="宋体" w:hAnsi="宋体" w:eastAsia="宋体"/>
                <w:sz w:val="16"/>
              </w:rPr>
              <w:t>&gt;=600平方米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6978">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1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F8F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F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9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F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8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746E">
            <w:pPr>
              <w:jc w:val="center"/>
            </w:pPr>
          </w:p>
        </w:tc>
      </w:tr>
      <w:tr w14:paraId="69BA6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13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63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9B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5B4C">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23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9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8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E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065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0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2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5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E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000E">
            <w:pPr>
              <w:jc w:val="center"/>
            </w:pPr>
          </w:p>
        </w:tc>
      </w:tr>
      <w:tr w14:paraId="24F2C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00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8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1D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6F10">
            <w:pPr>
              <w:jc w:val="center"/>
            </w:pPr>
            <w:r>
              <w:rPr>
                <w:rFonts w:ascii="宋体" w:hAnsi="宋体" w:eastAsia="宋体"/>
                <w:sz w:val="16"/>
              </w:rPr>
              <w:t>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020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2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6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0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81F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B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2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1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B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F2D8">
            <w:pPr>
              <w:jc w:val="center"/>
            </w:pPr>
          </w:p>
        </w:tc>
      </w:tr>
      <w:tr w14:paraId="41CBC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7A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58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546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A637">
            <w:pPr>
              <w:jc w:val="center"/>
            </w:pPr>
            <w:r>
              <w:rPr>
                <w:rFonts w:ascii="宋体" w:hAnsi="宋体" w:eastAsia="宋体"/>
                <w:sz w:val="16"/>
              </w:rPr>
              <w:t>棚圈1平方米经济成本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F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FC79">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8932">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C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0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A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0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2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04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41A2">
            <w:pPr>
              <w:jc w:val="center"/>
            </w:pPr>
          </w:p>
        </w:tc>
      </w:tr>
      <w:tr w14:paraId="1E1D8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8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10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7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5BD9">
            <w:pPr>
              <w:jc w:val="center"/>
            </w:pPr>
            <w:r>
              <w:rPr>
                <w:rFonts w:ascii="宋体" w:hAnsi="宋体" w:eastAsia="宋体"/>
                <w:sz w:val="16"/>
              </w:rPr>
              <w:t>人工费用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8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7ED1">
            <w:pPr>
              <w:jc w:val="center"/>
            </w:pPr>
            <w:r>
              <w:rPr>
                <w:rFonts w:ascii="宋体" w:hAnsi="宋体" w:eastAsia="宋体"/>
                <w:sz w:val="16"/>
              </w:rPr>
              <w:t>&lt;=2.21万元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487E">
            <w:pPr>
              <w:jc w:val="center"/>
            </w:pPr>
            <w:r>
              <w:rPr>
                <w:rFonts w:ascii="宋体" w:hAnsi="宋体" w:eastAsia="宋体"/>
                <w:sz w:val="16"/>
              </w:rPr>
              <w: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1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7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0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2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E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F6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F062">
            <w:pPr>
              <w:jc w:val="center"/>
            </w:pPr>
          </w:p>
        </w:tc>
      </w:tr>
      <w:tr w14:paraId="2FD1C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B1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B56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C79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7DBF">
            <w:pPr>
              <w:jc w:val="center"/>
            </w:pPr>
            <w:r>
              <w:rPr>
                <w:rFonts w:ascii="宋体" w:hAnsi="宋体" w:eastAsia="宋体"/>
                <w:sz w:val="16"/>
              </w:rPr>
              <w:t>提高人民生活水平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F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0E9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485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7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0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9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D9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0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4065">
            <w:pPr>
              <w:jc w:val="center"/>
            </w:pPr>
          </w:p>
        </w:tc>
      </w:tr>
      <w:tr w14:paraId="40C3A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7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53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687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26EE">
            <w:pPr>
              <w:jc w:val="center"/>
            </w:pPr>
            <w:r>
              <w:rPr>
                <w:rFonts w:ascii="宋体" w:hAnsi="宋体" w:eastAsia="宋体"/>
                <w:sz w:val="16"/>
              </w:rPr>
              <w:t>改善区域环境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B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A1C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34E9">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1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B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8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E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02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1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5860">
            <w:pPr>
              <w:jc w:val="center"/>
            </w:pPr>
          </w:p>
        </w:tc>
      </w:tr>
      <w:tr w14:paraId="6BC10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B8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07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25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58F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1C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EFD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CA2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C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9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5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D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3A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A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C404">
            <w:pPr>
              <w:jc w:val="center"/>
            </w:pPr>
          </w:p>
        </w:tc>
      </w:tr>
      <w:tr w14:paraId="5549B3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3FC1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B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DD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823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81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649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581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9B1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32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97A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E55EB"/>
        </w:tc>
      </w:tr>
    </w:tbl>
    <w:p w14:paraId="21208B43">
      <w:r>
        <w:br w:type="page"/>
      </w:r>
    </w:p>
    <w:tbl>
      <w:tblPr>
        <w:tblStyle w:val="9"/>
        <w:tblW w:w="9219" w:type="dxa"/>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875"/>
      </w:tblGrid>
      <w:tr w14:paraId="3B0BD395">
        <w:tblPrEx>
          <w:tblCellMar>
            <w:top w:w="0" w:type="dxa"/>
            <w:left w:w="108" w:type="dxa"/>
            <w:bottom w:w="0" w:type="dxa"/>
            <w:right w:w="108" w:type="dxa"/>
          </w:tblCellMar>
        </w:tblPrEx>
        <w:tc>
          <w:tcPr>
            <w:tcW w:w="9219" w:type="dxa"/>
            <w:gridSpan w:val="14"/>
            <w:vAlign w:val="center"/>
          </w:tcPr>
          <w:p w14:paraId="512F9DD3">
            <w:pPr>
              <w:jc w:val="center"/>
            </w:pPr>
            <w:r>
              <w:rPr>
                <w:rFonts w:ascii="宋体" w:hAnsi="宋体" w:eastAsia="宋体"/>
                <w:sz w:val="24"/>
              </w:rPr>
              <w:t>项目支出绩效自评表</w:t>
            </w:r>
          </w:p>
        </w:tc>
      </w:tr>
      <w:tr w14:paraId="1EBF1AF2">
        <w:tblPrEx>
          <w:tblCellMar>
            <w:top w:w="0" w:type="dxa"/>
            <w:left w:w="108" w:type="dxa"/>
            <w:bottom w:w="0" w:type="dxa"/>
            <w:right w:w="108" w:type="dxa"/>
          </w:tblCellMar>
        </w:tblPrEx>
        <w:tc>
          <w:tcPr>
            <w:tcW w:w="9219" w:type="dxa"/>
            <w:gridSpan w:val="14"/>
            <w:vAlign w:val="center"/>
          </w:tcPr>
          <w:p w14:paraId="63A501A4">
            <w:pPr>
              <w:jc w:val="center"/>
            </w:pPr>
            <w:r>
              <w:rPr>
                <w:rFonts w:ascii="宋体" w:hAnsi="宋体" w:eastAsia="宋体"/>
                <w:sz w:val="24"/>
              </w:rPr>
              <w:t>(2024年度)</w:t>
            </w:r>
          </w:p>
        </w:tc>
      </w:tr>
      <w:tr w14:paraId="2F8CE3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1AAD">
            <w:pPr>
              <w:jc w:val="center"/>
            </w:pPr>
            <w:r>
              <w:rPr>
                <w:rFonts w:ascii="宋体" w:hAnsi="宋体" w:eastAsia="宋体"/>
                <w:sz w:val="16"/>
              </w:rPr>
              <w:t>项目名称</w:t>
            </w:r>
          </w:p>
        </w:tc>
        <w:tc>
          <w:tcPr>
            <w:tcW w:w="858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3509D">
            <w:pPr>
              <w:jc w:val="center"/>
            </w:pPr>
            <w:r>
              <w:rPr>
                <w:rFonts w:ascii="宋体" w:hAnsi="宋体" w:eastAsia="宋体"/>
                <w:sz w:val="16"/>
              </w:rPr>
              <w:t>社区工作者补助</w:t>
            </w:r>
          </w:p>
        </w:tc>
      </w:tr>
      <w:tr w14:paraId="0480E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F2B5">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F9247">
            <w:pPr>
              <w:jc w:val="center"/>
            </w:pPr>
            <w:r>
              <w:rPr>
                <w:rFonts w:ascii="宋体" w:hAnsi="宋体" w:eastAsia="宋体"/>
                <w:sz w:val="16"/>
              </w:rPr>
              <w:t>特克斯县乔拉克铁热克镇人民政府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4CA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4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29B2DC">
            <w:pPr>
              <w:jc w:val="center"/>
            </w:pPr>
            <w:r>
              <w:rPr>
                <w:rFonts w:ascii="宋体" w:hAnsi="宋体" w:eastAsia="宋体"/>
                <w:sz w:val="16"/>
              </w:rPr>
              <w:t>特克斯县乔拉克铁热克镇人民政府</w:t>
            </w:r>
          </w:p>
        </w:tc>
      </w:tr>
      <w:tr w14:paraId="0E0036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55C3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50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23A8">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7BE5">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617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42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0C3A1">
            <w:pPr>
              <w:jc w:val="center"/>
            </w:pPr>
            <w:r>
              <w:rPr>
                <w:rFonts w:ascii="宋体" w:hAnsi="宋体" w:eastAsia="宋体"/>
                <w:sz w:val="16"/>
              </w:rPr>
              <w:t>执行率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EE9B314">
            <w:pPr>
              <w:jc w:val="center"/>
            </w:pPr>
            <w:r>
              <w:rPr>
                <w:rFonts w:ascii="宋体" w:hAnsi="宋体" w:eastAsia="宋体"/>
                <w:sz w:val="16"/>
              </w:rPr>
              <w:t>得分</w:t>
            </w:r>
          </w:p>
        </w:tc>
      </w:tr>
      <w:tr w14:paraId="57BE4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43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9A3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9B00">
            <w:pPr>
              <w:jc w:val="center"/>
            </w:pPr>
            <w:r>
              <w:rPr>
                <w:rFonts w:ascii="宋体" w:hAnsi="宋体" w:eastAsia="宋体"/>
                <w:sz w:val="16"/>
              </w:rPr>
              <w:t>22.11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B3C8">
            <w:pPr>
              <w:jc w:val="center"/>
            </w:pPr>
            <w:r>
              <w:rPr>
                <w:rFonts w:ascii="宋体" w:hAnsi="宋体" w:eastAsia="宋体"/>
                <w:sz w:val="16"/>
              </w:rPr>
              <w:t>22.11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5773">
            <w:pPr>
              <w:jc w:val="center"/>
            </w:pPr>
            <w:r>
              <w:rPr>
                <w:rFonts w:ascii="宋体" w:hAnsi="宋体" w:eastAsia="宋体"/>
                <w:sz w:val="16"/>
              </w:rPr>
              <w:t>21.62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728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C9AB">
            <w:pPr>
              <w:jc w:val="center"/>
            </w:pPr>
            <w:r>
              <w:rPr>
                <w:rFonts w:ascii="宋体" w:hAnsi="宋体" w:eastAsia="宋体"/>
                <w:sz w:val="16"/>
              </w:rPr>
              <w:t>97.78%</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C53EA95">
            <w:pPr>
              <w:jc w:val="center"/>
            </w:pPr>
            <w:r>
              <w:rPr>
                <w:rFonts w:ascii="宋体" w:hAnsi="宋体" w:eastAsia="宋体"/>
                <w:sz w:val="16"/>
              </w:rPr>
              <w:t>10.00</w:t>
            </w:r>
          </w:p>
        </w:tc>
      </w:tr>
      <w:tr w14:paraId="47458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DF8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A0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3DB9">
            <w:pPr>
              <w:jc w:val="center"/>
            </w:pPr>
            <w:r>
              <w:rPr>
                <w:rFonts w:ascii="宋体" w:hAnsi="宋体" w:eastAsia="宋体"/>
                <w:sz w:val="16"/>
              </w:rPr>
              <w:t>22.11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FE4F">
            <w:pPr>
              <w:jc w:val="center"/>
            </w:pPr>
            <w:r>
              <w:rPr>
                <w:rFonts w:ascii="宋体" w:hAnsi="宋体" w:eastAsia="宋体"/>
                <w:sz w:val="16"/>
              </w:rPr>
              <w:t>22.11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AD2F">
            <w:pPr>
              <w:jc w:val="center"/>
            </w:pPr>
            <w:r>
              <w:rPr>
                <w:rFonts w:ascii="宋体" w:hAnsi="宋体" w:eastAsia="宋体"/>
                <w:sz w:val="16"/>
              </w:rPr>
              <w:t>21.62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D7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17E3F">
            <w:pPr>
              <w:jc w:val="center"/>
            </w:pPr>
            <w:r>
              <w:rPr>
                <w:rFonts w:ascii="宋体" w:hAnsi="宋体" w:eastAsia="宋体"/>
                <w:sz w:val="16"/>
              </w:rPr>
              <w:t>—</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1F83144">
            <w:pPr>
              <w:jc w:val="center"/>
            </w:pPr>
            <w:r>
              <w:rPr>
                <w:rFonts w:ascii="宋体" w:hAnsi="宋体" w:eastAsia="宋体"/>
                <w:sz w:val="16"/>
              </w:rPr>
              <w:t>—</w:t>
            </w:r>
          </w:p>
        </w:tc>
      </w:tr>
      <w:tr w14:paraId="3964C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6E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49D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9C60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70E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C0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8F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7E85">
            <w:pPr>
              <w:jc w:val="center"/>
            </w:pPr>
            <w:r>
              <w:rPr>
                <w:rFonts w:ascii="宋体" w:hAnsi="宋体" w:eastAsia="宋体"/>
                <w:sz w:val="16"/>
              </w:rPr>
              <w:t>—</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00374EC">
            <w:pPr>
              <w:jc w:val="center"/>
            </w:pPr>
            <w:r>
              <w:rPr>
                <w:rFonts w:ascii="宋体" w:hAnsi="宋体" w:eastAsia="宋体"/>
                <w:sz w:val="16"/>
              </w:rPr>
              <w:t>—</w:t>
            </w:r>
          </w:p>
        </w:tc>
      </w:tr>
      <w:tr w14:paraId="38EA53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C6115">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167BC">
            <w:pPr>
              <w:jc w:val="center"/>
            </w:pPr>
            <w:r>
              <w:rPr>
                <w:rFonts w:ascii="宋体" w:hAnsi="宋体" w:eastAsia="宋体"/>
                <w:sz w:val="16"/>
              </w:rPr>
              <w:t>预期目标</w:t>
            </w:r>
          </w:p>
        </w:tc>
        <w:tc>
          <w:tcPr>
            <w:tcW w:w="403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1F9DDF">
            <w:pPr>
              <w:jc w:val="center"/>
            </w:pPr>
            <w:r>
              <w:rPr>
                <w:rFonts w:ascii="宋体" w:hAnsi="宋体" w:eastAsia="宋体"/>
                <w:sz w:val="16"/>
              </w:rPr>
              <w:t>实际完成情况</w:t>
            </w:r>
          </w:p>
        </w:tc>
      </w:tr>
      <w:tr w14:paraId="022A2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65C48"/>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B69C3">
            <w:pPr>
              <w:jc w:val="both"/>
            </w:pPr>
            <w:r>
              <w:rPr>
                <w:rFonts w:ascii="宋体" w:hAnsi="宋体" w:eastAsia="宋体"/>
                <w:sz w:val="16"/>
              </w:rPr>
              <w:t>根据特克斯县党的建设工作领导小组会议纪要特党建纪</w:t>
            </w:r>
            <w:r>
              <w:rPr>
                <w:rFonts w:hint="eastAsia" w:ascii="宋体" w:hAnsi="宋体"/>
                <w:sz w:val="16"/>
                <w:lang w:eastAsia="zh-CN"/>
              </w:rPr>
              <w:t>〔2020〕2号</w:t>
            </w:r>
            <w:r>
              <w:rPr>
                <w:rFonts w:ascii="宋体" w:hAnsi="宋体" w:eastAsia="宋体"/>
                <w:sz w:val="16"/>
              </w:rPr>
              <w:t>文件精神，聚焦社会稳定和长治久安总目标，适应新时期加强基层社区治理需要，加强基层党建工作，提升社区党组织能力，建设一支政治素养好、业务能力强、服务质量优、职业化程度高的社区工作者队伍，特此该项目资金发放社区工作者3人的工资，按时发放足额工资，以保障社区工作者队伍能够更好地服务群众，积极工作。</w:t>
            </w:r>
          </w:p>
        </w:tc>
        <w:tc>
          <w:tcPr>
            <w:tcW w:w="403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B342D6">
            <w:pPr>
              <w:jc w:val="both"/>
            </w:pPr>
            <w:r>
              <w:rPr>
                <w:rFonts w:ascii="宋体" w:hAnsi="宋体" w:eastAsia="宋体"/>
                <w:sz w:val="16"/>
              </w:rPr>
              <w:t>完成社区工作人员的基本工资、津贴补贴、社保、住房公积金按时足额的发放，2024年共发放3名社区工作者的工资、社保、住房公积金21.62万元，其中发放工资12.82万元，社保及住房公积金8.8万元。通过补助发放，稳定社区干部队伍，确保干部能够长期稳定在社区开展各项工作，解决社区工作者后顾之忧，确保党委政策惠及基层</w:t>
            </w:r>
            <w:r>
              <w:rPr>
                <w:rFonts w:hint="eastAsia" w:ascii="宋体" w:hAnsi="宋体"/>
                <w:sz w:val="16"/>
                <w:lang w:eastAsia="zh-CN"/>
              </w:rPr>
              <w:t>，让</w:t>
            </w:r>
            <w:r>
              <w:rPr>
                <w:rFonts w:ascii="宋体" w:hAnsi="宋体" w:eastAsia="宋体"/>
                <w:sz w:val="16"/>
              </w:rPr>
              <w:t>群众能够及时享受到党和国家各项惠民政策，不断提高社区工作者为民服务水平，</w:t>
            </w:r>
            <w:r>
              <w:rPr>
                <w:rFonts w:hint="eastAsia" w:ascii="宋体" w:hAnsi="宋体"/>
                <w:sz w:val="16"/>
                <w:lang w:eastAsia="zh-CN"/>
              </w:rPr>
              <w:t>全面</w:t>
            </w:r>
            <w:r>
              <w:rPr>
                <w:rFonts w:ascii="宋体" w:hAnsi="宋体" w:eastAsia="宋体"/>
                <w:sz w:val="16"/>
              </w:rPr>
              <w:t>提升人居生活幸福感。</w:t>
            </w:r>
          </w:p>
        </w:tc>
      </w:tr>
      <w:tr w14:paraId="3A22B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000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A7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7C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5C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687B">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CEB5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B621">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F70C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9A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BE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71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ED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E029">
            <w:pPr>
              <w:jc w:val="center"/>
            </w:pPr>
            <w:r>
              <w:rPr>
                <w:rFonts w:ascii="宋体" w:hAnsi="宋体" w:eastAsia="宋体"/>
                <w:sz w:val="16"/>
              </w:rPr>
              <w:t>佐证资料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DE44C3D">
            <w:pPr>
              <w:jc w:val="center"/>
            </w:pPr>
            <w:r>
              <w:rPr>
                <w:rFonts w:ascii="宋体" w:hAnsi="宋体" w:eastAsia="宋体"/>
                <w:sz w:val="16"/>
              </w:rPr>
              <w:t>偏差原因分析及改进措施</w:t>
            </w:r>
          </w:p>
        </w:tc>
      </w:tr>
      <w:tr w14:paraId="67307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9E3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1D0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E9C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F72F">
            <w:pPr>
              <w:jc w:val="center"/>
            </w:pPr>
            <w:r>
              <w:rPr>
                <w:rFonts w:ascii="宋体" w:hAnsi="宋体" w:eastAsia="宋体"/>
                <w:sz w:val="16"/>
              </w:rPr>
              <w:t>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2C1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F48B3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6955">
            <w:pPr>
              <w:jc w:val="center"/>
            </w:pPr>
            <w:r>
              <w:rPr>
                <w:rFonts w:ascii="宋体" w:hAnsi="宋体" w:eastAsia="宋体"/>
                <w:sz w:val="16"/>
              </w:rPr>
              <w:t>11次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B639FF">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3422">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5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7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74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98CB">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883616A">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r>
      <w:tr w14:paraId="43CDA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31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E1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C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6BD8">
            <w:pPr>
              <w:jc w:val="center"/>
            </w:pPr>
            <w:r>
              <w:rPr>
                <w:rFonts w:ascii="宋体" w:hAnsi="宋体" w:eastAsia="宋体"/>
                <w:sz w:val="16"/>
              </w:rPr>
              <w:t>社区工作者人数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4FA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F6FFAC">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0A6D">
            <w:pPr>
              <w:jc w:val="center"/>
            </w:pPr>
            <w:r>
              <w:rPr>
                <w:rFonts w:ascii="宋体" w:hAnsi="宋体" w:eastAsia="宋体"/>
                <w:sz w:val="16"/>
              </w:rPr>
              <w:t>3人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6C4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C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3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6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AD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E555">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B08794F">
            <w:pPr>
              <w:jc w:val="center"/>
            </w:pPr>
          </w:p>
        </w:tc>
      </w:tr>
      <w:tr w14:paraId="37D83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5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ED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55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03E6">
            <w:pPr>
              <w:jc w:val="center"/>
            </w:pPr>
            <w:r>
              <w:rPr>
                <w:rFonts w:ascii="宋体" w:hAnsi="宋体" w:eastAsia="宋体"/>
                <w:sz w:val="16"/>
              </w:rPr>
              <w:t>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2E3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5D98C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E683">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50FFD1">
            <w:pPr>
              <w:jc w:val="center"/>
            </w:pPr>
            <w:r>
              <w:rPr>
                <w:rFonts w:ascii="宋体" w:hAnsi="宋体" w:eastAsia="宋体"/>
                <w:sz w:val="16"/>
              </w:rPr>
              <w:t>97.78%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9801">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8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F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1C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CF4A">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9F3C5B4">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r>
      <w:tr w14:paraId="00544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90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1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86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D867">
            <w:pPr>
              <w:jc w:val="center"/>
            </w:pPr>
            <w:r>
              <w:rPr>
                <w:rFonts w:ascii="宋体" w:hAnsi="宋体" w:eastAsia="宋体"/>
                <w:sz w:val="16"/>
              </w:rPr>
              <w:t>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7D3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54EA8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7F9A">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ADE0C6">
            <w:pPr>
              <w:jc w:val="center"/>
            </w:pPr>
            <w:r>
              <w:rPr>
                <w:rFonts w:ascii="宋体" w:hAnsi="宋体" w:eastAsia="宋体"/>
                <w:sz w:val="16"/>
              </w:rPr>
              <w:t>97.78%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235C">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8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9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CA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F13A">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F977E55">
            <w:pPr>
              <w:jc w:val="center"/>
            </w:pPr>
            <w:r>
              <w:rPr>
                <w:rFonts w:ascii="宋体" w:hAnsi="宋体" w:eastAsia="宋体"/>
                <w:sz w:val="16"/>
              </w:rPr>
              <w:t>偏差原因：本年12月工资及第四季度绩效需考核完成后在下一年度发放，所以导致支付金额有偏差。改进措施：在下一年度改进预算编制，合理编制预算。</w:t>
            </w:r>
          </w:p>
        </w:tc>
      </w:tr>
      <w:tr w14:paraId="3FA91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7B6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02B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50B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6A65">
            <w:pPr>
              <w:jc w:val="center"/>
            </w:pPr>
            <w:r>
              <w:rPr>
                <w:rFonts w:ascii="宋体" w:hAnsi="宋体" w:eastAsia="宋体"/>
                <w:sz w:val="16"/>
              </w:rPr>
              <w:t>每次应发工资金额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0B3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28868">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7FF0">
            <w:pPr>
              <w:jc w:val="center"/>
            </w:pPr>
            <w:r>
              <w:rPr>
                <w:rFonts w:ascii="宋体" w:hAnsi="宋体" w:eastAsia="宋体"/>
                <w:sz w:val="16"/>
              </w:rPr>
              <w:t>1.58万元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1DC5E0">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3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3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3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33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4F09">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1B4B281">
            <w:pPr>
              <w:jc w:val="center"/>
            </w:pPr>
            <w:r>
              <w:rPr>
                <w:rFonts w:ascii="宋体" w:hAnsi="宋体" w:eastAsia="宋体"/>
                <w:sz w:val="16"/>
              </w:rPr>
              <w:t>偏差原因：社区工作者1月、2月分别调整2次工资，8月执行三岗十八级工资标准，导致工资金额增加。改进措施：在下一年度改进预算编制，合理编制预算。</w:t>
            </w:r>
          </w:p>
        </w:tc>
      </w:tr>
      <w:tr w14:paraId="3E33A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9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7D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A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F7D1">
            <w:pPr>
              <w:jc w:val="center"/>
            </w:pPr>
            <w:r>
              <w:rPr>
                <w:rFonts w:ascii="宋体" w:hAnsi="宋体" w:eastAsia="宋体"/>
                <w:sz w:val="16"/>
              </w:rPr>
              <w:t>住房公积金社保财政补贴金额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4A6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7BE9D0">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CF5A">
            <w:pPr>
              <w:jc w:val="center"/>
            </w:pPr>
            <w:r>
              <w:rPr>
                <w:rFonts w:ascii="宋体" w:hAnsi="宋体" w:eastAsia="宋体"/>
                <w:sz w:val="16"/>
              </w:rPr>
              <w:t>0.54万元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1E3BD6">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D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9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D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88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6EDB">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418DDE7B">
            <w:pPr>
              <w:jc w:val="center"/>
            </w:pPr>
            <w:r>
              <w:rPr>
                <w:rFonts w:ascii="宋体" w:hAnsi="宋体" w:eastAsia="宋体"/>
                <w:sz w:val="16"/>
              </w:rPr>
              <w:t>偏差原因：社区工作者1月、2月分别调整2次工资，8月执行三岗十八级工资标准，社保和住房公积金缴费基数增加。改进措施：在下一年度改进预算编制，合理编制预算。</w:t>
            </w:r>
          </w:p>
        </w:tc>
      </w:tr>
      <w:tr w14:paraId="3E7B8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44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CA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2A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F3BE">
            <w:pPr>
              <w:jc w:val="center"/>
            </w:pPr>
            <w:r>
              <w:rPr>
                <w:rFonts w:ascii="宋体" w:hAnsi="宋体" w:eastAsia="宋体"/>
                <w:sz w:val="16"/>
              </w:rPr>
              <w:t>提高工作人员工作积极性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58B2">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E182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ABFD">
            <w:pPr>
              <w:jc w:val="center"/>
            </w:pPr>
            <w:r>
              <w:rPr>
                <w:rFonts w:ascii="宋体" w:hAnsi="宋体" w:eastAsia="宋体"/>
                <w:sz w:val="16"/>
              </w:rPr>
              <w:t>有所提升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515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22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9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4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6F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ECE9">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19B532E">
            <w:pPr>
              <w:jc w:val="center"/>
            </w:pPr>
          </w:p>
        </w:tc>
      </w:tr>
      <w:tr w14:paraId="24EA5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9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0F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64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1DB7">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C75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436ED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724E">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3EA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6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D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7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1A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80FF">
            <w:pPr>
              <w:jc w:val="center"/>
            </w:pPr>
            <w:r>
              <w:rPr>
                <w:rFonts w:ascii="宋体" w:hAnsi="宋体" w:eastAsia="宋体"/>
                <w:sz w:val="16"/>
              </w:rPr>
              <w:t>工作资料</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EB8C80F">
            <w:pPr>
              <w:jc w:val="center"/>
            </w:pPr>
          </w:p>
        </w:tc>
      </w:tr>
      <w:tr w14:paraId="5E15B3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4D5D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ED4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6249B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4998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88EC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0BC4">
            <w:pPr>
              <w:jc w:val="center"/>
            </w:pPr>
            <w:r>
              <w:rPr>
                <w:rFonts w:ascii="宋体" w:hAnsi="宋体" w:eastAsia="宋体"/>
                <w:sz w:val="16"/>
              </w:rPr>
              <w:t>98.76分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7D0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18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FB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A51CF"/>
        </w:tc>
        <w:tc>
          <w:tcPr>
            <w:tcW w:w="875" w:type="dxa"/>
            <w:tcBorders>
              <w:top w:val="single" w:color="auto" w:sz="10" w:space="0"/>
              <w:left w:val="single" w:color="auto" w:sz="10" w:space="0"/>
              <w:bottom w:val="single" w:color="auto" w:sz="10" w:space="0"/>
              <w:right w:val="single" w:color="auto" w:sz="10" w:space="0"/>
              <w:insideV w:val="single" w:sz="10" w:space="0"/>
            </w:tcBorders>
          </w:tcPr>
          <w:p w14:paraId="61EF4AD9"/>
        </w:tc>
      </w:tr>
    </w:tbl>
    <w:p w14:paraId="71D8E483">
      <w:r>
        <w:br w:type="page"/>
      </w:r>
    </w:p>
    <w:p w14:paraId="191708F3">
      <w:pPr>
        <w:spacing w:line="640" w:lineRule="exact"/>
        <w:ind w:firstLine="640"/>
        <w:jc w:val="both"/>
        <w:outlineLvl w:val="2"/>
      </w:pPr>
      <w:r>
        <w:rPr>
          <w:rFonts w:ascii="黑体" w:hAnsi="黑体" w:eastAsia="黑体"/>
          <w:sz w:val="32"/>
        </w:rPr>
        <w:t>十二、其他需说明的事项</w:t>
      </w:r>
    </w:p>
    <w:p w14:paraId="7044EE0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36C47C5">
      <w:r>
        <w:br w:type="page"/>
      </w:r>
    </w:p>
    <w:p w14:paraId="7411B338">
      <w:pPr>
        <w:spacing w:line="240" w:lineRule="auto"/>
        <w:jc w:val="center"/>
        <w:outlineLvl w:val="1"/>
      </w:pPr>
      <w:r>
        <w:rPr>
          <w:rFonts w:ascii="黑体" w:hAnsi="黑体" w:eastAsia="黑体"/>
          <w:sz w:val="32"/>
        </w:rPr>
        <w:t>第三部分 专业名词解释</w:t>
      </w:r>
    </w:p>
    <w:p w14:paraId="2FE6B9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C667B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0C1A1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82FADA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618D1C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AB420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8CB1FD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4544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FF6DF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BB49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A1100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AF32FB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0A224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65150B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ABB541D">
      <w:r>
        <w:br w:type="page"/>
      </w:r>
    </w:p>
    <w:p w14:paraId="23F55E6D">
      <w:pPr>
        <w:spacing w:line="240" w:lineRule="auto"/>
        <w:jc w:val="center"/>
        <w:outlineLvl w:val="1"/>
      </w:pPr>
      <w:r>
        <w:rPr>
          <w:rFonts w:ascii="黑体" w:hAnsi="黑体" w:eastAsia="黑体"/>
          <w:sz w:val="32"/>
        </w:rPr>
        <w:t>第四部分 部门决算报表（见附表）</w:t>
      </w:r>
    </w:p>
    <w:p w14:paraId="4AE0E753">
      <w:pPr>
        <w:spacing w:line="240" w:lineRule="auto"/>
        <w:ind w:firstLine="640"/>
        <w:jc w:val="both"/>
      </w:pPr>
      <w:r>
        <w:rPr>
          <w:rFonts w:ascii="仿宋_GB2312" w:hAnsi="仿宋_GB2312" w:eastAsia="仿宋_GB2312"/>
          <w:b w:val="0"/>
          <w:sz w:val="32"/>
        </w:rPr>
        <w:t>一、《收入支出决算总表》</w:t>
      </w:r>
    </w:p>
    <w:p w14:paraId="6EFAAE8D">
      <w:pPr>
        <w:spacing w:line="240" w:lineRule="auto"/>
        <w:ind w:firstLine="640"/>
        <w:jc w:val="both"/>
      </w:pPr>
      <w:r>
        <w:rPr>
          <w:rFonts w:ascii="仿宋_GB2312" w:hAnsi="仿宋_GB2312" w:eastAsia="仿宋_GB2312"/>
          <w:b w:val="0"/>
          <w:sz w:val="32"/>
        </w:rPr>
        <w:t>二、《收入决算表》</w:t>
      </w:r>
    </w:p>
    <w:p w14:paraId="3F6BD3F4">
      <w:pPr>
        <w:spacing w:line="240" w:lineRule="auto"/>
        <w:ind w:firstLine="640"/>
        <w:jc w:val="both"/>
      </w:pPr>
      <w:r>
        <w:rPr>
          <w:rFonts w:ascii="仿宋_GB2312" w:hAnsi="仿宋_GB2312" w:eastAsia="仿宋_GB2312"/>
          <w:b w:val="0"/>
          <w:sz w:val="32"/>
        </w:rPr>
        <w:t>三、《支出决算表》</w:t>
      </w:r>
    </w:p>
    <w:p w14:paraId="6B3CB39B">
      <w:pPr>
        <w:spacing w:line="240" w:lineRule="auto"/>
        <w:ind w:firstLine="640"/>
        <w:jc w:val="both"/>
      </w:pPr>
      <w:r>
        <w:rPr>
          <w:rFonts w:ascii="仿宋_GB2312" w:hAnsi="仿宋_GB2312" w:eastAsia="仿宋_GB2312"/>
          <w:b w:val="0"/>
          <w:sz w:val="32"/>
        </w:rPr>
        <w:t>四、《财政拨款收入支出决算总表》</w:t>
      </w:r>
    </w:p>
    <w:p w14:paraId="65A7FF62">
      <w:pPr>
        <w:spacing w:line="240" w:lineRule="auto"/>
        <w:ind w:firstLine="640"/>
        <w:jc w:val="both"/>
      </w:pPr>
      <w:r>
        <w:rPr>
          <w:rFonts w:ascii="仿宋_GB2312" w:hAnsi="仿宋_GB2312" w:eastAsia="仿宋_GB2312"/>
          <w:b w:val="0"/>
          <w:sz w:val="32"/>
        </w:rPr>
        <w:t>五、《一般公共预算财政拨款支出决算表》</w:t>
      </w:r>
    </w:p>
    <w:p w14:paraId="1233D914">
      <w:pPr>
        <w:spacing w:line="240" w:lineRule="auto"/>
        <w:ind w:firstLine="640"/>
        <w:jc w:val="both"/>
      </w:pPr>
      <w:r>
        <w:rPr>
          <w:rFonts w:ascii="仿宋_GB2312" w:hAnsi="仿宋_GB2312" w:eastAsia="仿宋_GB2312"/>
          <w:b w:val="0"/>
          <w:sz w:val="32"/>
        </w:rPr>
        <w:t>六、《一般公共预算财政拨款基本支出决算表》</w:t>
      </w:r>
    </w:p>
    <w:p w14:paraId="7DB749A5">
      <w:pPr>
        <w:spacing w:line="240" w:lineRule="auto"/>
        <w:ind w:firstLine="640"/>
        <w:jc w:val="both"/>
      </w:pPr>
      <w:r>
        <w:rPr>
          <w:rFonts w:ascii="仿宋_GB2312" w:hAnsi="仿宋_GB2312" w:eastAsia="仿宋_GB2312"/>
          <w:b w:val="0"/>
          <w:sz w:val="32"/>
        </w:rPr>
        <w:t>七、《政府性基金预算财政拨款收入支出决算表》</w:t>
      </w:r>
    </w:p>
    <w:p w14:paraId="1452ABC8">
      <w:pPr>
        <w:spacing w:line="240" w:lineRule="auto"/>
        <w:ind w:firstLine="640"/>
        <w:jc w:val="both"/>
      </w:pPr>
      <w:r>
        <w:rPr>
          <w:rFonts w:ascii="仿宋_GB2312" w:hAnsi="仿宋_GB2312" w:eastAsia="仿宋_GB2312"/>
          <w:b w:val="0"/>
          <w:sz w:val="32"/>
        </w:rPr>
        <w:t>八、《国有资本经营预算财政拨款收入支出决算表》</w:t>
      </w:r>
    </w:p>
    <w:p w14:paraId="54542FE9">
      <w:pPr>
        <w:spacing w:line="240" w:lineRule="auto"/>
        <w:ind w:firstLine="640"/>
        <w:jc w:val="both"/>
      </w:pPr>
      <w:r>
        <w:rPr>
          <w:rFonts w:ascii="仿宋_GB2312" w:hAnsi="仿宋_GB2312" w:eastAsia="仿宋_GB2312"/>
          <w:b w:val="0"/>
          <w:sz w:val="32"/>
        </w:rPr>
        <w:t>九、《财政拨款“三公”经费支出决算表》</w:t>
      </w:r>
    </w:p>
    <w:p w14:paraId="57E47A8C">
      <w:pPr>
        <w:spacing w:line="240" w:lineRule="auto"/>
        <w:ind w:firstLine="640"/>
        <w:jc w:val="both"/>
      </w:pPr>
    </w:p>
    <w:p w14:paraId="25FC88E7">
      <w:pPr>
        <w:spacing w:line="240" w:lineRule="auto"/>
        <w:ind w:firstLine="640"/>
        <w:jc w:val="both"/>
      </w:pPr>
    </w:p>
    <w:p w14:paraId="03B99A97">
      <w:pPr>
        <w:spacing w:line="240" w:lineRule="auto"/>
        <w:ind w:firstLine="640"/>
        <w:jc w:val="both"/>
      </w:pPr>
    </w:p>
    <w:p w14:paraId="292ADC02">
      <w:pPr>
        <w:spacing w:line="240" w:lineRule="auto"/>
        <w:ind w:firstLine="640"/>
        <w:jc w:val="both"/>
      </w:pPr>
    </w:p>
    <w:p w14:paraId="1985985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65E5D"/>
    <w:rsid w:val="20BC0B75"/>
    <w:rsid w:val="20DD6197"/>
    <w:rsid w:val="21F317F2"/>
    <w:rsid w:val="2241392C"/>
    <w:rsid w:val="23BC04D2"/>
    <w:rsid w:val="25275618"/>
    <w:rsid w:val="27CE017C"/>
    <w:rsid w:val="27CF2642"/>
    <w:rsid w:val="282459E2"/>
    <w:rsid w:val="28CC21C8"/>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6F1530"/>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70f42236-d8ca-439f-9136-010dae344fc0</errorID>
      <errorWord>保密</errorWord>
      <group>L1_Sensitive</group>
      <groupName>敏感问题</groupName>
      <ability>L2_UserSensitive</ability>
      <abilityName>自定义敏感词</abilityName>
      <candidateList/>
      <explain>来自自定义敏感词库。</explain>
      <paraID>694F8A08</paraID>
      <start>21</start>
      <end>23</end>
      <status>ignored</status>
      <modifiedWord/>
      <trackRevisions>false</trackRevisions>
    </reviewItem>
    <reviewItem>
      <errorID>01d883c8-1508-46c2-96cb-a5b5c56c650b</errorID>
      <errorWord>民族团结一家亲</errorWord>
      <group>L1_Sensitive</group>
      <groupName>敏感问题</groupName>
      <ability>L2_UserSensitive</ability>
      <abilityName>自定义敏感词</abilityName>
      <candidateList/>
      <explain>来自自定义敏感词库。</explain>
      <paraID>7ADC1744</paraID>
      <start>199</start>
      <end>206</end>
      <status>ignored</status>
      <modifiedWord/>
      <trackRevisions>false</trackRevisions>
    </reviewItem>
    <reviewItem>
      <errorID>a578f7cf-428e-467a-9476-dab5c56a5b0b</errorID>
      <errorWord>宗教</errorWord>
      <group>L1_Sensitive</group>
      <groupName>敏感问题</groupName>
      <ability>L2_UserSensitive</ability>
      <abilityName>自定义敏感词</abilityName>
      <candidateList/>
      <explain>来自自定义敏感词库。</explain>
      <paraID>2388632C</paraID>
      <start>41</start>
      <end>43</end>
      <status>ignored</status>
      <modifiedWord/>
      <trackRevisions>false</trackRevisions>
    </reviewItem>
    <reviewItem>
      <errorID>36c4eda1-3a2c-4fac-bcb4-eecc31282423</errorID>
      <errorWord>统战</errorWord>
      <group>L1_Sensitive</group>
      <groupName>敏感问题</groupName>
      <ability>L2_UserSensitive</ability>
      <abilityName>自定义敏感词</abilityName>
      <candidateList/>
      <explain>来自自定义敏感词库。</explain>
      <paraID>2388632C</paraID>
      <start>50</start>
      <end>52</end>
      <status>ignored</status>
      <modifiedWord/>
      <trackRevisions>false</trackRevisions>
    </reviewItem>
    <reviewItem>
      <errorID>f661e712-3cc7-4448-b4e1-016e8dab2248</errorID>
      <errorWord>计划生育</errorWord>
      <group>L1_Sensitive</group>
      <groupName>敏感问题</groupName>
      <ability>L2_UserSensitive</ability>
      <abilityName>自定义敏感词</abilityName>
      <candidateList/>
      <explain>来自自定义敏感词库。</explain>
      <paraID>6AC2B6E0</paraID>
      <start>12</start>
      <end>16</end>
      <status>ignored</status>
      <modifiedWord/>
      <trackRevisions>false</trackRevisions>
    </reviewItem>
    <reviewItem>
      <errorID>ac5d9aeb-72cd-4412-8191-615755a7b0ed</errorID>
      <errorWord>计划生育</errorWord>
      <group>L1_Sensitive</group>
      <groupName>敏感问题</groupName>
      <ability>L2_UserSensitive</ability>
      <abilityName>自定义敏感词</abilityName>
      <candidateList/>
      <explain>来自自定义敏感词库。</explain>
      <paraID>6AC2B6E0</paraID>
      <start>23</start>
      <end>27</end>
      <status>ignored</status>
      <modifiedWord/>
      <trackRevisions>false</trackRevisions>
    </reviewItem>
    <reviewItem>
      <errorID>940e94d6-442b-4f4a-af95-ca23e00291b4</errorID>
      <errorWord>巩固脱贫攻坚成果</errorWord>
      <group>L1_Other</group>
      <groupName>其他问题</groupName>
      <ability>L2_UserTypo</ability>
      <abilityName>自定义错误</abilityName>
      <candidateList>
        <item>巩固拓展脱贫攻坚成果</item>
      </candidateList>
      <explain>来自自定义错词库。</explain>
      <paraID>6ACBCA3D</paraID>
      <start>11</start>
      <end>19</end>
      <status>ignored</status>
      <modifiedWord/>
      <trackRevisions>false</trackRevisions>
    </reviewItem>
    <reviewItem>
      <errorID>afd28242-9540-4c1b-94be-32339376ee8b</errorID>
      <errorWord>巩固脱贫攻坚成果</errorWord>
      <group>L1_Other</group>
      <groupName>其他问题</groupName>
      <ability>L2_UserTypo</ability>
      <abilityName>自定义错误</abilityName>
      <candidateList>
        <item>巩固拓展脱贫攻坚成果</item>
      </candidateList>
      <explain>来自自定义错词库。</explain>
      <paraID>3C1615BC</paraID>
      <start>11</start>
      <end>19</end>
      <status>ignored</status>
      <modifiedWord/>
      <trackRevisions>false</trackRevisions>
    </reviewItem>
    <reviewItem>
      <errorID>b3197fdf-05c6-4494-a8bf-2794b8501822</errorID>
      <errorWord>巩固脱贫攻坚成果</errorWord>
      <group>L1_Other</group>
      <groupName>其他问题</groupName>
      <ability>L2_UserTypo</ability>
      <abilityName>自定义错误</abilityName>
      <candidateList>
        <item>巩固拓展脱贫攻坚成果</item>
      </candidateList>
      <explain>来自自定义错词库。</explain>
      <paraID>2C38F9B6</paraID>
      <start>11</start>
      <end>19</end>
      <status>ignored</status>
      <modifiedWord/>
      <trackRevisions>false</trackRevisions>
    </reviewItem>
    <reviewItem>
      <errorID>5d61b153-60e8-49b8-a0b5-b41cbd223fb9</errorID>
      <errorWord>巩固脱贫攻坚成果</errorWord>
      <group>L1_Other</group>
      <groupName>其他问题</groupName>
      <ability>L2_UserTypo</ability>
      <abilityName>自定义错误</abilityName>
      <candidateList>
        <item>巩固拓展脱贫攻坚成果</item>
      </candidateList>
      <explain>来自自定义错词库。</explain>
      <paraID>2C38F9B6</paraID>
      <start>30</start>
      <end>38</end>
      <status>ignored</status>
      <modifiedWord/>
      <trackRevisions>false</trackRevisions>
    </reviewItem>
    <reviewItem>
      <errorID>9ed7f965-25ce-4fe3-8c5c-faf832a2fdf8</errorID>
      <errorWord>拆迁补偿</errorWord>
      <group>L1_Sensitive</group>
      <groupName>敏感问题</groupName>
      <ability>L2_UserSensitive</ability>
      <abilityName>自定义敏感词</abilityName>
      <candidateList/>
      <explain>来自自定义敏感词库。</explain>
      <paraID>377E51E0</paraID>
      <start>33</start>
      <end>37</end>
      <status>ignored</status>
      <modifiedWord/>
      <trackRevisions>false</trackRevisions>
    </reviewItem>
    <reviewItem>
      <errorID>20e18f46-02cc-4341-a4f4-5195232c8077</errorID>
      <errorWord>2月31日</errorWord>
      <group>L1_Sensitive</group>
      <groupName>敏感问题</groupName>
      <ability>L2_UserSensitive</ability>
      <abilityName>自定义敏感词</abilityName>
      <candidateList/>
      <explain>来自自定义敏感词库。</explain>
      <paraID>1EBBDFB3</paraID>
      <start>8</start>
      <end>13</end>
      <status>ignored</status>
      <modifiedWord/>
      <trackRevisions>false</trackRevisions>
    </reviewItem>
    <reviewItem>
      <errorID>4ad2dc17-b74b-4293-931d-48354cf78af1</errorID>
      <errorWord>财政资金的使用</errorWord>
      <group>L1_Political</group>
      <groupName>政治性问题</groupName>
      <ability>L2_Keyword</ability>
      <abilityName>固定表述</abilityName>
      <candidateList>
        <item>财政资金使用</item>
      </candidateList>
      <explain>词汇“财政资金使用”在特定场景下为固定表述形式，请确认此处的“财政资金的使用”是否存在不当。</explain>
      <paraID>5A846B9A</paraID>
      <start>141</start>
      <end>147</end>
      <status>modified</status>
      <modifiedWord>财政资金使用</modifiedWord>
      <trackRevisions>false</trackRevisions>
    </reviewItem>
    <reviewItem>
      <errorID>2a8cab1c-3964-424c-965f-7590b76a4626</errorID>
      <errorWord>招聘</errorWord>
      <group>L1_Sensitive</group>
      <groupName>敏感问题</groupName>
      <ability>L2_UserSensitive</ability>
      <abilityName>自定义敏感词</abilityName>
      <candidateList/>
      <explain>来自自定义敏感词库。</explain>
      <paraID>5CCD28A2</paraID>
      <start>552</start>
      <end>554</end>
      <status>unmodified</status>
      <modifiedWord/>
      <trackRevisions>false</trackRevisions>
    </reviewItem>
    <reviewItem>
      <errorID>6220483d-0c9e-4196-a565-904cff809e40</errorID>
      <errorWord>劳动力转移</errorWord>
      <group>L1_Sensitive</group>
      <groupName>敏感问题</groupName>
      <ability>L2_UserSensitive</ability>
      <abilityName>自定义敏感词</abilityName>
      <candidateList/>
      <explain>来自自定义敏感词库。</explain>
      <paraID>5CCD28A2</paraID>
      <start>571</start>
      <end>576</end>
      <status>unmodified</status>
      <modifiedWord/>
      <trackRevisions>false</trackRevisions>
    </reviewItem>
    <reviewItem>
      <errorID>6d19a937-78ff-40cc-8b05-71d0dc213339</errorID>
      <errorWord>劳动力转移</errorWord>
      <group>L1_Sensitive</group>
      <groupName>敏感问题</groupName>
      <ability>L2_UserSensitive</ability>
      <abilityName>自定义敏感词</abilityName>
      <candidateList/>
      <explain>来自自定义敏感词库。</explain>
      <paraID>7A38BFF0</paraID>
      <start>4</start>
      <end>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717e74-c6ab-483a-9c9c-e1f0b34f354c}">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10563</Words>
  <Characters>11894</Characters>
  <Lines>0</Lines>
  <Paragraphs>0</Paragraphs>
  <TotalTime>20</TotalTime>
  <ScaleCrop>false</ScaleCrop>
  <LinksUpToDate>false</LinksUpToDate>
  <CharactersWithSpaces>11902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