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w15="http://schemas.microsoft.com/office/word/2012/wordml" mc:Ignorable="w14 wp14 w15">
  <w:body>
    <w:p>
      <w:pPr/>
      <w:r/>
    </w:p>
    <w:p>
      <w:pPr>
        <w:spacing w:line="560" w:lineRule="exact"/>
        <w:ind w:firstLine="640" w:firstLineChars="200"/>
        <w:jc w:val="left"/>
        <w:rPr>
          <w:rFonts w:ascii="Times New Roman" w:eastAsia="仿宋_GB2312" w:hAnsi="Times New Roman" w:cs="Times New Roman" w:hint="eastAsia"/>
          <w:sz w:val="32"/>
          <w:lang w:val="en-US" w:eastAsia="zh-CN"/>
        </w:rPr>
      </w:pPr>
    </w:p>
    <w:p>
      <w:pPr>
        <w:spacing w:line="560" w:lineRule="exact"/>
        <w:ind w:firstLine="640" w:firstLineChars="200"/>
        <w:jc w:val="left"/>
        <w:rPr>
          <w:rFonts w:ascii="Times New Roman" w:eastAsia="仿宋_GB2312" w:hAnsi="Times New Roman" w:cs="Times New Roman" w:hint="eastAsia"/>
          <w:sz w:val="32"/>
          <w:lang w:val="en-US" w:eastAsia="zh-CN"/>
        </w:rPr>
      </w:pPr>
    </w:p>
    <w:p>
      <w:pPr>
        <w:spacing w:line="560" w:lineRule="exact"/>
        <w:ind w:firstLine="640" w:firstLineChars="200"/>
        <w:jc w:val="left"/>
        <w:rPr>
          <w:rFonts w:ascii="Times New Roman" w:eastAsia="仿宋_GB2312" w:hAnsi="Times New Roman" w:cs="Times New Roman" w:hint="eastAsia"/>
          <w:sz w:val="32"/>
          <w:lang w:val="en-US" w:eastAsia="zh-CN"/>
        </w:rPr>
      </w:pPr>
    </w:p>
    <w:p>
      <w:pPr>
        <w:spacing w:line="560" w:lineRule="exact"/>
        <w:ind w:firstLine="640" w:firstLineChars="200"/>
        <w:jc w:val="left"/>
        <w:rPr>
          <w:rFonts w:ascii="Times New Roman" w:eastAsia="仿宋_GB2312" w:hAnsi="Times New Roman" w:cs="Times New Roman" w:hint="eastAsia"/>
          <w:sz w:val="32"/>
          <w:lang w:val="en-US" w:eastAsia="zh-CN"/>
        </w:rPr>
      </w:pPr>
    </w:p>
    <w:p>
      <w:pPr>
        <w:spacing w:line="560" w:lineRule="exact"/>
        <w:ind w:firstLine="640" w:firstLineChars="200"/>
        <w:jc w:val="left"/>
        <w:rPr>
          <w:rFonts w:ascii="Times New Roman" w:eastAsia="仿宋_GB2312" w:hAnsi="Times New Roman" w:cs="Times New Roman" w:hint="eastAsia"/>
          <w:sz w:val="32"/>
          <w:lang w:val="en-US" w:eastAsia="zh-CN"/>
        </w:rPr>
      </w:pPr>
    </w:p>
    <w:p>
      <w:pPr>
        <w:spacing w:line="560" w:lineRule="exact"/>
        <w:ind w:firstLine="640" w:firstLineChars="200"/>
        <w:jc w:val="left"/>
        <w:rPr>
          <w:rFonts w:ascii="Times New Roman" w:eastAsia="仿宋_GB2312" w:hAnsi="Times New Roman" w:cs="Times New Roman" w:hint="eastAsia"/>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Times New Roman" w:eastAsia="仿宋_GB2312" w:hAnsi="Times New Roman" w:cs="Times New Roman" w:hint="eastAsia"/>
          <w:sz w:val="32"/>
          <w:lang w:val="en-US" w:eastAsia="zh-CN"/>
        </w:rPr>
      </w:pPr>
      <w:r>
        <w:rPr>
          <w:rFonts w:ascii="方正小标宋简体" w:eastAsia="方正小标宋简体" w:hAnsi="方正小标宋简体" w:cs="方正小标宋简体" w:hint="eastAsia"/>
          <w:sz w:val="44"/>
          <w:szCs w:val="44"/>
          <w:lang w:val="en-US" w:eastAsia="zh-CN"/>
        </w:rPr>
        <w:t xml:space="preserve">伊犁州特克斯县乔拉克铁热克镇牧民越冬放牧点生产用房（居住）项目项目支出绩效自评报告</w:t>
      </w:r>
    </w:p>
    <w:p>
      <w:pPr>
        <w:spacing w:line="560" w:lineRule="exact"/>
        <w:ind w:firstLine="640" w:firstLineChars="200"/>
        <w:jc w:val="left"/>
        <w:rPr>
          <w:rFonts w:ascii="Times New Roman" w:eastAsia="仿宋_GB2312" w:hAnsi="Times New Roman" w:cs="Times New Roman" w:hint="eastAsia"/>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（2024年度）</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ascii="Times New Roman" w:eastAsia="仿宋_GB2312" w:hAnsi="Times New Roman" w:cs="Times New Roman" w:hint="eastAsia"/>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ascii="Times New Roman" w:eastAsia="仿宋_GB2312" w:hAnsi="Times New Roman" w:cs="Times New Roman" w:hint="eastAsia"/>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ascii="Times New Roman" w:eastAsia="仿宋_GB2312" w:hAnsi="Times New Roman" w:cs="Times New Roman" w:hint="eastAsia"/>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ascii="Times New Roman" w:eastAsia="仿宋_GB2312" w:hAnsi="Times New Roman" w:cs="Times New Roman" w:hint="eastAsia"/>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2238" w:hanging="1600" w:leftChars="304" w:hangingChars="500"/>
        <w:jc w:val="left"/>
        <w:textAlignment w:val="auto"/>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项目名称：伊犁州特克斯县乔拉克铁热克镇牧民越冬放牧点</w:t>
      </w:r>
      <w:bookmarkStart w:id="0" w:name="_GoBack"/>
      <w:bookmarkEnd w:id="0"/>
      <w:r>
        <w:rPr>
          <w:rFonts w:ascii="Times New Roman" w:eastAsia="仿宋_GB2312" w:hAnsi="Times New Roman" w:cs="Times New Roman" w:hint="eastAsia"/>
          <w:sz w:val="32"/>
          <w:lang w:val="en-US" w:eastAsia="zh-CN"/>
        </w:rPr>
        <w:t xml:space="preserve">生产用房（居住）项目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实施单位（公章）：特克斯县乔拉克铁热克镇人民政府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主管部门（公章）：特克斯县乔拉克铁热克镇人民政府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项目负责人（签章）：夏特力克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填报时间：2025年05月28日</w:t>
      </w:r>
    </w:p>
    <w:p>
      <w:pPr>
        <w:spacing w:line="560" w:lineRule="exact"/>
        <w:ind w:left="0" w:firstLine="0" w:leftChars="0" w:firstLineChars="0"/>
        <w:jc w:val="left"/>
        <w:rPr>
          <w:rFonts w:ascii="Times New Roman" w:eastAsia="仿宋_GB2312" w:hAnsi="Times New Roman" w:cs="Times New Roman" w:hint="eastAsia"/>
          <w:sz w:val="32"/>
          <w:lang w:val="en-US" w:eastAsia="zh-CN"/>
        </w:rPr>
      </w:pPr>
    </w:p>
    <w:p>
      <w:pPr>
        <w:keepNext w:val="0"/>
        <w:keepLines w:val="0"/>
        <w:widowControl w:val="0"/>
        <w:bidi w:val="0"/>
        <w:spacing w:beforeLines="0" w:beforeAutospacing="0" w:afterLines="0" w:afterAutospacing="0" w:line="560" w:lineRule="exact"/>
        <w:ind w:firstLine="640" w:firstLineChars="200"/>
        <w:jc w:val="left"/>
        <w:outlineLvl w:val="0"/>
        <w:rPr>
          <w:rFonts w:ascii="Calibri" w:eastAsia="黑体" w:hAnsi="Calibri" w:cs="Times New Roman" w:hint="eastAsia"/>
          <w:kern w:val="44"/>
          <w:sz w:val="32"/>
          <w:szCs w:val="24"/>
          <w:lang w:val="en-US" w:eastAsia="zh-CN" w:bidi="ar-SA"/>
        </w:rPr>
      </w:pPr>
      <w:r>
        <w:rPr>
          <w:rFonts w:ascii="Calibri" w:eastAsia="黑体" w:hAnsi="Calibri" w:cs="Times New Roman" w:hint="eastAsia"/>
          <w:kern w:val="44"/>
          <w:sz w:val="32"/>
          <w:szCs w:val="24"/>
          <w:lang w:val="en-US" w:eastAsia="zh-CN" w:bidi="ar-SA"/>
        </w:rPr>
        <w:t xml:space="preserve">一、基本情况</w:t>
      </w:r>
    </w:p>
    <w:p>
      <w:pPr>
        <w:keepNext w:val="0"/>
        <w:keepLines w:val="0"/>
        <w:widowControl w:val="0"/>
        <w:bidi w:val="0"/>
        <w:spacing w:beforeLines="0" w:beforeAutospacing="0" w:afterLines="0" w:afterAutospacing="0" w:line="560" w:lineRule="exact"/>
        <w:ind w:firstLine="640" w:firstLineChars="200"/>
        <w:jc w:val="left"/>
        <w:outlineLvl w:val="1"/>
        <w:rPr>
          <w:rFonts w:ascii="Arial" w:eastAsia="楷体_GB2312" w:hAnsi="Arial" w:cs="Times New Roman" w:hint="eastAsia"/>
          <w:kern w:val="2"/>
          <w:sz w:val="32"/>
          <w:szCs w:val="24"/>
          <w:lang w:val="en-US" w:eastAsia="zh-CN" w:bidi="ar-SA"/>
        </w:rPr>
      </w:pPr>
      <w:r>
        <w:rPr>
          <w:rFonts w:ascii="Arial" w:eastAsia="楷体_GB2312" w:hAnsi="Arial" w:cs="Times New Roman" w:hint="eastAsia"/>
          <w:kern w:val="2"/>
          <w:sz w:val="32"/>
          <w:szCs w:val="24"/>
          <w:lang w:val="en-US" w:eastAsia="zh-CN" w:bidi="ar-SA"/>
        </w:rPr>
        <w:t xml:space="preserve">（一）项目概况。</w:t>
      </w:r>
    </w:p>
    <w:p>
      <w:pPr>
        <w:keepNext w:val="0"/>
        <w:keepLines w:val="0"/>
        <w:widowControl w:val="0"/>
        <w:bidi w:val="0"/>
        <w:spacing w:beforeLines="0" w:beforeAutospacing="0" w:afterLines="0" w:afterAutospacing="0" w:line="560" w:lineRule="exact"/>
        <w:ind w:firstLine="640" w:firstLineChars="200"/>
        <w:jc w:val="left"/>
        <w:outlineLvl w:val="2"/>
        <w:rPr>
          <w:rFonts w:ascii="Calibri" w:eastAsia="仿宋_GB2312" w:hAnsi="Calibri" w:cs="Times New Roman" w:hint="eastAsia"/>
          <w:kern w:val="2"/>
          <w:sz w:val="32"/>
          <w:szCs w:val="24"/>
          <w:lang w:val="en-US" w:eastAsia="zh-CN" w:bidi="ar-SA"/>
        </w:rPr>
      </w:pPr>
      <w:r>
        <w:rPr>
          <w:rFonts w:ascii="Calibri" w:eastAsia="仿宋_GB2312" w:hAnsi="Calibri" w:cs="Times New Roman" w:hint="eastAsia"/>
          <w:kern w:val="2"/>
          <w:sz w:val="32"/>
          <w:szCs w:val="24"/>
          <w:lang w:val="en-US" w:eastAsia="zh-CN" w:bidi="ar-SA"/>
        </w:rPr>
        <w:t xml:space="preserve">1.项目背景</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为认真贯彻落实自治区、自治州、县委2024年“十件民生实事”工作要求，坚持“人民至上、生命至上”，及时消除牧民越冬放牧点生产用房(居住)安全隐患，保障我镇各族农牧民群众的生命财产安全。依据：《关于申请特克斯县乔拉克铁热克镇农牧民越冬放牧点生产用房（居住）建设项目拨付工程款的报告》《关于下达2024年城乡抗震安居工程建设民生实施资金预算的通知》伊州财建【2024】81号。</w:t>
      </w:r>
    </w:p>
    <w:p>
      <w:pPr>
        <w:keepNext w:val="0"/>
        <w:keepLines w:val="0"/>
        <w:widowControl w:val="0"/>
        <w:bidi w:val="0"/>
        <w:spacing w:beforeLines="0" w:beforeAutospacing="0" w:afterLines="0" w:afterAutospacing="0" w:line="560" w:lineRule="exact"/>
        <w:ind w:firstLine="640" w:firstLineChars="200"/>
        <w:jc w:val="left"/>
        <w:outlineLvl w:val="2"/>
        <w:rPr>
          <w:rFonts w:ascii="Calibri" w:eastAsia="仿宋_GB2312" w:hAnsi="Calibri" w:cs="Times New Roman" w:hint="eastAsia"/>
          <w:kern w:val="2"/>
          <w:sz w:val="32"/>
          <w:szCs w:val="24"/>
          <w:lang w:val="en-US" w:eastAsia="zh-CN" w:bidi="ar-SA"/>
        </w:rPr>
      </w:pPr>
      <w:r>
        <w:rPr>
          <w:rFonts w:ascii="Calibri" w:eastAsia="仿宋_GB2312" w:hAnsi="Calibri" w:cs="Times New Roman" w:hint="eastAsia"/>
          <w:kern w:val="2"/>
          <w:sz w:val="32"/>
          <w:szCs w:val="24"/>
          <w:lang w:val="en-US" w:eastAsia="zh-CN" w:bidi="ar-SA"/>
        </w:rPr>
        <w:t xml:space="preserve">2.项目主要内容：</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项目主要内容：对镇区范围牧民越冬放牧点生产用房(居住)进行拆除新建,选择有资质施工单位进行建设，强化设计、施工、工程质量、验收等相关环节监管，并邀请工程监理，验收工程质量，力争2024年10月底前，完成拆除及新建工作。在综合研判我镇牧区地质结构和运费的基础上，实施面积为16平方米轻钢结构、木结构房屋，共建127户，单户建房价格控制在3万元以内，同时达到抗震、保温、防水要求，牧民越冬放牧点生产用房(居住)建成后上级有关部门按照相关要求进行验收。并对牧民越冬放牧点生产用房(居住)建立一户一策档案。</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项目实施情况：项目目前已经完成实际设立的目标，项目在实施过程中严格按照目标设立的各阶段任务进行开展工作，在前期立项过程中严格把质量关，建立安全防护机制，保证项目实施各阶段安全顺利进行。</w:t>
      </w:r>
    </w:p>
    <w:p>
      <w:pPr>
        <w:keepNext w:val="0"/>
        <w:keepLines w:val="0"/>
        <w:widowControl w:val="0"/>
        <w:bidi w:val="0"/>
        <w:spacing w:beforeLines="0" w:beforeAutospacing="0" w:afterLines="0" w:afterAutospacing="0" w:line="560" w:lineRule="exact"/>
        <w:ind w:firstLine="640" w:firstLineChars="200"/>
        <w:jc w:val="left"/>
        <w:outlineLvl w:val="2"/>
        <w:rPr>
          <w:rFonts w:ascii="Calibri" w:eastAsia="仿宋_GB2312" w:hAnsi="Calibri" w:cs="Times New Roman" w:hint="eastAsia"/>
          <w:kern w:val="2"/>
          <w:sz w:val="32"/>
          <w:szCs w:val="24"/>
          <w:lang w:val="en-US" w:eastAsia="zh-CN" w:bidi="ar-SA"/>
        </w:rPr>
      </w:pPr>
      <w:r>
        <w:rPr>
          <w:rFonts w:ascii="Calibri" w:eastAsia="仿宋_GB2312" w:hAnsi="Calibri" w:cs="Times New Roman" w:hint="eastAsia"/>
          <w:kern w:val="2"/>
          <w:sz w:val="32"/>
          <w:szCs w:val="24"/>
          <w:lang w:val="en-US" w:eastAsia="zh-CN" w:bidi="ar-SA"/>
        </w:rPr>
        <w:t xml:space="preserve">3.资金投入和使用情况</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（1）资金投入情况</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该项目年初预算数381万元，全年预算数381万元，该项目资金已全部落实到位，资金来源为伊犁州2024年城乡抗震安居工程建设民生实施资金。</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（2）资金使用情况</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该项目年初预算数381万元，全年预算数381万元，全年执行数304.8万元，预算执行率为80%，主要用于：牧民越冬放牧点生产用房建设。</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Arial" w:eastAsia="楷体_GB2312" w:hAnsi="Arial" w:cs="Times New Roman" w:hint="eastAsia"/>
          <w:sz w:val="32"/>
          <w:lang w:val="en-US" w:eastAsia="zh-CN"/>
        </w:rPr>
        <w:t xml:space="preserve">（二）项目绩效目标。</w:t>
      </w:r>
    </w:p>
    <w:p>
      <w:pPr>
        <w:keepNext w:val="0"/>
        <w:keepLines w:val="0"/>
        <w:widowControl w:val="0"/>
        <w:bidi w:val="0"/>
        <w:spacing w:beforeLines="0" w:beforeAutospacing="0" w:afterLines="0" w:afterAutospacing="0" w:line="560" w:lineRule="exact"/>
        <w:ind w:firstLine="640" w:firstLineChars="200"/>
        <w:jc w:val="left"/>
        <w:outlineLvl w:val="2"/>
        <w:rPr>
          <w:rFonts w:ascii="Calibri" w:eastAsia="仿宋_GB2312" w:hAnsi="Calibri" w:cs="Times New Roman" w:hint="eastAsia"/>
          <w:kern w:val="2"/>
          <w:sz w:val="32"/>
          <w:szCs w:val="24"/>
          <w:lang w:val="en-US" w:eastAsia="zh-CN" w:bidi="ar-SA"/>
        </w:rPr>
      </w:pPr>
      <w:r>
        <w:rPr>
          <w:rFonts w:ascii="Calibri" w:eastAsia="仿宋_GB2312" w:hAnsi="Calibri" w:cs="Times New Roman" w:hint="eastAsia"/>
          <w:kern w:val="2"/>
          <w:sz w:val="32"/>
          <w:szCs w:val="24"/>
          <w:lang w:val="en-US" w:eastAsia="zh-CN" w:bidi="ar-SA"/>
        </w:rPr>
        <w:t xml:space="preserve">1.总体目标</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通过《关于下达2024年城乡抗震安居工程建设民生实施资金预算的通知》伊州财建【2024】81号，完成拆除及新建工作。在综合研判我镇牧区地质结构和运费的基础上，实施面积为16平方米轻钢结构、木结构房屋，共建127户，单户建房价格控制在3万元以内，同时达到抗震、保温、防水要求，牧民越冬放牧点生产用房(居住)建成后上级有关部门按照相关要求进行验收。改善牧民生活环境，提供牧民住房保障，提供居民生活水平。</w:t>
      </w:r>
    </w:p>
    <w:p>
      <w:pPr>
        <w:keepNext w:val="0"/>
        <w:keepLines w:val="0"/>
        <w:widowControl w:val="0"/>
        <w:bidi w:val="0"/>
        <w:spacing w:beforeLines="0" w:beforeAutospacing="0" w:afterLines="0" w:afterAutospacing="0" w:line="560" w:lineRule="exact"/>
        <w:ind w:firstLine="640" w:firstLineChars="200"/>
        <w:jc w:val="left"/>
        <w:outlineLvl w:val="2"/>
        <w:rPr>
          <w:rFonts w:ascii="Calibri" w:eastAsia="仿宋_GB2312" w:hAnsi="Calibri" w:cs="Times New Roman" w:hint="eastAsia"/>
          <w:kern w:val="2"/>
          <w:sz w:val="32"/>
          <w:szCs w:val="24"/>
          <w:lang w:val="en-US" w:eastAsia="zh-CN" w:bidi="ar-SA"/>
        </w:rPr>
      </w:pPr>
      <w:r>
        <w:rPr>
          <w:rFonts w:ascii="Calibri" w:eastAsia="仿宋_GB2312" w:hAnsi="Calibri" w:cs="Times New Roman" w:hint="eastAsia"/>
          <w:kern w:val="2"/>
          <w:sz w:val="32"/>
          <w:szCs w:val="24"/>
          <w:lang w:val="en-US" w:eastAsia="zh-CN" w:bidi="ar-SA"/>
        </w:rPr>
        <w:t xml:space="preserve">2.阶段性目标</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2024年8月1日至9月1日完成项目前期手续</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2024年9月10日开工建设</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2024年11月30日前完成项目竣工验收</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2025年5月完成项目绩效自评工作。</w:t>
      </w:r>
    </w:p>
    <w:p>
      <w:pPr>
        <w:keepNext w:val="0"/>
        <w:keepLines w:val="0"/>
        <w:widowControl w:val="0"/>
        <w:bidi w:val="0"/>
        <w:spacing w:beforeLines="0" w:beforeAutospacing="0" w:afterLines="0" w:afterAutospacing="0" w:line="560" w:lineRule="exact"/>
        <w:ind w:firstLine="640" w:firstLineChars="200"/>
        <w:jc w:val="left"/>
        <w:outlineLvl w:val="0"/>
        <w:rPr>
          <w:rFonts w:ascii="Calibri" w:eastAsia="黑体" w:hAnsi="Calibri" w:cs="Times New Roman" w:hint="eastAsia"/>
          <w:kern w:val="44"/>
          <w:sz w:val="32"/>
          <w:szCs w:val="24"/>
          <w:lang w:val="en-US" w:eastAsia="zh-CN" w:bidi="ar-SA"/>
        </w:rPr>
      </w:pPr>
      <w:r>
        <w:rPr>
          <w:rFonts w:ascii="Calibri" w:eastAsia="黑体" w:hAnsi="Calibri" w:cs="Times New Roman" w:hint="eastAsia"/>
          <w:kern w:val="44"/>
          <w:sz w:val="32"/>
          <w:szCs w:val="24"/>
          <w:lang w:val="en-US" w:eastAsia="zh-CN" w:bidi="ar-SA"/>
        </w:rPr>
        <w:t xml:space="preserve">二、绩效评价工作开展情况</w:t>
      </w:r>
    </w:p>
    <w:p>
      <w:pPr>
        <w:keepNext w:val="0"/>
        <w:keepLines w:val="0"/>
        <w:widowControl w:val="0"/>
        <w:bidi w:val="0"/>
        <w:spacing w:beforeLines="0" w:beforeAutospacing="0" w:afterLines="0" w:afterAutospacing="0" w:line="560" w:lineRule="exact"/>
        <w:ind w:firstLine="640" w:firstLineChars="200"/>
        <w:jc w:val="left"/>
        <w:outlineLvl w:val="1"/>
        <w:rPr>
          <w:rFonts w:ascii="Arial" w:eastAsia="楷体_GB2312" w:hAnsi="Arial" w:cs="Times New Roman" w:hint="eastAsia"/>
          <w:kern w:val="2"/>
          <w:sz w:val="32"/>
          <w:szCs w:val="24"/>
          <w:lang w:val="en-US" w:eastAsia="zh-CN" w:bidi="ar-SA"/>
        </w:rPr>
      </w:pPr>
      <w:r>
        <w:rPr>
          <w:rFonts w:ascii="Arial" w:eastAsia="楷体_GB2312" w:hAnsi="Arial" w:cs="Times New Roman" w:hint="eastAsia"/>
          <w:kern w:val="2"/>
          <w:sz w:val="32"/>
          <w:szCs w:val="24"/>
          <w:lang w:val="en-US" w:eastAsia="zh-CN" w:bidi="ar-SA"/>
        </w:rPr>
        <w:t xml:space="preserve">（一）绩效评价目的、对象和范围。</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1.绩效评价完整性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在评价指标体系的构建上，充分考虑了项目的性质、目标以及预期成果，选取了具有代表性和可衡量性的关键指标，涵盖了经济效益、社会效益、生态效益等多个维度，力求全方位反映项目的绩效状况。同时，对于每个指标的评价标准和数据来源均进行了明确说明，确保评价结果的客观性和可追溯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在数据收集与分析环节，采用了多种科学合理的方法，如实地调研、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2.绩效评价的目的</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（1）评估项目实施效果</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通过对项目预算执行情况及各项绩效目标达成程度的系统性分析，全面、客观地评估项目在预定周期内的实施效果，包括经济效益、社会效益、生态效益以及可持续性等多维度指标，为项目后续的改进与优化提供科学依据。</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（2）提升资源利用效率</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（3）强化项目管理责任</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（4）为决策提供支持</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（5）促进项目持续改进</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3.绩效评价的对象</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项目预算绩效评价报告的评价对象是伊犁州特克斯县乔拉克铁热克镇2024年牧民越冬放牧点生产用房建设项目及其预算执行情况。该项目由特克斯县乔拉克铁热克镇人民政府负责实施，旨在改善本镇牧民生活环境，提供牧民住房保障，提供居民生活水平。项目预算涵盖从2024年9月30日至2024年11月30日的全部资金投入与支出，涉及资金总额为381万元。</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4.绩效评价的范围</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本项目预算绩效评价报告的评价范围广泛而全面，涵盖了从项目立项至评价时点期间的所有关键预算活动和财务流程。具体而言，评价范围包括但不限于以下几个方面：</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（1）项目预算编制与执行：全面审视项目预算的编制依据、合理性、科学性以及实际执行情况，包括预算调整的原因和效果。</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（2）资金管理：深入分析项目资金的分配、使用和监管情况，确保资金使用的合规性、高效性和透明度。</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（3）项目实施进度与产出：评估项目是否按照既定计划顺利推进，各项任务是否按时完成，以及项目产出的数量、质量和时效性是否符合预期。</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（4）社会、生态等影响：考察项目对社会、生态、经济等方面的综合影响。</w:t>
      </w:r>
    </w:p>
    <w:p>
      <w:pPr>
        <w:keepNext w:val="0"/>
        <w:keepLines w:val="0"/>
        <w:widowControl w:val="0"/>
        <w:bidi w:val="0"/>
        <w:spacing w:beforeLines="0" w:beforeAutospacing="0" w:afterLines="0" w:afterAutospacing="0" w:line="560" w:lineRule="exact"/>
        <w:ind w:firstLine="640" w:firstLineChars="200"/>
        <w:jc w:val="left"/>
        <w:outlineLvl w:val="1"/>
        <w:rPr>
          <w:rFonts w:ascii="Arial" w:eastAsia="楷体_GB2312" w:hAnsi="Arial" w:cs="Times New Roman" w:hint="eastAsia"/>
          <w:kern w:val="2"/>
          <w:sz w:val="32"/>
          <w:szCs w:val="24"/>
          <w:lang w:val="en-US" w:eastAsia="zh-CN" w:bidi="ar-SA"/>
        </w:rPr>
      </w:pPr>
      <w:r>
        <w:rPr>
          <w:rFonts w:ascii="Arial" w:eastAsia="楷体_GB2312" w:hAnsi="Arial" w:cs="Times New Roman" w:hint="eastAsia"/>
          <w:kern w:val="2"/>
          <w:sz w:val="32"/>
          <w:szCs w:val="24"/>
          <w:lang w:val="en-US" w:eastAsia="zh-CN" w:bidi="ar-SA"/>
        </w:rPr>
        <w:t xml:space="preserve">（二）绩效评价原则、评价指标体系（附表说明）、评价方法、评价标准等。</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1.绩效评价原则</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本次项目绩效评价遵循以下基本原则：</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（1）科学公正。绩效评价应当运用科学合理的方法，按照规范的程序，对项目绩效进行客观、公正的反映。</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（2）统筹兼顾。单位自评、部门评价和财政评价应职责明确，各有侧重，相互衔接。单位自评应由项目单位自主实施，即“谁支出、谁自评”。部门评价和财政评价应在单位自评的基础上开展。</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（3）激励约束。绩效评价结果应与预算安排、政策调整、改进管理实质性挂钩，体现奖优罚劣和激励相容导向，有效要安排、低效要压减、无效要问责。</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（4）公开透明。绩效评价结果应依法依规公开，并自觉接受社会监督。</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2.评价指标体系</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绩效评价框架是开展绩效评价的核心。绩效评价框架包括评价准则、关键评价问题、评价指标、数据来源、数据收集方法等。指标体系建立过程如下：</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（1）确定评价指标</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（2）确定权重</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（3）确定指标标准值</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指标标准值是绩效评价指标的尺度，既要反映同类项目的先进水平，又要符合项目的实际绩效水平。具体采用计划标准等确定此次绩效评价指标标准值。</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绩效评价总分值100分，根据综合评分结果，90（含）-100分为优、80（含）-90分为良、60（含）-80分为中、60分以下为差。</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具体评价指标体系详情见附件1</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3.绩效评价方法</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（一）成本效益分析法。是指将投入与产出、效益进行关联性分析的方法。 </w:t>
      </w:r>
    </w:p>
    <w:p>
      <w:pPr>
        <w:spacing w:line="560" w:lineRule="exact"/>
        <w:ind w:firstLine="640" w:firstLineChars="200"/>
        <w:jc w:val="left"/>
        <w:rPr>
          <w:rFonts w:ascii="Times New Roman" w:eastAsia="仿宋_GB2312" w:hAnsi="Times New Roman" w:cs="Times New Roman" w:hint="eastAsia"/>
          <w:sz w:val="32"/>
          <w:lang w:val="en-US" w:eastAsia="zh-CN"/>
        </w:rPr>
      </w:pP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（二）因素分析法。是指综合分析影响绩效目标实现、实施效果的内外部因素的方法。</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（三）公众评判法。是指通过专家评估、公众问卷及抽样调查等方式进行评判的方法。</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4.评价标准</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绩效评价标准通常包括计划标准、行业标准、历史标准等，用于对绩效指标完成情况进行比较、分析、评价。本次评价主要采用了计划标准。</w:t>
      </w:r>
    </w:p>
    <w:p>
      <w:pPr>
        <w:keepNext w:val="0"/>
        <w:keepLines w:val="0"/>
        <w:widowControl w:val="0"/>
        <w:bidi w:val="0"/>
        <w:spacing w:beforeLines="0" w:beforeAutospacing="0" w:afterLines="0" w:afterAutospacing="0" w:line="560" w:lineRule="exact"/>
        <w:ind w:firstLine="640" w:firstLineChars="200"/>
        <w:jc w:val="left"/>
        <w:outlineLvl w:val="1"/>
        <w:rPr>
          <w:rFonts w:ascii="Arial" w:eastAsia="楷体_GB2312" w:hAnsi="Arial" w:cs="Times New Roman" w:hint="eastAsia"/>
          <w:kern w:val="2"/>
          <w:sz w:val="32"/>
          <w:szCs w:val="24"/>
          <w:lang w:val="en-US" w:eastAsia="zh-CN" w:bidi="ar-SA"/>
        </w:rPr>
      </w:pPr>
      <w:r>
        <w:rPr>
          <w:rFonts w:ascii="Arial" w:eastAsia="楷体_GB2312" w:hAnsi="Arial" w:cs="Times New Roman" w:hint="eastAsia"/>
          <w:kern w:val="2"/>
          <w:sz w:val="32"/>
          <w:szCs w:val="24"/>
          <w:lang w:val="en-US" w:eastAsia="zh-CN" w:bidi="ar-SA"/>
        </w:rPr>
        <w:t xml:space="preserve">（三）绩效评价工作过程。</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（1）前期准备与规划</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（2）指标体系构建</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（3）数据收集与整理</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（4）数据分析与评估</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（5）报告撰写与反馈</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（6）后续跟踪与改进</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keepNext w:val="0"/>
        <w:keepLines w:val="0"/>
        <w:widowControl w:val="0"/>
        <w:bidi w:val="0"/>
        <w:spacing w:beforeLines="0" w:beforeAutospacing="0" w:afterLines="0" w:afterAutospacing="0" w:line="560" w:lineRule="exact"/>
        <w:ind w:firstLine="640" w:firstLineChars="200"/>
        <w:jc w:val="left"/>
        <w:outlineLvl w:val="0"/>
        <w:rPr>
          <w:rFonts w:ascii="Calibri" w:eastAsia="黑体" w:hAnsi="Calibri" w:cs="Times New Roman" w:hint="eastAsia"/>
          <w:kern w:val="44"/>
          <w:sz w:val="32"/>
          <w:szCs w:val="24"/>
          <w:lang w:val="en-US" w:eastAsia="zh-CN" w:bidi="ar-SA"/>
        </w:rPr>
      </w:pPr>
      <w:r>
        <w:rPr>
          <w:rFonts w:ascii="Calibri" w:eastAsia="黑体" w:hAnsi="Calibri" w:cs="Times New Roman" w:hint="eastAsia"/>
          <w:kern w:val="44"/>
          <w:sz w:val="32"/>
          <w:szCs w:val="24"/>
          <w:lang w:val="en-US" w:eastAsia="zh-CN" w:bidi="ar-SA"/>
        </w:rPr>
        <w:t xml:space="preserve">三、综合评价情况及评价结论</w:t>
      </w:r>
    </w:p>
    <w:p>
      <w:pPr>
        <w:keepNext w:val="0"/>
        <w:keepLines w:val="0"/>
        <w:widowControl w:val="0"/>
        <w:bidi w:val="0"/>
        <w:spacing w:beforeLines="0" w:beforeAutospacing="0" w:afterLines="0" w:afterAutospacing="0" w:line="560" w:lineRule="exact"/>
        <w:ind w:firstLine="640" w:firstLineChars="200"/>
        <w:jc w:val="left"/>
        <w:outlineLvl w:val="1"/>
        <w:rPr>
          <w:rFonts w:ascii="Arial" w:eastAsia="楷体_GB2312" w:hAnsi="Arial" w:cs="Times New Roman" w:hint="eastAsia"/>
          <w:kern w:val="2"/>
          <w:sz w:val="32"/>
          <w:szCs w:val="24"/>
          <w:lang w:val="en-US" w:eastAsia="zh-CN" w:bidi="ar-SA"/>
        </w:rPr>
      </w:pPr>
      <w:r>
        <w:rPr>
          <w:rFonts w:ascii="Arial" w:eastAsia="楷体_GB2312" w:hAnsi="Arial" w:cs="Times New Roman" w:hint="eastAsia"/>
          <w:kern w:val="2"/>
          <w:sz w:val="32"/>
          <w:szCs w:val="24"/>
          <w:lang w:val="en-US" w:eastAsia="zh-CN" w:bidi="ar-SA"/>
        </w:rPr>
        <w:t xml:space="preserve">（一）评价情况</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项目的综合评价基于对项目各方面绩效的深入分析与评估。从项目目标的达成情况来看，伊犁州特克斯县乔拉克铁热克镇2024年牧民越冬放牧点生产用房建设项目在改善牧民生活环境，提供牧民住房保障，提供居民生活水平等方面表现出色，达到了预期的标准与要求。同时，项目也在项目实施后取得了显著的成效，如完成127套牧民生产用房，达到了抗震、保温、防水等要求，切实改善了牧民越冬放牧点生产生活环境等。</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在项目管理方面，特克斯县乔拉克铁热克镇人民政府通过有效的规划、组织与协调，项目得以顺利实施，并在预算与时间上保持了良好的控制。</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从项目效益的角度来看，本项目不仅实现了预期的社会效益、生态效益、经济效益等方面产生了积极的影响。具体而言，城乡抗震安居工程建设房屋安全隐患排查整治成果等方面的提升，为项目的利益相关者带来了实实在在的利益。</w:t>
      </w:r>
    </w:p>
    <w:p>
      <w:pPr>
        <w:spacing w:line="560" w:lineRule="exact"/>
        <w:ind w:firstLine="640" w:firstLineChars="200"/>
        <w:jc w:val="left"/>
        <w:rPr>
          <w:rFonts w:ascii="Times New Roman" w:eastAsia="仿宋_GB2312" w:hAnsi="Times New Roman" w:cs="Times New Roman" w:hint="eastAsia"/>
          <w:sz w:val="32"/>
          <w:lang w:val="en-US" w:eastAsia="zh-CN"/>
        </w:rPr>
      </w:pP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综上所述，伊犁州特克斯县乔拉克铁热克镇2024年牧民越冬放牧点生产用房建设项目在绩效评价中表现出色，达到了项目的预期目标，并在多个方面取得了显著的成效。</w:t>
      </w:r>
    </w:p>
    <w:p>
      <w:pPr>
        <w:keepNext w:val="0"/>
        <w:keepLines w:val="0"/>
        <w:widowControl w:val="0"/>
        <w:bidi w:val="0"/>
        <w:spacing w:beforeLines="0" w:beforeAutospacing="0" w:afterLines="0" w:afterAutospacing="0" w:line="560" w:lineRule="exact"/>
        <w:ind w:firstLine="640" w:firstLineChars="200"/>
        <w:jc w:val="left"/>
        <w:outlineLvl w:val="1"/>
        <w:rPr>
          <w:rFonts w:ascii="Arial" w:eastAsia="楷体_GB2312" w:hAnsi="Arial" w:cs="Times New Roman" w:hint="eastAsia"/>
          <w:kern w:val="2"/>
          <w:sz w:val="32"/>
          <w:szCs w:val="24"/>
          <w:lang w:val="en-US" w:eastAsia="zh-CN" w:bidi="ar-SA"/>
        </w:rPr>
      </w:pPr>
      <w:r>
        <w:rPr>
          <w:rFonts w:ascii="Arial" w:eastAsia="楷体_GB2312" w:hAnsi="Arial" w:cs="Times New Roman" w:hint="eastAsia"/>
          <w:kern w:val="2"/>
          <w:sz w:val="32"/>
          <w:szCs w:val="24"/>
          <w:lang w:val="en-US" w:eastAsia="zh-CN" w:bidi="ar-SA"/>
        </w:rPr>
        <w:t xml:space="preserve">（二）评价结论</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 100%。项目过程类指标权重为20分，得分为20分，得分率为100%。项目产出类指标权重为40分，得分为40分，得分率为100%。项目效益类指标权重为20分，得分为20分，得分率为100%。具体打分情况详见：附件1综合评分表。</w:t>
      </w:r>
    </w:p>
    <w:p>
      <w:pPr>
        <w:keepNext w:val="0"/>
        <w:keepLines w:val="0"/>
        <w:pageBreakBefore w:val="0"/>
        <w:widowControl/>
        <w:kinsoku/>
        <w:wordWrap/>
        <w:overflowPunct/>
        <w:topLinePunct w:val="0"/>
        <w:autoSpaceDE/>
        <w:autoSpaceDN/>
        <w:bidi w:val="0"/>
        <w:adjustRightInd/>
        <w:snapToGrid/>
        <w:spacing w:before="0" w:after="0" w:line="560" w:lineRule="exact"/>
        <w:ind w:firstLine="420" w:firstLineChars="200"/>
        <w:jc w:val="center"/>
        <w:textAlignment w:val="auto"/>
        <w:outlineLvl w:val="0"/>
        <w:rPr>
          <w:rFonts w:ascii="Times New Roman" w:eastAsia="仿宋_GB2312" w:hAnsi="Times New Roman" w:cs="Times New Roman" w:hint="default"/>
          <w:b/>
          <w:bCs/>
          <w:kern w:val="28"/>
          <w:sz w:val="21"/>
          <w:szCs w:val="21"/>
          <w:highlight w:val="none"/>
          <w:lang w:val="en-US" w:eastAsia="zh-CN" w:bidi="ar-SA"/>
        </w:rPr>
      </w:pPr>
      <w:r>
        <w:rPr>
          <w:rFonts w:ascii="Times New Roman" w:eastAsia="仿宋_GB2312" w:hAnsi="Times New Roman" w:cs="Times New Roman" w:hint="default"/>
          <w:b/>
          <w:bCs/>
          <w:kern w:val="28"/>
          <w:sz w:val="21"/>
          <w:szCs w:val="21"/>
          <w:highlight w:val="none"/>
          <w:lang w:val="en-US" w:eastAsia="zh-CN" w:bidi="ar-SA"/>
        </w:rPr>
        <w:t xml:space="preserve">表1综合评分表</w:t>
      </w:r>
    </w:p>
    <w:tbl>
      <w:tblPr>
        <w:tblStyle w:val="NormalTable"/>
        <w:tblW w:w="7583" w:type="dxa"/>
        <w:jc w:val="center"/>
        <w:tblLayout w:type="fixed"/>
        <w:tblCellMar>
          <w:top w:w="0" w:type="dxa"/>
          <w:left w:w="108" w:type="dxa"/>
          <w:bottom w:w="0" w:type="dxa"/>
          <w:right w:w="108" w:type="dxa"/>
        </w:tblCellMar>
        <w:tblLook w:firstRow="0" w:lastRow="0" w:firstColumn="0" w:lastColumn="0" w:noHBand="1" w:noVBand="1"/>
      </w:tblPr>
      <w:tblGrid>
        <w:gridCol w:w="3137"/>
        <w:gridCol w:w="2168"/>
        <w:gridCol w:w="2278"/>
      </w:tblGrid>
      <w:tr>
        <w:tblPrEx>
          <w:tblW w:w="7583" w:type="dxa"/>
          <w:tblLayout w:type="fixed"/>
          <w:tblCellMar>
            <w:top w:w="0" w:type="dxa"/>
            <w:left w:w="108" w:type="dxa"/>
            <w:bottom w:w="0" w:type="dxa"/>
            <w:right w:w="108" w:type="dxa"/>
          </w:tblCellMar>
        </w:tblPrEx>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EBEBE"/>
            <w:vAlign w:val="center"/>
          </w:tcPr>
          <w:p>
            <w:pPr>
              <w:spacing w:line="560" w:lineRule="exact"/>
              <w:ind w:left="0" w:firstLine="0" w:leftChars="0" w:firstLineChars="0"/>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一级指标</w:t>
            </w:r>
          </w:p>
        </w:tc>
        <w:tc>
          <w:tcPr>
            <w:tcW w:w="2168" w:type="dxa"/>
            <w:tcBorders>
              <w:top w:val="single" w:sz="4" w:space="0" w:color="auto"/>
              <w:left w:val="nil"/>
              <w:bottom w:val="single" w:sz="4" w:space="0" w:color="auto"/>
              <w:right w:val="single" w:sz="4" w:space="0" w:color="auto"/>
            </w:tcBorders>
            <w:shd w:val="clear" w:color="000000" w:fill="BEBEBE"/>
            <w:vAlign w:val="center"/>
          </w:tcPr>
          <w:p>
            <w:pPr>
              <w:spacing w:line="560" w:lineRule="exact"/>
              <w:ind w:left="0" w:firstLine="0" w:leftChars="0" w:firstLineChars="0"/>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权重分</w:t>
            </w:r>
          </w:p>
        </w:tc>
        <w:tc>
          <w:tcPr>
            <w:tcW w:w="2278" w:type="dxa"/>
            <w:tcBorders>
              <w:top w:val="single" w:sz="4" w:space="0" w:color="auto"/>
              <w:left w:val="nil"/>
              <w:bottom w:val="single" w:sz="4" w:space="0" w:color="auto"/>
              <w:right w:val="single" w:sz="4" w:space="0" w:color="auto"/>
            </w:tcBorders>
            <w:shd w:val="clear" w:color="000000" w:fill="BEBEBE"/>
            <w:vAlign w:val="center"/>
          </w:tcPr>
          <w:p>
            <w:pPr>
              <w:spacing w:line="560" w:lineRule="exact"/>
              <w:ind w:left="0" w:firstLine="0" w:leftChars="0" w:firstLineChars="0"/>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得分</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rPr>
              <w:t xml:space="preserve">项目决策</w:t>
            </w:r>
          </w:p>
        </w:tc>
        <w:tc>
          <w:tcPr>
            <w:tcW w:w="2168" w:type="dxa"/>
            <w:tcBorders>
              <w:top w:val="nil"/>
              <w:left w:val="nil"/>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default"/>
                <w:color w:val="000000"/>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eastAsia"/>
                <w:color w:val="000000"/>
                <w:sz w:val="21"/>
                <w:szCs w:val="21"/>
                <w:highlight w:val="none"/>
                <w:lang w:val="en-US" w:eastAsia="zh-CN"/>
              </w:rPr>
              <w:t xml:space="preserve">20</w:t>
            </w:r>
          </w:p>
        </w:tc>
      </w:tr>
      <w:tr>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rPr>
              <w:t xml:space="preserve">项目过程</w:t>
            </w:r>
          </w:p>
        </w:tc>
        <w:tc>
          <w:tcPr>
            <w:tcW w:w="2168" w:type="dxa"/>
            <w:tcBorders>
              <w:top w:val="nil"/>
              <w:left w:val="nil"/>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default"/>
                <w:color w:val="000000"/>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eastAsia"/>
                <w:color w:val="000000"/>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rPr>
              <w:t xml:space="preserve">项目产出</w:t>
            </w:r>
          </w:p>
        </w:tc>
        <w:tc>
          <w:tcPr>
            <w:tcW w:w="2168" w:type="dxa"/>
            <w:tcBorders>
              <w:top w:val="nil"/>
              <w:left w:val="nil"/>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default"/>
                <w:color w:val="000000"/>
                <w:sz w:val="21"/>
                <w:szCs w:val="21"/>
                <w:highlight w:val="none"/>
                <w:lang w:val="en-US" w:eastAsia="zh-CN"/>
              </w:rPr>
              <w:t xml:space="preserve">40</w:t>
            </w:r>
          </w:p>
        </w:tc>
        <w:tc>
          <w:tcPr>
            <w:tcW w:w="2278" w:type="dxa"/>
            <w:tcBorders>
              <w:top w:val="nil"/>
              <w:left w:val="nil"/>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eastAsia"/>
                <w:color w:val="000000"/>
                <w:sz w:val="21"/>
                <w:szCs w:val="21"/>
                <w:highlight w:val="none"/>
                <w:lang w:val="en-US" w:eastAsia="zh-CN"/>
              </w:rPr>
              <w:t xml:space="preserve">40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rPr>
              <w:t xml:space="preserve">项目效益</w:t>
            </w:r>
          </w:p>
        </w:tc>
        <w:tc>
          <w:tcPr>
            <w:tcW w:w="2168" w:type="dxa"/>
            <w:tcBorders>
              <w:top w:val="nil"/>
              <w:left w:val="nil"/>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default"/>
                <w:color w:val="000000"/>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eastAsia"/>
                <w:color w:val="000000"/>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合计</w:t>
            </w:r>
          </w:p>
        </w:tc>
        <w:tc>
          <w:tcPr>
            <w:tcW w:w="2168" w:type="dxa"/>
            <w:tcBorders>
              <w:top w:val="nil"/>
              <w:left w:val="nil"/>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b/>
                <w:bCs/>
                <w:color w:val="000000"/>
                <w:sz w:val="21"/>
                <w:szCs w:val="21"/>
                <w:highlight w:val="none"/>
                <w:lang w:val="en-US" w:eastAsia="zh-CN"/>
              </w:rPr>
            </w:pPr>
            <w:r>
              <w:rPr>
                <w:rFonts w:ascii="Times New Roman" w:eastAsia="仿宋_GB2312" w:hAnsi="Times New Roman" w:cs="Times New Roman" w:hint="default"/>
                <w:b/>
                <w:bCs/>
                <w:color w:val="000000"/>
                <w:sz w:val="21"/>
                <w:szCs w:val="21"/>
                <w:highlight w:val="none"/>
                <w:lang w:val="en-US" w:eastAsia="zh-CN"/>
              </w:rPr>
              <w:t xml:space="preserve">100</w:t>
            </w:r>
          </w:p>
        </w:tc>
        <w:tc>
          <w:tcPr>
            <w:tcW w:w="2278" w:type="dxa"/>
            <w:tcBorders>
              <w:top w:val="nil"/>
              <w:left w:val="nil"/>
              <w:bottom w:val="single" w:sz="4" w:space="0" w:color="auto"/>
              <w:right w:val="single" w:sz="4" w:space="0" w:color="auto"/>
            </w:tcBorders>
            <w:shd w:val="clear" w:color="auto" w:fill="auto"/>
            <w:vAlign w:val="center"/>
          </w:tcPr>
          <w:p>
            <w:pPr>
              <w:spacing w:line="560" w:lineRule="exact"/>
              <w:ind w:left="0" w:firstLine="0" w:leftChars="0" w:firstLineChars="0"/>
              <w:jc w:val="center"/>
              <w:rPr>
                <w:rFonts w:ascii="Times New Roman" w:eastAsia="仿宋_GB2312" w:hAnsi="Times New Roman" w:cs="Times New Roman" w:hint="default"/>
                <w:b/>
                <w:bCs/>
                <w:color w:val="000000"/>
                <w:sz w:val="21"/>
                <w:szCs w:val="21"/>
                <w:highlight w:val="none"/>
                <w:lang w:val="en-US" w:eastAsia="zh-CN"/>
              </w:rPr>
            </w:pPr>
            <w:r>
              <w:rPr>
                <w:rFonts w:ascii="Times New Roman" w:eastAsia="仿宋_GB2312" w:hAnsi="Times New Roman" w:cs="Times New Roman" w:hint="eastAsia"/>
                <w:b/>
                <w:bCs/>
                <w:color w:val="000000"/>
                <w:sz w:val="21"/>
                <w:szCs w:val="21"/>
                <w:highlight w:val="none"/>
                <w:lang w:val="en-US" w:eastAsia="zh-CN"/>
              </w:rPr>
              <w:t xml:space="preserve">100</w:t>
            </w:r>
          </w:p>
        </w:tc>
      </w:tr>
    </w:tbl>
    <w:p>
      <w:pPr>
        <w:keepNext w:val="0"/>
        <w:keepLines w:val="0"/>
        <w:widowControl w:val="0"/>
        <w:bidi w:val="0"/>
        <w:spacing w:beforeLines="0" w:beforeAutospacing="0" w:afterLines="0" w:afterAutospacing="0" w:line="560" w:lineRule="exact"/>
        <w:ind w:firstLine="640" w:firstLineChars="200"/>
        <w:jc w:val="left"/>
        <w:outlineLvl w:val="0"/>
        <w:rPr>
          <w:rFonts w:ascii="Calibri" w:eastAsia="黑体" w:hAnsi="Calibri" w:cs="Times New Roman" w:hint="eastAsia"/>
          <w:kern w:val="44"/>
          <w:sz w:val="32"/>
          <w:szCs w:val="24"/>
          <w:lang w:val="en-US" w:eastAsia="zh-CN" w:bidi="ar-SA"/>
        </w:rPr>
      </w:pPr>
      <w:r>
        <w:rPr>
          <w:rFonts w:ascii="Calibri" w:eastAsia="黑体" w:hAnsi="Calibri" w:cs="Times New Roman" w:hint="eastAsia"/>
          <w:kern w:val="44"/>
          <w:sz w:val="32"/>
          <w:szCs w:val="24"/>
          <w:lang w:val="en-US" w:eastAsia="zh-CN" w:bidi="ar-SA"/>
        </w:rPr>
        <w:t xml:space="preserve">四、绩效评价指标分析 </w:t>
      </w:r>
    </w:p>
    <w:p>
      <w:pPr>
        <w:keepNext w:val="0"/>
        <w:keepLines w:val="0"/>
        <w:widowControl w:val="0"/>
        <w:bidi w:val="0"/>
        <w:spacing w:beforeLines="0" w:beforeAutospacing="0" w:afterLines="0" w:afterAutospacing="0" w:line="560" w:lineRule="exact"/>
        <w:ind w:firstLine="640" w:firstLineChars="200"/>
        <w:jc w:val="left"/>
        <w:outlineLvl w:val="1"/>
        <w:rPr>
          <w:rFonts w:ascii="Arial" w:eastAsia="楷体_GB2312" w:hAnsi="Arial" w:cs="Times New Roman" w:hint="eastAsia"/>
          <w:kern w:val="2"/>
          <w:sz w:val="32"/>
          <w:szCs w:val="24"/>
          <w:lang w:val="en-US" w:eastAsia="zh-CN" w:bidi="ar-SA"/>
        </w:rPr>
      </w:pPr>
      <w:r>
        <w:rPr>
          <w:rFonts w:ascii="Arial" w:eastAsia="楷体_GB2312" w:hAnsi="Arial" w:cs="Times New Roman" w:hint="eastAsia"/>
          <w:kern w:val="2"/>
          <w:sz w:val="32"/>
          <w:szCs w:val="24"/>
          <w:lang w:val="en-US" w:eastAsia="zh-CN" w:bidi="ar-SA"/>
        </w:rPr>
        <w:t xml:space="preserve">（一）项目决策情况。</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项目决策类指标包括项目立项、绩效目标和资金投入三方面的内容，由6个三级指标构成，权重分值为20分，实际得分20分，得分率为100%。</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1.项目立项</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（1）立项依据充分性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（2）立项程序规范性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2.绩效目标</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（1）绩效目标合理性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（2）绩效指标明确性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项目设置了明确的预期产出效益和效果，将绩效目标细化分解为具体的绩效指标，绩效目标与项目目标任务数相对应，绩效目标设定的绩效指标清晰、细化、可衡量。</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3.资金投入</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（1）预算编制科学性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（2）资金分配合理性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p>
    <w:p>
      <w:pPr>
        <w:keepNext w:val="0"/>
        <w:keepLines w:val="0"/>
        <w:widowControl w:val="0"/>
        <w:bidi w:val="0"/>
        <w:spacing w:beforeLines="0" w:beforeAutospacing="0" w:afterLines="0" w:afterAutospacing="0" w:line="560" w:lineRule="exact"/>
        <w:ind w:firstLine="640" w:firstLineChars="200"/>
        <w:jc w:val="left"/>
        <w:outlineLvl w:val="1"/>
        <w:rPr>
          <w:rFonts w:ascii="Arial" w:eastAsia="楷体_GB2312" w:hAnsi="Arial" w:cs="Times New Roman" w:hint="eastAsia"/>
          <w:kern w:val="2"/>
          <w:sz w:val="32"/>
          <w:szCs w:val="24"/>
          <w:lang w:val="en-US" w:eastAsia="zh-CN" w:bidi="ar-SA"/>
        </w:rPr>
      </w:pPr>
      <w:r>
        <w:rPr>
          <w:rFonts w:ascii="Arial" w:eastAsia="楷体_GB2312" w:hAnsi="Arial" w:cs="Times New Roman" w:hint="eastAsia"/>
          <w:kern w:val="2"/>
          <w:sz w:val="32"/>
          <w:szCs w:val="24"/>
          <w:lang w:val="en-US" w:eastAsia="zh-CN" w:bidi="ar-SA"/>
        </w:rPr>
        <w:t xml:space="preserve">（二）项目过程情况。</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项目过程类指标包括资金管理和组织实施两方面的内容，由5个三级指标构成，权重分值为20分，实际得分20分，得分率为100%。</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1.资金管理</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（1）资金到位率</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本项目总投资381万元，财政资金及时足额到位，到位率100%，预算资金按计划进度执行。</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（2）预算执行率</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预算编制较为详细，项目资金支出总体能够按照预算执行，预算资金支出304.8万元，预算执行率为80%。</w:t>
      </w:r>
    </w:p>
    <w:p>
      <w:pPr>
        <w:spacing w:line="560" w:lineRule="exact"/>
        <w:ind w:firstLine="640" w:firstLineChars="200"/>
        <w:jc w:val="left"/>
        <w:rPr>
          <w:rFonts w:ascii="Times New Roman" w:eastAsia="仿宋_GB2312" w:hAnsi="Times New Roman" w:cs="Times New Roman" w:hint="eastAsia"/>
          <w:sz w:val="32"/>
          <w:lang w:val="en-US" w:eastAsia="zh-CN"/>
        </w:rPr>
      </w:pP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（3）资金使用合规性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本项目的资金使用严格遵循了国家相关法律法规与财务制度，确保了资金的合规性与安全性。在资金使用过程中，我们建立了完善的财务管理体系，对资金的流动进行了全程监控与记录。</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2.组织实施</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（1）管理制度健全性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本项目拥有一套完善、健全的管理制度体系，为项目的成功实施提供了坚实的制度保障。项目管理制度的制定紧密结合了项目的特点与实际情况，涵盖了项目的策划、组织、实施、监控与收尾等各个环节。</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在制度设计上，我们注重了制度的科学性与可操作性，确保制度能够切实指导项目的执行与管理。</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综上所述，本项目的管理制度是健全的、有效的，既符合项目的实际情况，又满足了项目管理的需要。管理制度的健全性为项目的成功实施提供了有力的保障，也为项目的绩效评价奠定了坚实的基础。</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（2）制度执行有效性</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综上所述，本项目的管理制度在执行过程中表现出了高度的有效性，既确保了项目的顺利进行，又实现了项目目标的有效达成。</w:t>
      </w:r>
    </w:p>
    <w:p>
      <w:pPr>
        <w:keepNext w:val="0"/>
        <w:keepLines w:val="0"/>
        <w:widowControl w:val="0"/>
        <w:bidi w:val="0"/>
        <w:spacing w:beforeLines="0" w:beforeAutospacing="0" w:afterLines="0" w:afterAutospacing="0" w:line="560" w:lineRule="exact"/>
        <w:ind w:firstLine="640" w:firstLineChars="200"/>
        <w:jc w:val="left"/>
        <w:outlineLvl w:val="1"/>
        <w:rPr>
          <w:rFonts w:ascii="Arial" w:eastAsia="楷体_GB2312" w:hAnsi="Arial" w:cs="Times New Roman" w:hint="eastAsia"/>
          <w:kern w:val="2"/>
          <w:sz w:val="32"/>
          <w:szCs w:val="24"/>
          <w:lang w:val="en-US" w:eastAsia="zh-CN" w:bidi="ar-SA"/>
        </w:rPr>
      </w:pPr>
      <w:r>
        <w:rPr>
          <w:rFonts w:ascii="Arial" w:eastAsia="楷体_GB2312" w:hAnsi="Arial" w:cs="Times New Roman" w:hint="eastAsia"/>
          <w:kern w:val="2"/>
          <w:sz w:val="32"/>
          <w:szCs w:val="24"/>
          <w:lang w:val="en-US" w:eastAsia="zh-CN" w:bidi="ar-SA"/>
        </w:rPr>
        <w:t xml:space="preserve">（三）项目产出情况。</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项目产出类指标包括产出数量、产出质量、产出时效、产出成本四方面的内容，由6个三级指标构成，权重分为40分，实际得分40分，得分率为100%。具体产出指标完成情况如下：</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①数量指标：</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指标1：新建放牧点生产用房，指标值：&gt;=2032平方米，实际完成值：2032平方米，指标完成率100%；偏差原因：无。</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指标2：涉及牧民户数，指标值：&gt;=127户，实际完成值：127户，指标完成率100%；偏差原因：无。</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②质量指标：</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指标1：竣工验收合格率，指标值：=100%，实际完成值：100%，指标完成率100%；</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③时效指标：</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指标1：计划开工时间，指标值：2024年9月10日，实际完成值：2024年9月10日，指标完成率100%；</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指标2：计划竣工时间，指标值：2024年11月30日，实际完成值：2024年11月30日，指标完成率100%；</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④成本指标：</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指标1：项目建设平均标准，指标值：&lt;=3万元，实际完成值：3万元，指标完成率100%；偏差原因：无。</w:t>
      </w:r>
    </w:p>
    <w:p>
      <w:pPr>
        <w:keepNext w:val="0"/>
        <w:keepLines w:val="0"/>
        <w:widowControl w:val="0"/>
        <w:bidi w:val="0"/>
        <w:spacing w:beforeLines="0" w:beforeAutospacing="0" w:afterLines="0" w:afterAutospacing="0" w:line="560" w:lineRule="exact"/>
        <w:ind w:firstLine="640" w:firstLineChars="200"/>
        <w:jc w:val="left"/>
        <w:outlineLvl w:val="1"/>
        <w:rPr>
          <w:rFonts w:ascii="Arial" w:eastAsia="楷体_GB2312" w:hAnsi="Arial" w:cs="Times New Roman" w:hint="eastAsia"/>
          <w:kern w:val="2"/>
          <w:sz w:val="32"/>
          <w:szCs w:val="24"/>
          <w:lang w:val="en-US" w:eastAsia="zh-CN" w:bidi="ar-SA"/>
        </w:rPr>
      </w:pPr>
      <w:r>
        <w:rPr>
          <w:rFonts w:ascii="Arial" w:eastAsia="楷体_GB2312" w:hAnsi="Arial" w:cs="Times New Roman" w:hint="eastAsia"/>
          <w:kern w:val="2"/>
          <w:sz w:val="32"/>
          <w:szCs w:val="24"/>
          <w:lang w:val="en-US" w:eastAsia="zh-CN" w:bidi="ar-SA"/>
        </w:rPr>
        <w:t xml:space="preserve">（四）项目效益情况。</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项目效益类指标包括项目实施效益和满意度两方面的内容，由1个三级指标构成，权重分为20分，实际得分20分，得分率为100%。具体效益指标及满意度指标完成情况如下：</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1.实施效益</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①社会效益指标：</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指标1：排除牧民住房安全隐患，指标值：成效明显，实际完成值：成效明显，指标完成率100%；</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2.满意度</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指标1：服务对象满意度，指标值：&gt;=95%，实际完成值：95%，指标完成率100%。</w:t>
      </w:r>
    </w:p>
    <w:p>
      <w:pPr>
        <w:keepNext w:val="0"/>
        <w:keepLines w:val="0"/>
        <w:widowControl w:val="0"/>
        <w:bidi w:val="0"/>
        <w:spacing w:beforeLines="0" w:beforeAutospacing="0" w:afterLines="0" w:afterAutospacing="0" w:line="560" w:lineRule="exact"/>
        <w:ind w:firstLine="640" w:firstLineChars="200"/>
        <w:jc w:val="left"/>
        <w:outlineLvl w:val="0"/>
        <w:rPr>
          <w:rFonts w:ascii="Calibri" w:eastAsia="黑体" w:hAnsi="Calibri" w:cs="Times New Roman" w:hint="eastAsia"/>
          <w:kern w:val="44"/>
          <w:sz w:val="32"/>
          <w:szCs w:val="24"/>
          <w:lang w:val="en-US" w:eastAsia="zh-CN" w:bidi="ar-SA"/>
        </w:rPr>
      </w:pPr>
      <w:r>
        <w:rPr>
          <w:rFonts w:ascii="Calibri" w:eastAsia="黑体" w:hAnsi="Calibri" w:cs="Times New Roman" w:hint="eastAsia"/>
          <w:kern w:val="44"/>
          <w:sz w:val="32"/>
          <w:szCs w:val="24"/>
          <w:lang w:val="en-US" w:eastAsia="zh-CN" w:bidi="ar-SA"/>
        </w:rPr>
        <w:t xml:space="preserve">五、主要经验及做法、存在的问题及原因分析</w:t>
      </w:r>
    </w:p>
    <w:p>
      <w:pPr>
        <w:keepNext w:val="0"/>
        <w:keepLines w:val="0"/>
        <w:widowControl w:val="0"/>
        <w:bidi w:val="0"/>
        <w:spacing w:beforeLines="0" w:beforeAutospacing="0" w:afterLines="0" w:afterAutospacing="0" w:line="560" w:lineRule="exact"/>
        <w:ind w:firstLine="640" w:firstLineChars="200"/>
        <w:jc w:val="left"/>
        <w:outlineLvl w:val="1"/>
        <w:rPr>
          <w:rFonts w:ascii="Arial" w:eastAsia="楷体_GB2312" w:hAnsi="Arial" w:cs="Times New Roman" w:hint="eastAsia"/>
          <w:kern w:val="2"/>
          <w:sz w:val="32"/>
          <w:szCs w:val="24"/>
          <w:lang w:val="en-US" w:eastAsia="zh-CN" w:bidi="ar-SA"/>
        </w:rPr>
      </w:pPr>
      <w:r>
        <w:rPr>
          <w:rFonts w:ascii="Arial" w:eastAsia="楷体_GB2312" w:hAnsi="Arial" w:cs="Times New Roman" w:hint="eastAsia"/>
          <w:kern w:val="2"/>
          <w:sz w:val="32"/>
          <w:szCs w:val="24"/>
          <w:lang w:val="en-US" w:eastAsia="zh-CN" w:bidi="ar-SA"/>
        </w:rPr>
        <w:t xml:space="preserve">（一）主要经验及做法</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widowControl w:val="0"/>
        <w:bidi w:val="0"/>
        <w:spacing w:beforeLines="0" w:beforeAutospacing="0" w:afterLines="0" w:afterAutospacing="0" w:line="560" w:lineRule="exact"/>
        <w:ind w:firstLine="640" w:firstLineChars="200"/>
        <w:jc w:val="left"/>
        <w:outlineLvl w:val="1"/>
        <w:rPr>
          <w:rFonts w:ascii="Arial" w:eastAsia="楷体_GB2312" w:hAnsi="Arial" w:cs="Times New Roman" w:hint="eastAsia"/>
          <w:kern w:val="2"/>
          <w:sz w:val="32"/>
          <w:szCs w:val="24"/>
          <w:lang w:val="en-US" w:eastAsia="zh-CN" w:bidi="ar-SA"/>
        </w:rPr>
      </w:pPr>
      <w:r>
        <w:rPr>
          <w:rFonts w:ascii="Arial" w:eastAsia="楷体_GB2312" w:hAnsi="Arial" w:cs="Times New Roman" w:hint="eastAsia"/>
          <w:kern w:val="2"/>
          <w:sz w:val="32"/>
          <w:szCs w:val="24"/>
          <w:lang w:val="en-US" w:eastAsia="zh-CN" w:bidi="ar-SA"/>
        </w:rPr>
        <w:t xml:space="preserve">（二）存在的问题及原因分析</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1.相关绩效管理方面专业知识的系统性学习有待加强。各项指标的设置要进一步优化、完善，主要在细化、量化上改进。在绩效自评过程中，</w:t>
      </w:r>
      <w:r>
        <w:rPr>
          <w:rFonts w:ascii="Times New Roman" w:eastAsia="仿宋_GB2312" w:hAnsi="Times New Roman" w:cs="Times New Roman" w:hint="eastAsia"/>
          <w:sz w:val="32"/>
          <w:lang w:val="en-US" w:eastAsia="zh-CN"/>
        </w:rPr>
        <w:t xml:space="preserve">由于部分人员</w:t>
      </w:r>
      <w:r>
        <w:rPr>
          <w:rFonts w:ascii="Times New Roman" w:eastAsia="仿宋_GB2312" w:hAnsi="Times New Roman" w:cs="Times New Roman" w:hint="eastAsia"/>
          <w:sz w:val="32"/>
          <w:lang w:val="en-US" w:eastAsia="zh-CN"/>
        </w:rPr>
        <w:t xml:space="preserve">缺乏相关绩效管理专业知识，自评价工作还存在自我审定的局限性，影响评价质量。</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2.因轮岗、调动等因素使我单位绩效工作人员流动频繁，造成工作衔接不到位的情况。</w:t>
      </w:r>
    </w:p>
    <w:p>
      <w:pPr>
        <w:keepNext w:val="0"/>
        <w:keepLines w:val="0"/>
        <w:widowControl w:val="0"/>
        <w:bidi w:val="0"/>
        <w:spacing w:beforeLines="0" w:beforeAutospacing="0" w:afterLines="0" w:afterAutospacing="0" w:line="560" w:lineRule="exact"/>
        <w:ind w:firstLine="640" w:firstLineChars="200"/>
        <w:jc w:val="left"/>
        <w:outlineLvl w:val="0"/>
        <w:rPr>
          <w:rFonts w:ascii="Calibri" w:eastAsia="黑体" w:hAnsi="Calibri" w:cs="Times New Roman" w:hint="eastAsia"/>
          <w:kern w:val="44"/>
          <w:sz w:val="32"/>
          <w:szCs w:val="24"/>
          <w:lang w:val="en-US" w:eastAsia="zh-CN" w:bidi="ar-SA"/>
        </w:rPr>
      </w:pPr>
      <w:r>
        <w:rPr>
          <w:rFonts w:ascii="Calibri" w:eastAsia="黑体" w:hAnsi="Calibri" w:cs="Times New Roman" w:hint="eastAsia"/>
          <w:kern w:val="44"/>
          <w:sz w:val="32"/>
          <w:szCs w:val="24"/>
          <w:lang w:val="en-US" w:eastAsia="zh-CN" w:bidi="ar-SA"/>
        </w:rPr>
        <w:t xml:space="preserve">六、有关建议</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1.多进行有关绩效管理工作方面的培训。积极组织第三方开展绩效管理工作培训，进一步夯实业务基础，提高我单位绩效人员水平。</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2.专门设定对绩效工作人员定职、定岗、定责等相关制度措施，进一步提升我单位绩效管理工作业务水平，扎实做好绩效管理工作。</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4.进一步完善项目评价过程中有关数据和资料的收集、整理、审核及分析。项目启动时同步做好档案的归纳与整理，及时整理、收集、汇总，健全档案资料。项目后续管理有待进一步加强和跟踪。</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keepNext w:val="0"/>
        <w:keepLines w:val="0"/>
        <w:widowControl w:val="0"/>
        <w:bidi w:val="0"/>
        <w:spacing w:beforeLines="0" w:beforeAutospacing="0" w:afterLines="0" w:afterAutospacing="0" w:line="560" w:lineRule="exact"/>
        <w:ind w:firstLine="640" w:firstLineChars="200"/>
        <w:jc w:val="left"/>
        <w:outlineLvl w:val="0"/>
        <w:rPr>
          <w:rFonts w:ascii="Calibri" w:eastAsia="黑体" w:hAnsi="Calibri" w:cs="Times New Roman" w:hint="eastAsia"/>
          <w:kern w:val="44"/>
          <w:sz w:val="32"/>
          <w:szCs w:val="24"/>
          <w:lang w:val="en-US" w:eastAsia="zh-CN" w:bidi="ar-SA"/>
        </w:rPr>
      </w:pPr>
      <w:r>
        <w:rPr>
          <w:rFonts w:ascii="Calibri" w:eastAsia="黑体" w:hAnsi="Calibri" w:cs="Times New Roman" w:hint="eastAsia"/>
          <w:kern w:val="44"/>
          <w:sz w:val="32"/>
          <w:szCs w:val="24"/>
          <w:lang w:val="en-US" w:eastAsia="zh-CN" w:bidi="ar-SA"/>
        </w:rPr>
        <w:t xml:space="preserve">七、其他需要说明的问题</w:t>
      </w:r>
    </w:p>
    <w:p>
      <w:pPr>
        <w:spacing w:line="560" w:lineRule="exact"/>
        <w:ind w:firstLine="640" w:firstLineChars="200"/>
        <w:jc w:val="left"/>
        <w:rPr>
          <w:rFonts w:ascii="Times New Roman" w:eastAsia="仿宋_GB2312" w:hAnsi="Times New Roman" w:cs="Times New Roman" w:hint="eastAsia"/>
          <w:sz w:val="32"/>
          <w:lang w:val="en-US" w:eastAsia="zh-CN"/>
        </w:rPr>
      </w:pPr>
      <w:r>
        <w:rPr>
          <w:rFonts w:ascii="Times New Roman" w:eastAsia="仿宋_GB2312" w:hAnsi="Times New Roman" w:cs="Times New Roman" w:hint="eastAsia"/>
          <w:sz w:val="32"/>
          <w:lang w:val="en-US" w:eastAsia="zh-CN"/>
        </w:rPr>
        <w:t xml:space="preserve">本项目无其他需说明的问题。</w:t>
      </w:r>
    </w:p>
    <w:p>
      <w:pPr>
        <w:ind w:left="0" w:firstLine="0" w:leftChars="0" w:firstLineChars="0"/>
        <w:rPr>
          <w:rFonts w:hint="eastAsia"/>
          <w:lang w:val="en-US" w:eastAsia="zh-CN"/>
        </w:rPr>
        <w:sectPr>
          <w:pgSz w:w="11906" w:h="16838" w:orient="portrait"/>
          <w:pgMar w:top="2098" w:right="1531" w:bottom="1984" w:left="1531" w:header="851" w:footer="992" w:gutter="0"/>
          <w:pgBorders/>
          <w:cols w:num="1" w:space="425">
            <w:col w:w="8844" w:space="425"/>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both"/>
        <w:textAlignment w:val="baseline"/>
        <w:rPr>
          <w:rFonts w:ascii="Times New Roman" w:eastAsia="仿宋_GB2312" w:hAnsi="Times New Roman" w:cs="Times New Roman" w:hint="eastAsia"/>
          <w:kern w:val="2"/>
          <w:sz w:val="21"/>
          <w:szCs w:val="32"/>
          <w:lang w:val="en-US" w:eastAsia="zh-CN" w:bidi="ar-SA"/>
        </w:rPr>
      </w:pPr>
    </w:p>
    <w:p>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xmlns:w15="http://schemas.microsoft.com/office/word/2012/wordml" mc:Ignorable="w14 w15">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xmlns:w15="http://schemas.microsoft.com/office/word/2012/wordml" mc:Ignorable="w14 w15">
  <w:zoom w:percent="12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5"/>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rPr>
      <w:rFonts w:ascii="Calibri" w:eastAsia="宋体" w:hAnsi="Calibri"/>
      <w:kern w:val="2"/>
      <w:sz w:val="18"/>
      <w:szCs w:val="18"/>
    </w:rPr>
  </w:style>
  <w:style w:type="character" w:customStyle="1" w:styleId="页脚字符">
    <w:name w:val="页脚 字符"/>
    <w:basedOn w:val="DefaultParagraphFont"/>
    <w:link w:val="Footer"/>
    <w:uiPriority w:val="99"/>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21EF0CDCB73D4B8D8FAC715995DB8275</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104</Words>
  <Characters>598</Characters>
  <Application>WPS Office_11.8.2.10972_F1E327BC-269C-435d-A152-05C5408002CA</Application>
  <DocSecurity>0</DocSecurity>
  <Lines>4</Lines>
  <Paragraphs>1</Paragraphs>
  <Company>微软中国</Company>
  <CharactersWithSpaces>701</CharactersWithSpaces>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2</cp:revision>
  <cp:lastPrinted>2018-12-31T10:56:00Z</cp:lastPrinted>
  <dcterms:created xsi:type="dcterms:W3CDTF">2025-03-11T03:27:00Z</dcterms:created>
  <dcterms:modified xsi:type="dcterms:W3CDTF">2025-07-22T12:04:05Z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21EF0CDCB73D4B8D8FAC715995DB8275</vt:lpwstr>
  </property>
</Properties>
</file>