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47F33"/>
    <w:p w14:paraId="118012F3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525FD38D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732ADF42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438977CB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0BE8B085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特克斯县委宣传部项目支出绩效</w:t>
      </w:r>
    </w:p>
    <w:p w14:paraId="1096823E">
      <w:pPr>
        <w:spacing w:line="540" w:lineRule="exact"/>
        <w:jc w:val="center"/>
        <w:rPr>
          <w:rFonts w:eastAsia="方正小标宋_GBK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评价报告</w:t>
      </w:r>
    </w:p>
    <w:p w14:paraId="1D658CF5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04CBECA3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hint="eastAsia" w:eastAsia="仿宋_GB2312"/>
          <w:kern w:val="0"/>
          <w:sz w:val="36"/>
          <w:szCs w:val="36"/>
        </w:rPr>
        <w:t>（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 xml:space="preserve"> </w:t>
      </w:r>
      <w:r>
        <w:rPr>
          <w:rFonts w:eastAsia="仿宋_GB2312"/>
          <w:kern w:val="0"/>
          <w:sz w:val="36"/>
          <w:szCs w:val="36"/>
        </w:rPr>
        <w:t>2024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仿宋_GB2312"/>
          <w:kern w:val="0"/>
          <w:sz w:val="36"/>
          <w:szCs w:val="36"/>
        </w:rPr>
        <w:t>年度）</w:t>
      </w:r>
    </w:p>
    <w:p w14:paraId="1117DCFD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3E708633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7CB7143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94FCE38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09993F1">
      <w:pPr>
        <w:spacing w:line="700" w:lineRule="exact"/>
        <w:ind w:firstLine="1280" w:firstLineChars="4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项目名称：</w:t>
      </w:r>
      <w:bookmarkStart w:id="0" w:name="OLE_LINK3"/>
      <w:r>
        <w:rPr>
          <w:rFonts w:hint="eastAsia" w:eastAsia="仿宋_GB2312"/>
          <w:kern w:val="0"/>
          <w:sz w:val="32"/>
          <w:szCs w:val="32"/>
        </w:rPr>
        <w:t>外宣工作项目（本级）</w:t>
      </w:r>
      <w:bookmarkEnd w:id="0"/>
    </w:p>
    <w:p w14:paraId="74F0FAF3">
      <w:pPr>
        <w:spacing w:line="700" w:lineRule="exact"/>
        <w:ind w:firstLine="1280" w:firstLineChars="4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实施单位（公章）：</w:t>
      </w:r>
      <w:bookmarkStart w:id="1" w:name="OLE_LINK1"/>
      <w:r>
        <w:rPr>
          <w:rFonts w:hint="eastAsia" w:eastAsia="仿宋_GB2312"/>
          <w:kern w:val="0"/>
          <w:sz w:val="32"/>
          <w:szCs w:val="32"/>
        </w:rPr>
        <w:t>中共特克斯县委宣传部</w:t>
      </w:r>
      <w:bookmarkEnd w:id="1"/>
    </w:p>
    <w:p w14:paraId="3DAF5D0F">
      <w:pPr>
        <w:spacing w:line="700" w:lineRule="exact"/>
        <w:ind w:firstLine="1280" w:firstLineChars="4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主管部门（公章）：中共特克斯县委员会办公室</w:t>
      </w:r>
    </w:p>
    <w:p w14:paraId="6AA8C90F">
      <w:pPr>
        <w:spacing w:line="700" w:lineRule="exact"/>
        <w:ind w:firstLine="1280" w:firstLineChars="4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项目负责人（签章）：李兆鑫</w:t>
      </w:r>
    </w:p>
    <w:p w14:paraId="0338B1DD">
      <w:pPr>
        <w:spacing w:line="700" w:lineRule="exact"/>
        <w:ind w:firstLine="1280" w:firstLineChars="4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填报时间：</w:t>
      </w:r>
      <w:r>
        <w:rPr>
          <w:rFonts w:eastAsia="仿宋_GB2312"/>
          <w:kern w:val="0"/>
          <w:sz w:val="32"/>
          <w:szCs w:val="32"/>
        </w:rPr>
        <w:t>2025</w:t>
      </w:r>
      <w:r>
        <w:rPr>
          <w:rFonts w:hint="eastAsia" w:eastAsia="仿宋_GB2312"/>
          <w:kern w:val="0"/>
          <w:sz w:val="32"/>
          <w:szCs w:val="32"/>
        </w:rPr>
        <w:t>年</w:t>
      </w:r>
      <w:r>
        <w:rPr>
          <w:rFonts w:eastAsia="仿宋_GB2312"/>
          <w:kern w:val="0"/>
          <w:sz w:val="32"/>
          <w:szCs w:val="32"/>
        </w:rPr>
        <w:t>5</w:t>
      </w:r>
      <w:r>
        <w:rPr>
          <w:rFonts w:hint="eastAsia"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22</w:t>
      </w:r>
      <w:r>
        <w:rPr>
          <w:rFonts w:hint="eastAsia" w:eastAsia="仿宋_GB2312"/>
          <w:kern w:val="0"/>
          <w:sz w:val="32"/>
          <w:szCs w:val="32"/>
        </w:rPr>
        <w:t>日</w:t>
      </w:r>
    </w:p>
    <w:p w14:paraId="23779CBC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91E7FDF">
      <w:pPr>
        <w:spacing w:line="540" w:lineRule="exact"/>
        <w:rPr>
          <w:rStyle w:val="15"/>
          <w:rFonts w:eastAsia="黑体"/>
          <w:b w:val="0"/>
          <w:spacing w:val="-4"/>
          <w:sz w:val="32"/>
          <w:szCs w:val="32"/>
        </w:rPr>
      </w:pPr>
    </w:p>
    <w:p w14:paraId="63AB64BC">
      <w:pPr>
        <w:spacing w:line="540" w:lineRule="exact"/>
        <w:ind w:firstLine="640"/>
        <w:rPr>
          <w:rStyle w:val="15"/>
          <w:rFonts w:eastAsia="黑体"/>
          <w:b w:val="0"/>
          <w:spacing w:val="-4"/>
          <w:sz w:val="32"/>
          <w:szCs w:val="32"/>
        </w:rPr>
      </w:pPr>
    </w:p>
    <w:p w14:paraId="5600E259">
      <w:pPr>
        <w:spacing w:line="540" w:lineRule="exact"/>
        <w:rPr>
          <w:rStyle w:val="15"/>
          <w:rFonts w:eastAsia="黑体"/>
          <w:b w:val="0"/>
          <w:spacing w:val="-4"/>
          <w:sz w:val="32"/>
          <w:szCs w:val="32"/>
        </w:rPr>
      </w:pPr>
    </w:p>
    <w:p w14:paraId="054CD841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234B31EC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一、基本情况</w:t>
      </w:r>
    </w:p>
    <w:p w14:paraId="3637C00D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（一）项目概况</w:t>
      </w:r>
    </w:p>
    <w:p w14:paraId="3CC5C437"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</w:t>
      </w:r>
      <w:r>
        <w:rPr>
          <w:rFonts w:hint="eastAsia" w:eastAsia="仿宋_GB2312"/>
          <w:b/>
          <w:bCs/>
          <w:sz w:val="32"/>
          <w:szCs w:val="32"/>
        </w:rPr>
        <w:t>项目背景</w:t>
      </w:r>
    </w:p>
    <w:p w14:paraId="08955F40">
      <w:pPr>
        <w:pStyle w:val="9"/>
        <w:spacing w:before="0" w:after="0" w:line="560" w:lineRule="exact"/>
        <w:ind w:firstLine="640" w:firstLineChars="200"/>
        <w:jc w:val="both"/>
        <w:rPr>
          <w:rFonts w:ascii="Times New Roman" w:hAnsi="Times New Roman" w:eastAsia="仿宋_GB2312"/>
          <w:b w:val="0"/>
          <w:bCs w:val="0"/>
          <w:kern w:val="2"/>
        </w:rPr>
      </w:pPr>
      <w:r>
        <w:rPr>
          <w:rFonts w:hint="eastAsia" w:ascii="Times New Roman" w:hAnsi="Times New Roman" w:eastAsia="仿宋_GB2312"/>
          <w:b w:val="0"/>
          <w:bCs w:val="0"/>
          <w:kern w:val="2"/>
        </w:rPr>
        <w:t>为适应新形势、新要求，不断开创特克斯县对外宣传新局面，有力提高特克斯形象和美誉度，形成助推我县经济社会持续健康发展的良好舆论氛围，县委宣传部通过不断扩大与新华社、中国新闻网、伊犁日报等各级主流新闻媒体签署年度宣传合作协议，对特克斯县的政治、经济、文化、乡村振兴、旅游资源、民生热点等进行全方位报道，讲好特克斯故事，传递好特克斯声音，进一步提升新闻舆论传播力、引导力。</w:t>
      </w:r>
    </w:p>
    <w:p w14:paraId="33E4AFD1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仿宋_GB2312"/>
          <w:kern w:val="2"/>
        </w:rPr>
      </w:pPr>
      <w:r>
        <w:rPr>
          <w:rFonts w:ascii="Times New Roman" w:hAnsi="Times New Roman" w:eastAsia="仿宋_GB2312"/>
          <w:kern w:val="2"/>
        </w:rPr>
        <w:t>2.</w:t>
      </w:r>
      <w:r>
        <w:rPr>
          <w:rFonts w:hint="eastAsia" w:ascii="Times New Roman" w:hAnsi="Times New Roman" w:eastAsia="仿宋_GB2312"/>
          <w:kern w:val="2"/>
        </w:rPr>
        <w:t>项目主要内容：</w:t>
      </w:r>
    </w:p>
    <w:p w14:paraId="2CC3C5FB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bookmarkStart w:id="2" w:name="OLE_LINK6"/>
      <w:r>
        <w:rPr>
          <w:rFonts w:hint="eastAsia" w:eastAsia="仿宋_GB2312"/>
          <w:sz w:val="32"/>
          <w:szCs w:val="32"/>
        </w:rPr>
        <w:t>新华社、中国新闻网、伊犁日报社等权威媒体</w:t>
      </w:r>
      <w:bookmarkEnd w:id="2"/>
      <w:r>
        <w:rPr>
          <w:rFonts w:hint="eastAsia" w:eastAsia="仿宋_GB2312"/>
          <w:sz w:val="32"/>
          <w:szCs w:val="32"/>
        </w:rPr>
        <w:t>发挥旗下纸媒、微信、微博、网站等平台优势，发布各类宣传稿件，为推介特克斯县造势助力；南航机场、乌鲁木齐高铁站等场所投放文化旅游相关的音视频广告。</w:t>
      </w:r>
    </w:p>
    <w:p w14:paraId="7021199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项目实施情况：全年与新华社、中国新闻网、伊犁日报等主流新闻媒体和南航、乌鲁木齐等知名企业签署宣传合作协议，支付相应的宣传推广费用和广告费用</w:t>
      </w:r>
      <w:r>
        <w:rPr>
          <w:rFonts w:eastAsia="仿宋_GB2312"/>
          <w:sz w:val="32"/>
          <w:szCs w:val="32"/>
        </w:rPr>
        <w:t>50</w:t>
      </w:r>
      <w:r>
        <w:rPr>
          <w:rFonts w:hint="eastAsia" w:eastAsia="仿宋_GB2312"/>
          <w:sz w:val="32"/>
          <w:szCs w:val="32"/>
        </w:rPr>
        <w:t>万元。</w:t>
      </w:r>
    </w:p>
    <w:p w14:paraId="1334F711"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3.</w:t>
      </w:r>
      <w:r>
        <w:rPr>
          <w:rFonts w:hint="eastAsia" w:eastAsia="仿宋_GB2312"/>
          <w:b/>
          <w:bCs/>
          <w:sz w:val="32"/>
          <w:szCs w:val="32"/>
        </w:rPr>
        <w:t>资金投入和使用情况</w:t>
      </w:r>
    </w:p>
    <w:p w14:paraId="684909D0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）资金投入情况</w:t>
      </w:r>
    </w:p>
    <w:p w14:paraId="4C524D4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该项目年初预算数</w:t>
      </w:r>
      <w:r>
        <w:rPr>
          <w:rFonts w:eastAsia="仿宋_GB2312"/>
          <w:sz w:val="32"/>
          <w:szCs w:val="32"/>
        </w:rPr>
        <w:t>50</w:t>
      </w:r>
      <w:r>
        <w:rPr>
          <w:rFonts w:hint="eastAsia" w:eastAsia="仿宋_GB2312"/>
          <w:sz w:val="32"/>
          <w:szCs w:val="32"/>
        </w:rPr>
        <w:t>万元，全年预算数</w:t>
      </w:r>
      <w:r>
        <w:rPr>
          <w:rFonts w:eastAsia="仿宋_GB2312"/>
          <w:sz w:val="32"/>
          <w:szCs w:val="32"/>
        </w:rPr>
        <w:t>50</w:t>
      </w:r>
      <w:r>
        <w:rPr>
          <w:rFonts w:hint="eastAsia" w:eastAsia="仿宋_GB2312"/>
          <w:sz w:val="32"/>
          <w:szCs w:val="32"/>
        </w:rPr>
        <w:t>万元，该项目资金已全部落实到位，资金来源为财政拨款。</w:t>
      </w:r>
    </w:p>
    <w:p w14:paraId="7864DB1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）资金使用情况</w:t>
      </w:r>
    </w:p>
    <w:p w14:paraId="1813645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该项目年初预算数</w:t>
      </w:r>
      <w:r>
        <w:rPr>
          <w:rFonts w:eastAsia="仿宋_GB2312"/>
          <w:sz w:val="32"/>
          <w:szCs w:val="32"/>
        </w:rPr>
        <w:t>50</w:t>
      </w:r>
      <w:r>
        <w:rPr>
          <w:rFonts w:hint="eastAsia" w:eastAsia="仿宋_GB2312"/>
          <w:sz w:val="32"/>
          <w:szCs w:val="32"/>
        </w:rPr>
        <w:t>万元，全年预算数</w:t>
      </w:r>
      <w:r>
        <w:rPr>
          <w:rFonts w:eastAsia="仿宋_GB2312"/>
          <w:sz w:val="32"/>
          <w:szCs w:val="32"/>
        </w:rPr>
        <w:t>50</w:t>
      </w:r>
      <w:r>
        <w:rPr>
          <w:rFonts w:hint="eastAsia" w:eastAsia="仿宋_GB2312"/>
          <w:sz w:val="32"/>
          <w:szCs w:val="32"/>
        </w:rPr>
        <w:t>万元，全年执行数</w:t>
      </w:r>
      <w:r>
        <w:rPr>
          <w:rFonts w:eastAsia="仿宋_GB2312"/>
          <w:sz w:val="32"/>
          <w:szCs w:val="32"/>
        </w:rPr>
        <w:t>50</w:t>
      </w:r>
      <w:r>
        <w:rPr>
          <w:rFonts w:hint="eastAsia" w:eastAsia="仿宋_GB2312"/>
          <w:sz w:val="32"/>
          <w:szCs w:val="32"/>
        </w:rPr>
        <w:t>万元，预算执行率为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（预算执行率</w:t>
      </w:r>
      <w:r>
        <w:rPr>
          <w:rFonts w:eastAsia="仿宋_GB2312"/>
          <w:sz w:val="32"/>
          <w:szCs w:val="32"/>
        </w:rPr>
        <w:t>=</w:t>
      </w:r>
      <w:r>
        <w:rPr>
          <w:rFonts w:hint="eastAsia" w:eastAsia="仿宋_GB2312"/>
          <w:sz w:val="32"/>
          <w:szCs w:val="32"/>
        </w:rPr>
        <w:t>全年执行数</w:t>
      </w:r>
      <w:r>
        <w:rPr>
          <w:rFonts w:eastAsia="仿宋_GB2312"/>
          <w:sz w:val="32"/>
          <w:szCs w:val="32"/>
        </w:rPr>
        <w:t>/</w:t>
      </w:r>
      <w:r>
        <w:rPr>
          <w:rFonts w:hint="eastAsia" w:eastAsia="仿宋_GB2312"/>
          <w:sz w:val="32"/>
          <w:szCs w:val="32"/>
        </w:rPr>
        <w:t>全年预算数），主要用于：宣传活动的策划、执行，外宣稿件的宣传推广，宣传材料的设计与制作，投放文化旅游相关的音视频广告费用等方面。</w:t>
      </w:r>
    </w:p>
    <w:p w14:paraId="15CCF612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（二）项目绩效目标</w:t>
      </w:r>
    </w:p>
    <w:p w14:paraId="190EC4C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hint="eastAsia" w:eastAsia="仿宋_GB2312"/>
          <w:sz w:val="32"/>
          <w:szCs w:val="32"/>
        </w:rPr>
        <w:t>总体目标</w:t>
      </w:r>
    </w:p>
    <w:p w14:paraId="1D1749DC">
      <w:pPr>
        <w:pStyle w:val="9"/>
        <w:spacing w:before="0" w:after="0" w:line="560" w:lineRule="exact"/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 w:val="0"/>
          <w:bCs w:val="0"/>
          <w:kern w:val="2"/>
        </w:rPr>
        <w:t>通过实施外宣工作经费项目，与各级主流新闻媒体和知名企业签署年度宣传合作协议，对特克斯县的政治、经济、文化、乡村振兴、旅游资源、民生热点等进行全方位报道，不断开创特克斯县对外宣传新局面，有力提高特克斯形象和美誉度，形成助推我县经济社会持续健康发展的良好舆论氛围。</w:t>
      </w:r>
    </w:p>
    <w:p w14:paraId="34B7E2FC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2</w:t>
      </w:r>
      <w:r>
        <w:rPr>
          <w:rFonts w:eastAsia="仿宋_GB2312"/>
          <w:b/>
          <w:bCs/>
          <w:sz w:val="32"/>
          <w:szCs w:val="32"/>
          <w:highlight w:val="none"/>
        </w:rPr>
        <w:t>.</w:t>
      </w:r>
      <w:r>
        <w:rPr>
          <w:rFonts w:hint="eastAsia" w:eastAsia="仿宋_GB2312"/>
          <w:sz w:val="32"/>
          <w:szCs w:val="32"/>
          <w:highlight w:val="none"/>
        </w:rPr>
        <w:t>阶段性目标</w:t>
      </w:r>
    </w:p>
    <w:p w14:paraId="070A6CD1">
      <w:pPr>
        <w:spacing w:line="56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、2月至3月，签署各级主流媒体和知名企业的年度宣传合作协议；2、3月至12月，通过主流媒体旗下的各类网络平台对特克斯县进行全方位宣传报道，在南航机场、乌鲁木齐高铁站等人员密集场所投放文化旅游相关音视频广告；3、3月至6月，评估上半年宣传效果；4、6月至12月，根据评价评估结果，调整宣传策略，以更好地提高特克斯县的美誉度和知名度。</w:t>
      </w:r>
    </w:p>
    <w:p w14:paraId="59C35862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二、绩效评价工作开展情况</w:t>
      </w:r>
    </w:p>
    <w:p w14:paraId="203717A0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（一）绩效评价目的、对象和范围</w:t>
      </w:r>
    </w:p>
    <w:p w14:paraId="3F850CE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1.</w:t>
      </w:r>
      <w:r>
        <w:rPr>
          <w:rFonts w:hint="eastAsia" w:ascii="Times New Roman" w:hAnsi="Times New Roman" w:eastAsia="仿宋_GB2312"/>
          <w:b w:val="0"/>
          <w:bCs w:val="0"/>
        </w:rPr>
        <w:t>绩效评价完整性</w:t>
      </w:r>
    </w:p>
    <w:p w14:paraId="7028FCE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2FB8EC7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在评价指标体系的构建上，充分考虑了项目的性质、目标以及预期成果，选取了具有代表性和可衡量性的社会效益</w:t>
      </w:r>
      <w:r>
        <w:rPr>
          <w:rFonts w:hint="eastAsia" w:eastAsia="仿宋_GB2312"/>
          <w:sz w:val="32"/>
          <w:szCs w:val="32"/>
          <w:lang w:val="en-US" w:eastAsia="zh-CN"/>
        </w:rPr>
        <w:t>指标</w:t>
      </w:r>
      <w:r>
        <w:rPr>
          <w:rFonts w:hint="eastAsia" w:eastAsia="仿宋_GB2312"/>
          <w:sz w:val="32"/>
          <w:szCs w:val="32"/>
        </w:rPr>
        <w:t>，力求全方位反映项目的绩效状况。同时，对于每个指标的评价标准和数据来源均进行了明确说明，确保评价结果的客观性和可追溯性。</w:t>
      </w:r>
    </w:p>
    <w:p w14:paraId="44367121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在数据收集与分析环节，采用了</w:t>
      </w:r>
      <w:r>
        <w:rPr>
          <w:rFonts w:hint="eastAsia" w:eastAsia="仿宋_GB2312"/>
          <w:sz w:val="32"/>
          <w:szCs w:val="32"/>
          <w:lang w:val="en-US" w:eastAsia="zh-CN"/>
        </w:rPr>
        <w:t>数据分析</w:t>
      </w:r>
      <w:r>
        <w:rPr>
          <w:rFonts w:hint="eastAsia" w:eastAsia="仿宋_GB2312"/>
          <w:sz w:val="32"/>
          <w:szCs w:val="32"/>
        </w:rPr>
        <w:t>法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2EC1248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65D0C66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3FA19A7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绩效评价的目的</w:t>
      </w:r>
    </w:p>
    <w:p w14:paraId="0D3C2CD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）评估项目实施效果</w:t>
      </w:r>
    </w:p>
    <w:p w14:paraId="524B0C9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通过对项目预算执行情况及各项绩效目标达成程度的系统性分析，全面、客观地评估项目在预定周期内的社会效益指标，为项目后续的改进与优化提供科学依据。</w:t>
      </w:r>
    </w:p>
    <w:p w14:paraId="43DD003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）提升资源利用效率</w:t>
      </w:r>
    </w:p>
    <w:p w14:paraId="6F91832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1E72840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）强化项目管理责任</w:t>
      </w:r>
    </w:p>
    <w:p w14:paraId="76A4DFA9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4A497D00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）为决策提供支持</w:t>
      </w:r>
    </w:p>
    <w:p w14:paraId="4EDD0B0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76BC0DC9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）促进项目持续改进</w:t>
      </w:r>
    </w:p>
    <w:p w14:paraId="664F251C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0795F120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社会效益。</w:t>
      </w:r>
    </w:p>
    <w:p w14:paraId="20DFDE6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3</w:t>
      </w:r>
      <w:r>
        <w:rPr>
          <w:rFonts w:ascii="Times New Roman" w:hAnsi="Times New Roman" w:eastAsia="仿宋_GB2312"/>
        </w:rPr>
        <w:t>.</w:t>
      </w:r>
      <w:r>
        <w:rPr>
          <w:rFonts w:hint="eastAsia" w:ascii="Times New Roman" w:hAnsi="Times New Roman" w:eastAsia="仿宋_GB2312"/>
          <w:b w:val="0"/>
          <w:bCs w:val="0"/>
        </w:rPr>
        <w:t>绩效评价的对象</w:t>
      </w:r>
    </w:p>
    <w:p w14:paraId="0B53684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本项目预算绩效评价报告的评价外宣工作经费（本级）及其预算执行情况。该项目由特克斯县委宣传部负责实施，旨在充分利用权威媒体的平台优势，对特克斯进行全方位宣传报道，在南航机场、乌鲁木齐高铁站等场所投放文化旅游相关的音视频广告。项目预算涵盖从</w:t>
      </w:r>
      <w:r>
        <w:rPr>
          <w:rFonts w:ascii="Times New Roman" w:hAnsi="Times New Roman" w:eastAsia="仿宋_GB2312"/>
          <w:b w:val="0"/>
          <w:bCs w:val="0"/>
        </w:rPr>
        <w:t>2024</w:t>
      </w:r>
      <w:r>
        <w:rPr>
          <w:rFonts w:hint="eastAsia" w:ascii="Times New Roman" w:hAnsi="Times New Roman" w:eastAsia="仿宋_GB2312"/>
          <w:b w:val="0"/>
          <w:bCs w:val="0"/>
        </w:rPr>
        <w:t>年</w:t>
      </w:r>
      <w:r>
        <w:rPr>
          <w:rFonts w:ascii="Times New Roman" w:hAnsi="Times New Roman" w:eastAsia="仿宋_GB2312"/>
          <w:b w:val="0"/>
          <w:bCs w:val="0"/>
        </w:rPr>
        <w:t>2</w:t>
      </w:r>
      <w:r>
        <w:rPr>
          <w:rFonts w:hint="eastAsia" w:ascii="Times New Roman" w:hAnsi="Times New Roman" w:eastAsia="仿宋_GB2312"/>
          <w:b w:val="0"/>
          <w:bCs w:val="0"/>
        </w:rPr>
        <w:t>月至</w:t>
      </w:r>
      <w:r>
        <w:rPr>
          <w:rFonts w:ascii="Times New Roman" w:hAnsi="Times New Roman" w:eastAsia="仿宋_GB2312"/>
          <w:b w:val="0"/>
          <w:bCs w:val="0"/>
        </w:rPr>
        <w:t>2024</w:t>
      </w:r>
      <w:r>
        <w:rPr>
          <w:rFonts w:hint="eastAsia" w:ascii="Times New Roman" w:hAnsi="Times New Roman" w:eastAsia="仿宋_GB2312"/>
          <w:b w:val="0"/>
          <w:bCs w:val="0"/>
        </w:rPr>
        <w:t>年</w:t>
      </w:r>
      <w:r>
        <w:rPr>
          <w:rFonts w:ascii="Times New Roman" w:hAnsi="Times New Roman" w:eastAsia="仿宋_GB2312"/>
          <w:b w:val="0"/>
          <w:bCs w:val="0"/>
        </w:rPr>
        <w:t>12</w:t>
      </w:r>
      <w:r>
        <w:rPr>
          <w:rFonts w:hint="eastAsia" w:ascii="Times New Roman" w:hAnsi="Times New Roman" w:eastAsia="仿宋_GB2312"/>
          <w:b w:val="0"/>
          <w:bCs w:val="0"/>
        </w:rPr>
        <w:t>月的全部资金投入与支出，涉及资金总额为</w:t>
      </w:r>
      <w:r>
        <w:rPr>
          <w:rFonts w:ascii="Times New Roman" w:hAnsi="Times New Roman" w:eastAsia="仿宋_GB2312"/>
          <w:b w:val="0"/>
          <w:bCs w:val="0"/>
        </w:rPr>
        <w:t>50</w:t>
      </w:r>
      <w:r>
        <w:rPr>
          <w:rFonts w:hint="eastAsia" w:ascii="Times New Roman" w:hAnsi="Times New Roman" w:eastAsia="仿宋_GB2312"/>
          <w:b w:val="0"/>
          <w:bCs w:val="0"/>
        </w:rPr>
        <w:t>万元。</w:t>
      </w:r>
    </w:p>
    <w:p w14:paraId="1644FCA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4.</w:t>
      </w:r>
      <w:r>
        <w:rPr>
          <w:rFonts w:hint="eastAsia" w:ascii="Times New Roman" w:hAnsi="Times New Roman" w:eastAsia="仿宋_GB2312"/>
          <w:b w:val="0"/>
          <w:bCs w:val="0"/>
        </w:rPr>
        <w:t>绩效评价的范围</w:t>
      </w:r>
    </w:p>
    <w:p w14:paraId="1A038396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6FF0903E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项目预算编制与执行：全面审视项目预算的编制依据、合理性、科学性以及实际执行情况，包括预算调整的原因和效果。</w:t>
      </w:r>
    </w:p>
    <w:p w14:paraId="2B4EDADA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资金管理：深入分析项目资金的分配、使用和监管情况，确保资金使用的合规性、高效性和透明度。</w:t>
      </w:r>
    </w:p>
    <w:p w14:paraId="097355ED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项目实施进度与产出：评估项目是否按照既定计划顺利推进，各项任务是否按时完成，以及项目产出的数量、质量和时效性是否符合预期。</w:t>
      </w:r>
    </w:p>
    <w:p w14:paraId="5B86F9DC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社会影响：对特克斯县的政治、经济、文化、乡村振兴、旅游资源、民生热点等进行全方位报道，不断开创特克斯县对外宣传新局面，有力提高特克斯形象和美誉度，形成助推我县经济社会持续健康发展的良好舆论氛围。</w:t>
      </w:r>
    </w:p>
    <w:p w14:paraId="448A9851">
      <w:pPr>
        <w:pStyle w:val="9"/>
        <w:widowControl w:val="0"/>
        <w:spacing w:before="0" w:after="0" w:line="560" w:lineRule="exact"/>
        <w:ind w:firstLine="643" w:firstLineChars="200"/>
        <w:jc w:val="both"/>
        <w:outlineLvl w:val="9"/>
        <w:rPr>
          <w:rFonts w:ascii="Times New Roman" w:hAnsi="Times New Roman" w:eastAsia="楷体_GB2312"/>
          <w:kern w:val="2"/>
        </w:rPr>
      </w:pPr>
      <w:r>
        <w:rPr>
          <w:rFonts w:hint="eastAsia" w:ascii="Times New Roman" w:hAnsi="Times New Roman" w:eastAsia="楷体_GB2312"/>
          <w:kern w:val="2"/>
        </w:rPr>
        <w:t>（二）绩效评价原则、评价指标体系（详情见表</w:t>
      </w:r>
      <w:r>
        <w:rPr>
          <w:rFonts w:ascii="Times New Roman" w:hAnsi="Times New Roman" w:eastAsia="楷体_GB2312"/>
          <w:kern w:val="2"/>
        </w:rPr>
        <w:t>1</w:t>
      </w:r>
      <w:r>
        <w:rPr>
          <w:rFonts w:hint="eastAsia" w:ascii="Times New Roman" w:hAnsi="Times New Roman" w:eastAsia="楷体_GB2312"/>
          <w:kern w:val="2"/>
        </w:rPr>
        <w:t>）、评价方法、评价标准。</w:t>
      </w:r>
    </w:p>
    <w:p w14:paraId="6DFB06A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1</w:t>
      </w:r>
      <w:r>
        <w:rPr>
          <w:rFonts w:ascii="Times New Roman" w:hAnsi="Times New Roman" w:eastAsia="仿宋_GB2312"/>
        </w:rPr>
        <w:t>.</w:t>
      </w:r>
      <w:r>
        <w:rPr>
          <w:rFonts w:hint="eastAsia" w:ascii="Times New Roman" w:hAnsi="Times New Roman" w:eastAsia="仿宋_GB2312"/>
          <w:b w:val="0"/>
          <w:bCs w:val="0"/>
        </w:rPr>
        <w:t>绩效评价原则</w:t>
      </w:r>
    </w:p>
    <w:p w14:paraId="46D5CF7C"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本次项目绩效评价遵循以下基本原则：</w:t>
      </w:r>
    </w:p>
    <w:p w14:paraId="011974AA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（</w:t>
      </w:r>
      <w:r>
        <w:rPr>
          <w:rFonts w:ascii="Times New Roman" w:hAnsi="Times New Roman" w:eastAsia="仿宋_GB2312"/>
          <w:b w:val="0"/>
          <w:bCs w:val="0"/>
        </w:rPr>
        <w:t>1</w:t>
      </w:r>
      <w:r>
        <w:rPr>
          <w:rFonts w:hint="eastAsia" w:ascii="Times New Roman" w:hAnsi="Times New Roman" w:eastAsia="仿宋_GB2312"/>
          <w:b w:val="0"/>
          <w:bCs w:val="0"/>
        </w:rPr>
        <w:t>）科学公正。绩效评价应当运用科学合理的方法，按照规范的程序，对项目绩效进行客观、公正的反映。</w:t>
      </w:r>
    </w:p>
    <w:p w14:paraId="54C10451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（</w:t>
      </w:r>
      <w:r>
        <w:rPr>
          <w:rFonts w:ascii="Times New Roman" w:hAnsi="Times New Roman" w:eastAsia="仿宋_GB2312"/>
          <w:b w:val="0"/>
          <w:bCs w:val="0"/>
        </w:rPr>
        <w:t>2</w:t>
      </w:r>
      <w:r>
        <w:rPr>
          <w:rFonts w:hint="eastAsia" w:ascii="Times New Roman" w:hAnsi="Times New Roman" w:eastAsia="仿宋_GB2312"/>
          <w:b w:val="0"/>
          <w:bCs w:val="0"/>
        </w:rPr>
        <w:t>）统筹兼顾。单位自评、部门评价和财政评价应职责明确，各有侧重，相互衔接。单位自评应由项目单位自主实施，即</w:t>
      </w:r>
      <w:r>
        <w:rPr>
          <w:rFonts w:ascii="Times New Roman" w:hAnsi="Times New Roman" w:eastAsia="仿宋_GB2312"/>
          <w:b w:val="0"/>
          <w:bCs w:val="0"/>
        </w:rPr>
        <w:t>“</w:t>
      </w:r>
      <w:r>
        <w:rPr>
          <w:rFonts w:hint="eastAsia" w:ascii="Times New Roman" w:hAnsi="Times New Roman" w:eastAsia="仿宋_GB2312"/>
          <w:b w:val="0"/>
          <w:bCs w:val="0"/>
        </w:rPr>
        <w:t>谁支出、谁自评</w:t>
      </w:r>
      <w:r>
        <w:rPr>
          <w:rFonts w:ascii="Times New Roman" w:hAnsi="Times New Roman" w:eastAsia="仿宋_GB2312"/>
          <w:b w:val="0"/>
          <w:bCs w:val="0"/>
        </w:rPr>
        <w:t>”</w:t>
      </w:r>
      <w:r>
        <w:rPr>
          <w:rFonts w:hint="eastAsia" w:ascii="Times New Roman" w:hAnsi="Times New Roman" w:eastAsia="仿宋_GB2312"/>
          <w:b w:val="0"/>
          <w:bCs w:val="0"/>
        </w:rPr>
        <w:t>。部门评价和财政评价应在单位自评的基础上开展。</w:t>
      </w:r>
    </w:p>
    <w:p w14:paraId="1791C788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（</w:t>
      </w:r>
      <w:r>
        <w:rPr>
          <w:rFonts w:ascii="Times New Roman" w:hAnsi="Times New Roman" w:eastAsia="仿宋_GB2312"/>
          <w:b w:val="0"/>
          <w:bCs w:val="0"/>
        </w:rPr>
        <w:t>3</w:t>
      </w:r>
      <w:r>
        <w:rPr>
          <w:rFonts w:hint="eastAsia" w:ascii="Times New Roman" w:hAnsi="Times New Roman" w:eastAsia="仿宋_GB2312"/>
          <w:b w:val="0"/>
          <w:bCs w:val="0"/>
        </w:rPr>
        <w:t>）激励约束。绩效评价结果应与预算安排、政策调整、改进管理实质性挂钩，体现奖优罚劣和激励相容导向，有效要安排、低效要压减、无效要问责。</w:t>
      </w:r>
    </w:p>
    <w:p w14:paraId="1A356C9B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（</w:t>
      </w:r>
      <w:r>
        <w:rPr>
          <w:rFonts w:ascii="Times New Roman" w:hAnsi="Times New Roman" w:eastAsia="仿宋_GB2312"/>
          <w:b w:val="0"/>
          <w:bCs w:val="0"/>
        </w:rPr>
        <w:t>4</w:t>
      </w:r>
      <w:r>
        <w:rPr>
          <w:rFonts w:hint="eastAsia" w:ascii="Times New Roman" w:hAnsi="Times New Roman" w:eastAsia="仿宋_GB2312"/>
          <w:b w:val="0"/>
          <w:bCs w:val="0"/>
        </w:rPr>
        <w:t>）公开透明。绩效评价结果应依法依规公开，并自觉接受社会监督。</w:t>
      </w:r>
    </w:p>
    <w:p w14:paraId="4560950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2</w:t>
      </w:r>
      <w:r>
        <w:rPr>
          <w:rFonts w:ascii="Times New Roman" w:hAnsi="Times New Roman" w:eastAsia="仿宋_GB2312"/>
        </w:rPr>
        <w:t>.</w:t>
      </w:r>
      <w:r>
        <w:rPr>
          <w:rFonts w:hint="eastAsia" w:ascii="Times New Roman" w:hAnsi="Times New Roman" w:eastAsia="仿宋_GB2312"/>
          <w:b w:val="0"/>
          <w:bCs w:val="0"/>
        </w:rPr>
        <w:t>评价指标体系</w:t>
      </w:r>
    </w:p>
    <w:p w14:paraId="2965C20A">
      <w:pPr>
        <w:spacing w:line="560" w:lineRule="exact"/>
        <w:ind w:firstLine="708" w:firstLineChars="200"/>
        <w:rPr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391D8D1A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（</w:t>
      </w:r>
      <w:r>
        <w:rPr>
          <w:rFonts w:eastAsia="仿宋_GB2312"/>
          <w:color w:val="000000"/>
          <w:spacing w:val="17"/>
          <w:sz w:val="32"/>
          <w:szCs w:val="32"/>
        </w:rPr>
        <w:t>1</w:t>
      </w:r>
      <w:r>
        <w:rPr>
          <w:rFonts w:hint="eastAsia" w:eastAsia="仿宋_GB2312"/>
          <w:color w:val="000000"/>
          <w:spacing w:val="17"/>
          <w:sz w:val="32"/>
          <w:szCs w:val="32"/>
        </w:rPr>
        <w:t>）确定评价指标</w:t>
      </w:r>
    </w:p>
    <w:p w14:paraId="3376739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5EB1212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（</w:t>
      </w:r>
      <w:r>
        <w:rPr>
          <w:rFonts w:eastAsia="仿宋_GB2312"/>
          <w:color w:val="000000"/>
          <w:spacing w:val="17"/>
          <w:sz w:val="32"/>
          <w:szCs w:val="32"/>
        </w:rPr>
        <w:t>2</w:t>
      </w:r>
      <w:r>
        <w:rPr>
          <w:rFonts w:hint="eastAsia" w:eastAsia="仿宋_GB2312"/>
          <w:color w:val="000000"/>
          <w:spacing w:val="17"/>
          <w:sz w:val="32"/>
          <w:szCs w:val="32"/>
        </w:rPr>
        <w:t>）确定权重</w:t>
      </w:r>
    </w:p>
    <w:p w14:paraId="760175BC">
      <w:pPr>
        <w:spacing w:line="560" w:lineRule="exact"/>
        <w:ind w:firstLine="708" w:firstLineChars="200"/>
        <w:rPr>
          <w:rFonts w:eastAsia="仿宋_GB2312"/>
          <w:color w:val="FF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</w:t>
      </w:r>
      <w:r>
        <w:rPr>
          <w:rFonts w:eastAsia="仿宋_GB2312"/>
          <w:color w:val="000000"/>
          <w:spacing w:val="17"/>
          <w:sz w:val="32"/>
          <w:szCs w:val="32"/>
        </w:rPr>
        <w:t>20</w:t>
      </w:r>
      <w:r>
        <w:rPr>
          <w:rFonts w:hint="eastAsia" w:eastAsia="仿宋_GB2312"/>
          <w:color w:val="000000"/>
          <w:spacing w:val="17"/>
          <w:sz w:val="32"/>
          <w:szCs w:val="32"/>
        </w:rPr>
        <w:t>分，项目过程权重为</w:t>
      </w:r>
      <w:r>
        <w:rPr>
          <w:rFonts w:eastAsia="仿宋_GB2312"/>
          <w:color w:val="000000"/>
          <w:spacing w:val="17"/>
          <w:sz w:val="32"/>
          <w:szCs w:val="32"/>
        </w:rPr>
        <w:t>20</w:t>
      </w:r>
      <w:r>
        <w:rPr>
          <w:rFonts w:hint="eastAsia" w:eastAsia="仿宋_GB2312"/>
          <w:color w:val="000000"/>
          <w:spacing w:val="17"/>
          <w:sz w:val="32"/>
          <w:szCs w:val="32"/>
        </w:rPr>
        <w:t>分，项目产出权重为</w:t>
      </w:r>
      <w:r>
        <w:rPr>
          <w:rFonts w:eastAsia="仿宋_GB2312"/>
          <w:color w:val="000000"/>
          <w:spacing w:val="17"/>
          <w:sz w:val="32"/>
          <w:szCs w:val="32"/>
        </w:rPr>
        <w:t>40</w:t>
      </w:r>
      <w:r>
        <w:rPr>
          <w:rFonts w:hint="eastAsia" w:eastAsia="仿宋_GB2312"/>
          <w:color w:val="000000"/>
          <w:spacing w:val="17"/>
          <w:sz w:val="32"/>
          <w:szCs w:val="32"/>
        </w:rPr>
        <w:t>分，项目效益权重为</w:t>
      </w:r>
      <w:r>
        <w:rPr>
          <w:rFonts w:eastAsia="仿宋_GB2312"/>
          <w:color w:val="000000"/>
          <w:spacing w:val="17"/>
          <w:sz w:val="32"/>
          <w:szCs w:val="32"/>
        </w:rPr>
        <w:t>20</w:t>
      </w:r>
      <w:r>
        <w:rPr>
          <w:rFonts w:hint="eastAsia" w:eastAsia="仿宋_GB2312"/>
          <w:color w:val="000000"/>
          <w:spacing w:val="17"/>
          <w:sz w:val="32"/>
          <w:szCs w:val="32"/>
        </w:rPr>
        <w:t>分。</w:t>
      </w:r>
    </w:p>
    <w:p w14:paraId="17E9DAA8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（</w:t>
      </w:r>
      <w:r>
        <w:rPr>
          <w:rFonts w:eastAsia="仿宋_GB2312"/>
          <w:color w:val="000000"/>
          <w:spacing w:val="17"/>
          <w:sz w:val="32"/>
          <w:szCs w:val="32"/>
        </w:rPr>
        <w:t>3</w:t>
      </w:r>
      <w:r>
        <w:rPr>
          <w:rFonts w:hint="eastAsia" w:eastAsia="仿宋_GB2312"/>
          <w:color w:val="000000"/>
          <w:spacing w:val="17"/>
          <w:sz w:val="32"/>
          <w:szCs w:val="32"/>
        </w:rPr>
        <w:t>）确定指标标准值</w:t>
      </w:r>
    </w:p>
    <w:p w14:paraId="7EF71107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6473ACDE">
      <w:pPr>
        <w:pStyle w:val="9"/>
        <w:spacing w:before="0" w:after="0" w:line="560" w:lineRule="exact"/>
        <w:ind w:firstLine="708" w:firstLineChars="200"/>
        <w:jc w:val="both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分，根据综合评分结果，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90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（含）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-100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分为优、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80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（含）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-90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分为良、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60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（含）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-80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分为中、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60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分以下为差。</w:t>
      </w:r>
    </w:p>
    <w:p w14:paraId="36A84F35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ascii="Times New Roman" w:hAnsi="Times New Roman" w:eastAsia="仿宋_GB2312"/>
          <w:b w:val="0"/>
          <w:bCs w:val="0"/>
          <w:color w:val="000000"/>
          <w:spacing w:val="17"/>
        </w:rPr>
      </w:pP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</w:rPr>
        <w:t>具体评价指标体系详情见附件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</w:rPr>
        <w:t>1</w:t>
      </w:r>
    </w:p>
    <w:p w14:paraId="477ED86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3.</w:t>
      </w:r>
      <w:r>
        <w:rPr>
          <w:rFonts w:hint="eastAsia" w:ascii="Times New Roman" w:hAnsi="Times New Roman" w:eastAsia="仿宋_GB2312"/>
          <w:b w:val="0"/>
          <w:bCs w:val="0"/>
        </w:rPr>
        <w:t>绩效评价方法</w:t>
      </w:r>
    </w:p>
    <w:p w14:paraId="4F681CF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</w:t>
      </w:r>
      <w:r>
        <w:rPr>
          <w:rFonts w:eastAsia="仿宋_GB2312"/>
          <w:color w:val="000000"/>
          <w:spacing w:val="17"/>
          <w:sz w:val="32"/>
          <w:szCs w:val="32"/>
        </w:rPr>
        <w:t xml:space="preserve">  </w:t>
      </w:r>
      <w:r>
        <w:rPr>
          <w:rFonts w:hint="eastAsia" w:eastAsia="仿宋_GB2312"/>
          <w:color w:val="000000"/>
          <w:spacing w:val="17"/>
          <w:sz w:val="32"/>
          <w:szCs w:val="32"/>
        </w:rPr>
        <w:t>评价核心为资金的支出完成情况和项目的产出效益。</w:t>
      </w:r>
    </w:p>
    <w:p w14:paraId="0A2354B3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143F4ED4">
      <w:pPr>
        <w:numPr>
          <w:ilvl w:val="0"/>
          <w:numId w:val="2"/>
        </w:numPr>
        <w:spacing w:line="560" w:lineRule="exact"/>
        <w:ind w:firstLine="708" w:firstLineChars="200"/>
        <w:rPr>
          <w:rFonts w:hint="default" w:eastAsia="仿宋_GB2312"/>
          <w:color w:val="000000"/>
          <w:spacing w:val="17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成本效益分析法。</w:t>
      </w:r>
      <w:r>
        <w:rPr>
          <w:rFonts w:hint="eastAsia" w:eastAsia="仿宋_GB2312"/>
          <w:color w:val="000000"/>
          <w:spacing w:val="17"/>
          <w:sz w:val="32"/>
          <w:szCs w:val="32"/>
          <w:lang w:val="en-US" w:eastAsia="zh-CN"/>
        </w:rPr>
        <w:t>对项目成本进行精细化的管理，使得项目在预算范围内完成宣传推广任务，有效提高了特克斯县的知名度以及游客满意度。</w:t>
      </w:r>
    </w:p>
    <w:p w14:paraId="7AB5BDCA">
      <w:pPr>
        <w:numPr>
          <w:ilvl w:val="0"/>
          <w:numId w:val="0"/>
        </w:numPr>
        <w:spacing w:line="560" w:lineRule="exact"/>
        <w:ind w:firstLine="708" w:firstLineChars="200"/>
        <w:rPr>
          <w:rFonts w:hint="default" w:eastAsia="仿宋_GB2312"/>
          <w:color w:val="000000"/>
          <w:spacing w:val="17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（二）比较法。</w:t>
      </w:r>
      <w:r>
        <w:rPr>
          <w:rFonts w:hint="eastAsia" w:eastAsia="仿宋_GB2312"/>
          <w:color w:val="000000"/>
          <w:spacing w:val="17"/>
          <w:sz w:val="32"/>
          <w:szCs w:val="32"/>
          <w:lang w:val="en-US" w:eastAsia="zh-CN"/>
        </w:rPr>
        <w:t>项目在实施过程中，各项指标均得到了有效的控制和管理，与绩效目标保持一致，且在历史数据的基础上有所提升。</w:t>
      </w:r>
    </w:p>
    <w:p w14:paraId="0245C4F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4</w:t>
      </w:r>
      <w:r>
        <w:rPr>
          <w:rFonts w:ascii="Times New Roman" w:hAnsi="Times New Roman" w:eastAsia="仿宋_GB2312"/>
        </w:rPr>
        <w:t>.</w:t>
      </w:r>
      <w:r>
        <w:rPr>
          <w:rFonts w:hint="eastAsia" w:ascii="Times New Roman" w:hAnsi="Times New Roman" w:eastAsia="仿宋_GB2312"/>
          <w:b w:val="0"/>
          <w:bCs w:val="0"/>
        </w:rPr>
        <w:t>评价标准</w:t>
      </w:r>
    </w:p>
    <w:p w14:paraId="129F19A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绩效评价标准通常包括计划标准、行业标准、历史标准等，用于对绩效指标完成情况进行比较、分析、评价。本次评价主要采用了计划标准。</w:t>
      </w:r>
    </w:p>
    <w:p w14:paraId="7BE6CF8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/>
          <w:b w:val="0"/>
          <w:bCs w:val="0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</w:rPr>
        <w:t>（</w:t>
      </w:r>
      <w:r>
        <w:rPr>
          <w:rFonts w:ascii="Times New Roman" w:hAnsi="Times New Roman" w:eastAsia="仿宋_GB2312"/>
          <w:b w:val="0"/>
          <w:bCs w:val="0"/>
        </w:rPr>
        <w:t>1</w:t>
      </w:r>
      <w:r>
        <w:rPr>
          <w:rFonts w:hint="eastAsia" w:ascii="Times New Roman" w:hAnsi="Times New Roman" w:eastAsia="仿宋_GB2312"/>
          <w:b w:val="0"/>
          <w:bCs w:val="0"/>
        </w:rPr>
        <w:t>）</w:t>
      </w:r>
      <w:bookmarkStart w:id="3" w:name="OLE_LINK7"/>
      <w:r>
        <w:rPr>
          <w:rFonts w:hint="eastAsia" w:ascii="Times New Roman" w:hAnsi="Times New Roman" w:eastAsia="仿宋_GB2312"/>
          <w:b w:val="0"/>
          <w:bCs w:val="0"/>
        </w:rPr>
        <w:t>计划</w:t>
      </w:r>
      <w:bookmarkEnd w:id="3"/>
      <w:r>
        <w:rPr>
          <w:rFonts w:hint="eastAsia" w:ascii="Times New Roman" w:hAnsi="Times New Roman" w:eastAsia="仿宋_GB2312"/>
          <w:b w:val="0"/>
          <w:bCs w:val="0"/>
        </w:rPr>
        <w:t>标准。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项目评价以外宣合作项目个数、项目投放达标率和及时率、合作成本、社会效益、游客满意度等各项指标的完成率作为主要评价标准，根据项目实施情况来看，上述各项指标均达到了预期效果。</w:t>
      </w:r>
    </w:p>
    <w:p w14:paraId="40B33682">
      <w:pPr>
        <w:pStyle w:val="9"/>
        <w:numPr>
          <w:ilvl w:val="0"/>
          <w:numId w:val="3"/>
        </w:numPr>
        <w:spacing w:before="0" w:after="0" w:line="560" w:lineRule="exact"/>
        <w:ind w:firstLine="711" w:firstLineChars="200"/>
        <w:jc w:val="both"/>
        <w:rPr>
          <w:rFonts w:ascii="Times New Roman" w:hAnsi="Times New Roman" w:eastAsia="楷体"/>
          <w:color w:val="000000"/>
          <w:spacing w:val="17"/>
        </w:rPr>
      </w:pPr>
      <w:r>
        <w:rPr>
          <w:rFonts w:hint="eastAsia" w:ascii="Times New Roman" w:hAnsi="Times New Roman" w:eastAsia="楷体"/>
          <w:color w:val="000000"/>
          <w:spacing w:val="17"/>
        </w:rPr>
        <w:t>绩效评价工作过程</w:t>
      </w:r>
    </w:p>
    <w:p w14:paraId="4295BFCD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（</w:t>
      </w:r>
      <w:r>
        <w:rPr>
          <w:rFonts w:eastAsia="仿宋_GB2312"/>
          <w:kern w:val="28"/>
          <w:sz w:val="32"/>
          <w:szCs w:val="32"/>
        </w:rPr>
        <w:t>1</w:t>
      </w:r>
      <w:r>
        <w:rPr>
          <w:rFonts w:hint="eastAsia" w:eastAsia="仿宋_GB2312"/>
          <w:kern w:val="28"/>
          <w:sz w:val="32"/>
          <w:szCs w:val="32"/>
        </w:rPr>
        <w:t>）前期准备与规划</w:t>
      </w:r>
    </w:p>
    <w:p w14:paraId="56100D83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4B155675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（</w:t>
      </w:r>
      <w:r>
        <w:rPr>
          <w:rFonts w:eastAsia="仿宋_GB2312"/>
          <w:kern w:val="28"/>
          <w:sz w:val="32"/>
          <w:szCs w:val="32"/>
        </w:rPr>
        <w:t>2</w:t>
      </w:r>
      <w:r>
        <w:rPr>
          <w:rFonts w:hint="eastAsia" w:eastAsia="仿宋_GB2312"/>
          <w:kern w:val="28"/>
          <w:sz w:val="32"/>
          <w:szCs w:val="32"/>
        </w:rPr>
        <w:t>）指标体系构建</w:t>
      </w:r>
    </w:p>
    <w:p w14:paraId="424DCBBF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</w:p>
    <w:p w14:paraId="4EDAA092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（</w:t>
      </w:r>
      <w:r>
        <w:rPr>
          <w:rFonts w:eastAsia="仿宋_GB2312"/>
          <w:kern w:val="28"/>
          <w:sz w:val="32"/>
          <w:szCs w:val="32"/>
        </w:rPr>
        <w:t>3</w:t>
      </w:r>
      <w:r>
        <w:rPr>
          <w:rFonts w:hint="eastAsia" w:eastAsia="仿宋_GB2312"/>
          <w:kern w:val="28"/>
          <w:sz w:val="32"/>
          <w:szCs w:val="32"/>
        </w:rPr>
        <w:t>）数据收集与整理</w:t>
      </w:r>
    </w:p>
    <w:p w14:paraId="20F43CA9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3BF7378A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（</w:t>
      </w:r>
      <w:r>
        <w:rPr>
          <w:rFonts w:eastAsia="仿宋_GB2312"/>
          <w:kern w:val="28"/>
          <w:sz w:val="32"/>
          <w:szCs w:val="32"/>
        </w:rPr>
        <w:t>4</w:t>
      </w:r>
      <w:r>
        <w:rPr>
          <w:rFonts w:hint="eastAsia" w:eastAsia="仿宋_GB2312"/>
          <w:kern w:val="28"/>
          <w:sz w:val="32"/>
          <w:szCs w:val="32"/>
        </w:rPr>
        <w:t>）数据分析与评估</w:t>
      </w:r>
    </w:p>
    <w:p w14:paraId="44985819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466DD3D7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（</w:t>
      </w:r>
      <w:r>
        <w:rPr>
          <w:rFonts w:eastAsia="仿宋_GB2312"/>
          <w:kern w:val="28"/>
          <w:sz w:val="32"/>
          <w:szCs w:val="32"/>
        </w:rPr>
        <w:t>5</w:t>
      </w:r>
      <w:r>
        <w:rPr>
          <w:rFonts w:hint="eastAsia" w:eastAsia="仿宋_GB2312"/>
          <w:kern w:val="28"/>
          <w:sz w:val="32"/>
          <w:szCs w:val="32"/>
        </w:rPr>
        <w:t>）报告撰写与反馈</w:t>
      </w:r>
    </w:p>
    <w:p w14:paraId="517FCCBE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0EF616E0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（</w:t>
      </w:r>
      <w:r>
        <w:rPr>
          <w:rFonts w:eastAsia="仿宋_GB2312"/>
          <w:kern w:val="28"/>
          <w:sz w:val="32"/>
          <w:szCs w:val="32"/>
        </w:rPr>
        <w:t>6</w:t>
      </w:r>
      <w:r>
        <w:rPr>
          <w:rFonts w:hint="eastAsia" w:eastAsia="仿宋_GB2312"/>
          <w:kern w:val="28"/>
          <w:sz w:val="32"/>
          <w:szCs w:val="32"/>
        </w:rPr>
        <w:t>）后续跟踪与改进</w:t>
      </w:r>
    </w:p>
    <w:p w14:paraId="37D45C3E">
      <w:pPr>
        <w:spacing w:line="560" w:lineRule="exact"/>
        <w:ind w:firstLine="640" w:firstLineChars="20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60A273F2">
      <w:pPr>
        <w:numPr>
          <w:ilvl w:val="0"/>
          <w:numId w:val="4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综合评价情况及评价结论（附相关评分表）</w:t>
      </w:r>
    </w:p>
    <w:p w14:paraId="5CFC5393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147E0E54">
      <w:pPr>
        <w:pStyle w:val="8"/>
        <w:widowControl/>
        <w:spacing w:beforeAutospacing="0" w:afterAutospacing="0"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本项目的综合评价基于对项目各方面绩效的深入分析与评估。从项目目标的达成情况来看，</w:t>
      </w:r>
      <w:bookmarkStart w:id="4" w:name="OLE_LINK13"/>
      <w:r>
        <w:rPr>
          <w:rFonts w:hint="eastAsia" w:eastAsia="仿宋_GB2312"/>
          <w:sz w:val="32"/>
          <w:szCs w:val="32"/>
        </w:rPr>
        <w:t>外宣工作项目在</w:t>
      </w:r>
      <w:bookmarkEnd w:id="4"/>
      <w:r>
        <w:rPr>
          <w:rFonts w:hint="eastAsia" w:eastAsia="仿宋_GB2312"/>
          <w:sz w:val="32"/>
          <w:szCs w:val="32"/>
        </w:rPr>
        <w:t>合作项目个数、、制作完成率、投放达标率和及时率等方面表现出色，达到了预期的标准与要求。同时，项目也在社会效果取得了显著的成效，如</w:t>
      </w:r>
      <w:bookmarkStart w:id="5" w:name="OLE_LINK12"/>
      <w:r>
        <w:rPr>
          <w:rFonts w:hint="eastAsia" w:eastAsia="仿宋_GB2312"/>
          <w:sz w:val="32"/>
          <w:szCs w:val="32"/>
        </w:rPr>
        <w:t>有效提高特克斯形象和美誉度，形成助推我县经济社会持续健康发展的良好舆论氛围等</w:t>
      </w:r>
      <w:bookmarkEnd w:id="5"/>
      <w:r>
        <w:rPr>
          <w:rFonts w:hint="eastAsia" w:eastAsia="仿宋_GB2312"/>
          <w:sz w:val="32"/>
          <w:szCs w:val="32"/>
        </w:rPr>
        <w:t>。</w:t>
      </w:r>
    </w:p>
    <w:p w14:paraId="33386903">
      <w:pPr>
        <w:pStyle w:val="8"/>
        <w:widowControl/>
        <w:spacing w:beforeAutospacing="0" w:afterAutospacing="0"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在项目管理方面，特克斯县委宣传部通过有效的规划、组织与协调，项目得以顺利实施，并在预算与时间上保持了良好的控制。</w:t>
      </w:r>
    </w:p>
    <w:p w14:paraId="37452B73">
      <w:pPr>
        <w:pStyle w:val="8"/>
        <w:widowControl/>
        <w:spacing w:beforeAutospacing="0" w:afterAutospacing="0"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从项目效益的角度来看，本项目不仅实现了预期的社会效益方面产生了积极的影响。具体而言，通过不断扩大与新华社、中国新闻网、伊犁日报等各级主流新闻媒体签署年度宣传合作协议，对特克斯县的政治、经济、文化、乡村振兴、旅游资源、民生热点等进行全方位报道，讲好特克斯故事，传递好特克斯声音，进一步提升新闻舆论传播力、引导力。</w:t>
      </w:r>
    </w:p>
    <w:p w14:paraId="752D2954">
      <w:pPr>
        <w:pStyle w:val="8"/>
        <w:widowControl/>
        <w:spacing w:beforeAutospacing="0" w:afterAutospacing="0" w:line="560" w:lineRule="exact"/>
        <w:ind w:firstLine="640" w:firstLineChars="200"/>
      </w:pPr>
      <w:r>
        <w:rPr>
          <w:rFonts w:hint="eastAsia" w:eastAsia="仿宋_GB2312"/>
          <w:sz w:val="32"/>
          <w:szCs w:val="32"/>
        </w:rPr>
        <w:t>综上所述，特克斯县委宣传部外宣工作项目（本级）在绩效评价中表现出色，达到了项目的预期目标，并在多个方面取得了显著的成效。</w:t>
      </w:r>
    </w:p>
    <w:p w14:paraId="38B0453A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62C297B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</w:t>
      </w:r>
      <w:r>
        <w:rPr>
          <w:rFonts w:ascii="Times New Roman" w:hAnsi="Times New Roman" w:eastAsia="仿宋_GB2312"/>
          <w:b w:val="0"/>
          <w:bCs w:val="0"/>
        </w:rPr>
        <w:t>2020</w:t>
      </w:r>
      <w:r>
        <w:rPr>
          <w:rFonts w:hint="eastAsia" w:ascii="Times New Roman" w:hAnsi="Times New Roman" w:eastAsia="仿宋_GB2312"/>
          <w:b w:val="0"/>
          <w:bCs w:val="0"/>
        </w:rPr>
        <w:t>〕</w:t>
      </w:r>
      <w:r>
        <w:rPr>
          <w:rFonts w:ascii="Times New Roman" w:hAnsi="Times New Roman" w:eastAsia="仿宋_GB2312"/>
          <w:b w:val="0"/>
          <w:bCs w:val="0"/>
        </w:rPr>
        <w:t>10</w:t>
      </w:r>
      <w:r>
        <w:rPr>
          <w:rFonts w:hint="eastAsia" w:ascii="Times New Roman" w:hAnsi="Times New Roman" w:eastAsia="仿宋_GB2312"/>
          <w:b w:val="0"/>
          <w:bCs w:val="0"/>
        </w:rPr>
        <w:t>号）文件的评分标准，通过数据采集、问卷调查及访谈等方式，对本项目进行客观评价，最终评分结果：总得分为</w:t>
      </w:r>
      <w:r>
        <w:rPr>
          <w:rFonts w:ascii="Times New Roman" w:hAnsi="Times New Roman" w:eastAsia="仿宋_GB2312"/>
          <w:b w:val="0"/>
          <w:bCs w:val="0"/>
        </w:rPr>
        <w:t xml:space="preserve"> 100</w:t>
      </w:r>
      <w:r>
        <w:rPr>
          <w:rFonts w:hint="eastAsia" w:ascii="Times New Roman" w:hAnsi="Times New Roman" w:eastAsia="仿宋_GB2312"/>
          <w:b w:val="0"/>
          <w:bCs w:val="0"/>
        </w:rPr>
        <w:t>分，属于</w:t>
      </w:r>
      <w:r>
        <w:rPr>
          <w:rFonts w:ascii="Times New Roman" w:hAnsi="Times New Roman" w:eastAsia="仿宋_GB2312"/>
          <w:b w:val="0"/>
          <w:bCs w:val="0"/>
        </w:rPr>
        <w:t>“</w:t>
      </w:r>
      <w:r>
        <w:rPr>
          <w:rFonts w:hint="eastAsia" w:ascii="Times New Roman" w:hAnsi="Times New Roman" w:eastAsia="仿宋_GB2312"/>
          <w:b w:val="0"/>
          <w:bCs w:val="0"/>
        </w:rPr>
        <w:t>优</w:t>
      </w:r>
      <w:r>
        <w:rPr>
          <w:rFonts w:ascii="Times New Roman" w:hAnsi="Times New Roman" w:eastAsia="仿宋_GB2312"/>
          <w:b w:val="0"/>
          <w:bCs w:val="0"/>
        </w:rPr>
        <w:t>”</w:t>
      </w:r>
      <w:r>
        <w:rPr>
          <w:rFonts w:hint="eastAsia" w:ascii="Times New Roman" w:hAnsi="Times New Roman" w:eastAsia="仿宋_GB2312"/>
          <w:b w:val="0"/>
          <w:bCs w:val="0"/>
        </w:rPr>
        <w:t>。其中，项目决策类指标权重为</w:t>
      </w:r>
      <w:r>
        <w:rPr>
          <w:rFonts w:ascii="Times New Roman" w:hAnsi="Times New Roman" w:eastAsia="仿宋_GB2312"/>
          <w:b w:val="0"/>
          <w:bCs w:val="0"/>
        </w:rPr>
        <w:t>20</w:t>
      </w:r>
      <w:r>
        <w:rPr>
          <w:rFonts w:hint="eastAsia" w:ascii="Times New Roman" w:hAnsi="Times New Roman" w:eastAsia="仿宋_GB2312"/>
          <w:b w:val="0"/>
          <w:bCs w:val="0"/>
        </w:rPr>
        <w:t>分，得分为</w:t>
      </w:r>
      <w:r>
        <w:rPr>
          <w:rFonts w:ascii="Times New Roman" w:hAnsi="Times New Roman" w:eastAsia="仿宋_GB2312"/>
          <w:b w:val="0"/>
          <w:bCs w:val="0"/>
        </w:rPr>
        <w:t xml:space="preserve"> 20</w:t>
      </w:r>
      <w:r>
        <w:rPr>
          <w:rFonts w:hint="eastAsia" w:ascii="Times New Roman" w:hAnsi="Times New Roman" w:eastAsia="仿宋_GB2312"/>
          <w:b w:val="0"/>
          <w:bCs w:val="0"/>
        </w:rPr>
        <w:t>分，得分率为</w:t>
      </w:r>
      <w:r>
        <w:rPr>
          <w:rFonts w:ascii="Times New Roman" w:hAnsi="Times New Roman" w:eastAsia="仿宋_GB2312"/>
          <w:b w:val="0"/>
          <w:bCs w:val="0"/>
        </w:rPr>
        <w:t>100%</w:t>
      </w:r>
      <w:r>
        <w:rPr>
          <w:rFonts w:hint="eastAsia" w:ascii="Times New Roman" w:hAnsi="Times New Roman" w:eastAsia="仿宋_GB2312"/>
          <w:b w:val="0"/>
          <w:bCs w:val="0"/>
        </w:rPr>
        <w:t>。项目过程类指标权重为</w:t>
      </w:r>
      <w:r>
        <w:rPr>
          <w:rFonts w:ascii="Times New Roman" w:hAnsi="Times New Roman" w:eastAsia="仿宋_GB2312"/>
          <w:b w:val="0"/>
          <w:bCs w:val="0"/>
        </w:rPr>
        <w:t>20</w:t>
      </w:r>
      <w:r>
        <w:rPr>
          <w:rFonts w:hint="eastAsia" w:ascii="Times New Roman" w:hAnsi="Times New Roman" w:eastAsia="仿宋_GB2312"/>
          <w:b w:val="0"/>
          <w:bCs w:val="0"/>
        </w:rPr>
        <w:t>分，得分为</w:t>
      </w:r>
      <w:r>
        <w:rPr>
          <w:rFonts w:ascii="Times New Roman" w:hAnsi="Times New Roman" w:eastAsia="仿宋_GB2312"/>
          <w:b w:val="0"/>
          <w:bCs w:val="0"/>
        </w:rPr>
        <w:t>20</w:t>
      </w:r>
      <w:r>
        <w:rPr>
          <w:rFonts w:hint="eastAsia" w:ascii="Times New Roman" w:hAnsi="Times New Roman" w:eastAsia="仿宋_GB2312"/>
          <w:b w:val="0"/>
          <w:bCs w:val="0"/>
        </w:rPr>
        <w:t>分，得分率为</w:t>
      </w:r>
      <w:r>
        <w:rPr>
          <w:rFonts w:ascii="Times New Roman" w:hAnsi="Times New Roman" w:eastAsia="仿宋_GB2312"/>
          <w:b w:val="0"/>
          <w:bCs w:val="0"/>
        </w:rPr>
        <w:t>100%</w:t>
      </w:r>
      <w:r>
        <w:rPr>
          <w:rFonts w:hint="eastAsia" w:ascii="Times New Roman" w:hAnsi="Times New Roman" w:eastAsia="仿宋_GB2312"/>
          <w:b w:val="0"/>
          <w:bCs w:val="0"/>
        </w:rPr>
        <w:t>。项目产出类指标权重为</w:t>
      </w:r>
      <w:r>
        <w:rPr>
          <w:rFonts w:ascii="Times New Roman" w:hAnsi="Times New Roman" w:eastAsia="仿宋_GB2312"/>
          <w:b w:val="0"/>
          <w:bCs w:val="0"/>
        </w:rPr>
        <w:t>40</w:t>
      </w:r>
      <w:r>
        <w:rPr>
          <w:rFonts w:hint="eastAsia" w:ascii="Times New Roman" w:hAnsi="Times New Roman" w:eastAsia="仿宋_GB2312"/>
          <w:b w:val="0"/>
          <w:bCs w:val="0"/>
        </w:rPr>
        <w:t>分，得分为</w:t>
      </w:r>
      <w:r>
        <w:rPr>
          <w:rFonts w:ascii="Times New Roman" w:hAnsi="Times New Roman" w:eastAsia="仿宋_GB2312"/>
          <w:b w:val="0"/>
          <w:bCs w:val="0"/>
        </w:rPr>
        <w:t>40</w:t>
      </w:r>
      <w:r>
        <w:rPr>
          <w:rFonts w:hint="eastAsia" w:ascii="Times New Roman" w:hAnsi="Times New Roman" w:eastAsia="仿宋_GB2312"/>
          <w:b w:val="0"/>
          <w:bCs w:val="0"/>
        </w:rPr>
        <w:t>分，得分率为</w:t>
      </w:r>
      <w:r>
        <w:rPr>
          <w:rFonts w:ascii="Times New Roman" w:hAnsi="Times New Roman" w:eastAsia="仿宋_GB2312"/>
          <w:b w:val="0"/>
          <w:bCs w:val="0"/>
        </w:rPr>
        <w:t>100%</w:t>
      </w:r>
      <w:r>
        <w:rPr>
          <w:rFonts w:hint="eastAsia" w:ascii="Times New Roman" w:hAnsi="Times New Roman" w:eastAsia="仿宋_GB2312"/>
          <w:b w:val="0"/>
          <w:bCs w:val="0"/>
        </w:rPr>
        <w:t>。项目效益类指标权重为</w:t>
      </w:r>
      <w:r>
        <w:rPr>
          <w:rFonts w:ascii="Times New Roman" w:hAnsi="Times New Roman" w:eastAsia="仿宋_GB2312"/>
          <w:b w:val="0"/>
          <w:bCs w:val="0"/>
        </w:rPr>
        <w:t>20</w:t>
      </w:r>
      <w:r>
        <w:rPr>
          <w:rFonts w:hint="eastAsia" w:ascii="Times New Roman" w:hAnsi="Times New Roman" w:eastAsia="仿宋_GB2312"/>
          <w:b w:val="0"/>
          <w:bCs w:val="0"/>
        </w:rPr>
        <w:t>分，得分为</w:t>
      </w:r>
      <w:r>
        <w:rPr>
          <w:rFonts w:ascii="Times New Roman" w:hAnsi="Times New Roman" w:eastAsia="仿宋_GB2312"/>
          <w:b w:val="0"/>
          <w:bCs w:val="0"/>
        </w:rPr>
        <w:t>20</w:t>
      </w:r>
      <w:r>
        <w:rPr>
          <w:rFonts w:hint="eastAsia" w:ascii="Times New Roman" w:hAnsi="Times New Roman" w:eastAsia="仿宋_GB2312"/>
          <w:b w:val="0"/>
          <w:bCs w:val="0"/>
        </w:rPr>
        <w:t>分，得分率为</w:t>
      </w:r>
      <w:r>
        <w:rPr>
          <w:rFonts w:ascii="Times New Roman" w:hAnsi="Times New Roman" w:eastAsia="仿宋_GB2312"/>
          <w:b w:val="0"/>
          <w:bCs w:val="0"/>
        </w:rPr>
        <w:t>100%</w:t>
      </w:r>
      <w:r>
        <w:rPr>
          <w:rFonts w:hint="eastAsia" w:ascii="Times New Roman" w:hAnsi="Times New Roman" w:eastAsia="仿宋_GB2312"/>
          <w:b w:val="0"/>
          <w:bCs w:val="0"/>
        </w:rPr>
        <w:t>。具体打分情况详见：附件</w:t>
      </w:r>
      <w:r>
        <w:rPr>
          <w:rFonts w:ascii="Times New Roman" w:hAnsi="Times New Roman" w:eastAsia="仿宋_GB2312"/>
          <w:b w:val="0"/>
          <w:bCs w:val="0"/>
        </w:rPr>
        <w:t>1</w:t>
      </w:r>
      <w:r>
        <w:rPr>
          <w:rFonts w:hint="eastAsia" w:ascii="Times New Roman" w:hAnsi="Times New Roman" w:eastAsia="仿宋_GB2312"/>
          <w:b w:val="0"/>
          <w:bCs w:val="0"/>
        </w:rPr>
        <w:t>综合评分表。</w:t>
      </w:r>
    </w:p>
    <w:p w14:paraId="61B8B748">
      <w:pPr>
        <w:pStyle w:val="9"/>
        <w:spacing w:before="0" w:after="0"/>
        <w:rPr>
          <w:rFonts w:ascii="Times New Roman" w:hAnsi="Times New Roman" w:eastAsia="仿宋_GB2312"/>
          <w:sz w:val="21"/>
          <w:szCs w:val="21"/>
        </w:rPr>
      </w:pPr>
      <w:r>
        <w:rPr>
          <w:rFonts w:hint="eastAsia" w:ascii="Times New Roman" w:hAnsi="Times New Roman" w:eastAsia="仿宋_GB2312"/>
          <w:sz w:val="21"/>
          <w:szCs w:val="21"/>
        </w:rPr>
        <w:t>表</w:t>
      </w:r>
      <w:r>
        <w:rPr>
          <w:rFonts w:ascii="Times New Roman" w:hAnsi="Times New Roman" w:eastAsia="仿宋_GB2312"/>
          <w:sz w:val="21"/>
          <w:szCs w:val="21"/>
        </w:rPr>
        <w:t>1</w:t>
      </w:r>
      <w:r>
        <w:rPr>
          <w:rFonts w:hint="eastAsia" w:ascii="Times New Roman" w:hAnsi="Times New Roman" w:eastAsia="仿宋_GB2312"/>
          <w:sz w:val="21"/>
          <w:szCs w:val="21"/>
        </w:rPr>
        <w:t>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634DB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 w14:paraId="3F5A73F9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/>
                <w:bCs/>
                <w:color w:val="000000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 w14:paraId="003BC671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/>
                <w:bCs/>
                <w:color w:val="000000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vAlign w:val="center"/>
          </w:tcPr>
          <w:p w14:paraId="352EA083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/>
                <w:bCs/>
                <w:color w:val="000000"/>
                <w:szCs w:val="21"/>
              </w:rPr>
              <w:t>得分</w:t>
            </w:r>
          </w:p>
        </w:tc>
      </w:tr>
      <w:tr w14:paraId="167FF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C2122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63A64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37F7F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</w:tr>
      <w:tr w14:paraId="6DFDE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99C0A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E5D8E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156B6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</w:tr>
      <w:tr w14:paraId="0522A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381E1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BDB10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EF5F6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40</w:t>
            </w:r>
          </w:p>
        </w:tc>
      </w:tr>
      <w:tr w14:paraId="7992B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396C3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88030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D17E0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</w:tr>
      <w:tr w14:paraId="423B0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79CFD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/>
                <w:bCs/>
                <w:color w:val="000000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E0406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81EF1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100</w:t>
            </w:r>
          </w:p>
        </w:tc>
      </w:tr>
    </w:tbl>
    <w:p w14:paraId="53019E7A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四、绩效评价指标分析</w:t>
      </w:r>
    </w:p>
    <w:p w14:paraId="7A65F93B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（一）项目决策情况</w:t>
      </w:r>
    </w:p>
    <w:p w14:paraId="786EDF5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项目决策类指标包括项目立项、绩效目标和资金投入三方面的内容，由</w:t>
      </w: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个三级指标构成，权重分值为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分，实际得分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分，得分率为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。</w:t>
      </w:r>
    </w:p>
    <w:p w14:paraId="4104F076">
      <w:pPr>
        <w:pStyle w:val="3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</w:t>
      </w:r>
      <w:r>
        <w:rPr>
          <w:rFonts w:hint="eastAsia" w:eastAsia="仿宋_GB2312"/>
          <w:b/>
          <w:bCs/>
          <w:sz w:val="32"/>
          <w:szCs w:val="32"/>
        </w:rPr>
        <w:t>项目立项</w:t>
      </w:r>
    </w:p>
    <w:p w14:paraId="0599945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）立项依据充分性</w:t>
      </w:r>
    </w:p>
    <w:p w14:paraId="217D64F5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04D5075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）立项程序规范性</w:t>
      </w:r>
    </w:p>
    <w:p w14:paraId="39606D7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62083150">
      <w:pPr>
        <w:pStyle w:val="3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</w:t>
      </w:r>
      <w:r>
        <w:rPr>
          <w:rFonts w:hint="eastAsia" w:eastAsia="仿宋_GB2312"/>
          <w:b/>
          <w:bCs/>
          <w:sz w:val="32"/>
          <w:szCs w:val="32"/>
        </w:rPr>
        <w:t>绩效目标</w:t>
      </w:r>
    </w:p>
    <w:p w14:paraId="66FCF08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）绩效目标合理性</w:t>
      </w:r>
    </w:p>
    <w:p w14:paraId="2BC08D2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7D999D9C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）绩效指标明确性</w:t>
      </w:r>
    </w:p>
    <w:p w14:paraId="5DC67E0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6FEFD110">
      <w:pPr>
        <w:pStyle w:val="3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3.</w:t>
      </w:r>
      <w:r>
        <w:rPr>
          <w:rFonts w:hint="eastAsia" w:eastAsia="仿宋_GB2312"/>
          <w:b/>
          <w:bCs/>
          <w:sz w:val="32"/>
          <w:szCs w:val="32"/>
        </w:rPr>
        <w:t>资金投入</w:t>
      </w:r>
    </w:p>
    <w:p w14:paraId="39FFEB0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）预算编制科学性</w:t>
      </w:r>
    </w:p>
    <w:p w14:paraId="7A58B400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4EE4FE80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17246CC5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）资金分配合理性</w:t>
      </w:r>
    </w:p>
    <w:p w14:paraId="449FC18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3DF50CA8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024E7C49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2421B8BB">
      <w:pPr>
        <w:pStyle w:val="9"/>
        <w:numPr>
          <w:ilvl w:val="0"/>
          <w:numId w:val="5"/>
        </w:numPr>
        <w:spacing w:before="0" w:after="0" w:line="560" w:lineRule="exact"/>
        <w:ind w:firstLine="643" w:firstLineChars="200"/>
        <w:jc w:val="both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项目过程情况</w:t>
      </w:r>
    </w:p>
    <w:p w14:paraId="42DAFD81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项目过程类指标包括资金管理和组织实施两方面的内容，由</w:t>
      </w: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个三级指标构成，权重分值为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分，实际得分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分，得分率为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。</w:t>
      </w:r>
    </w:p>
    <w:p w14:paraId="25F22FD0">
      <w:pPr>
        <w:pStyle w:val="3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</w:t>
      </w:r>
      <w:r>
        <w:rPr>
          <w:rFonts w:hint="eastAsia" w:eastAsia="仿宋_GB2312"/>
          <w:b/>
          <w:bCs/>
          <w:sz w:val="32"/>
          <w:szCs w:val="32"/>
        </w:rPr>
        <w:t>资金管理</w:t>
      </w:r>
    </w:p>
    <w:p w14:paraId="711B69D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）资金到位率</w:t>
      </w:r>
    </w:p>
    <w:p w14:paraId="45C3FBAE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本项目总投资</w:t>
      </w:r>
      <w:r>
        <w:rPr>
          <w:rFonts w:eastAsia="仿宋_GB2312"/>
          <w:sz w:val="32"/>
          <w:szCs w:val="32"/>
        </w:rPr>
        <w:t>50</w:t>
      </w:r>
      <w:r>
        <w:rPr>
          <w:rFonts w:hint="eastAsia" w:eastAsia="仿宋_GB2312"/>
          <w:sz w:val="32"/>
          <w:szCs w:val="32"/>
        </w:rPr>
        <w:t>万元，财政资金及时足额到位，到位率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，预算资金按计划进度执行。</w:t>
      </w:r>
    </w:p>
    <w:p w14:paraId="68E3916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）预算执行率</w:t>
      </w:r>
    </w:p>
    <w:p w14:paraId="55E3A65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预算编制较为详细，项目资金支出总体能够按照预算执行，预算资金支出</w:t>
      </w:r>
      <w:r>
        <w:rPr>
          <w:rFonts w:eastAsia="仿宋_GB2312"/>
          <w:sz w:val="32"/>
          <w:szCs w:val="32"/>
        </w:rPr>
        <w:t>50</w:t>
      </w:r>
      <w:r>
        <w:rPr>
          <w:rFonts w:hint="eastAsia" w:eastAsia="仿宋_GB2312"/>
          <w:sz w:val="32"/>
          <w:szCs w:val="32"/>
        </w:rPr>
        <w:t>万元，预算执行率为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。</w:t>
      </w:r>
    </w:p>
    <w:p w14:paraId="35A68CC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）资金使用合规性</w:t>
      </w:r>
    </w:p>
    <w:p w14:paraId="5CAC59A1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7BF2448C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3C3315CE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65F99C6C">
      <w:pPr>
        <w:pStyle w:val="3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</w:t>
      </w:r>
      <w:r>
        <w:rPr>
          <w:rFonts w:hint="eastAsia" w:eastAsia="仿宋_GB2312"/>
          <w:b/>
          <w:bCs/>
          <w:sz w:val="32"/>
          <w:szCs w:val="32"/>
        </w:rPr>
        <w:t>组织实施</w:t>
      </w:r>
    </w:p>
    <w:p w14:paraId="1F35E9E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）管理制度健全性</w:t>
      </w:r>
    </w:p>
    <w:p w14:paraId="6FCB1B6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00C4BF0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在制度设计上，我们注重了制度的科学性与可操作性，确保制度能够切实指导项目的执行与管理。</w:t>
      </w:r>
    </w:p>
    <w:p w14:paraId="0A0D7FE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5286985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27B8EF0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）制度执行有效性</w:t>
      </w:r>
    </w:p>
    <w:p w14:paraId="267EF478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</w:p>
    <w:p w14:paraId="6689CF1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23BCA46C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</w:p>
    <w:p w14:paraId="769FA60F">
      <w:pPr>
        <w:pStyle w:val="10"/>
        <w:numPr>
          <w:ilvl w:val="0"/>
          <w:numId w:val="5"/>
        </w:numPr>
        <w:spacing w:line="560" w:lineRule="exact"/>
        <w:ind w:firstLine="31680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项目产出情况</w:t>
      </w:r>
    </w:p>
    <w:p w14:paraId="3C42D00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项目产出类指标包括产出数量、产出质量、产出时效、产出成本四方面的内容，由</w:t>
      </w: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个三级指标构成，权重分为</w:t>
      </w:r>
      <w:r>
        <w:rPr>
          <w:rFonts w:eastAsia="仿宋_GB2312"/>
          <w:sz w:val="32"/>
          <w:szCs w:val="32"/>
        </w:rPr>
        <w:t>40</w:t>
      </w:r>
      <w:r>
        <w:rPr>
          <w:rFonts w:hint="eastAsia" w:eastAsia="仿宋_GB2312"/>
          <w:sz w:val="32"/>
          <w:szCs w:val="32"/>
        </w:rPr>
        <w:t>分，实际得分</w:t>
      </w:r>
      <w:r>
        <w:rPr>
          <w:rFonts w:eastAsia="仿宋_GB2312"/>
          <w:sz w:val="32"/>
          <w:szCs w:val="32"/>
        </w:rPr>
        <w:t>40</w:t>
      </w:r>
      <w:r>
        <w:rPr>
          <w:rFonts w:hint="eastAsia" w:eastAsia="仿宋_GB2312"/>
          <w:sz w:val="32"/>
          <w:szCs w:val="32"/>
        </w:rPr>
        <w:t>分，得分率为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。具体产出指标完成情况如下：</w:t>
      </w:r>
    </w:p>
    <w:p w14:paraId="2D25B26F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1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hint="eastAsia" w:eastAsia="仿宋_GB2312"/>
          <w:sz w:val="32"/>
          <w:szCs w:val="32"/>
        </w:rPr>
        <w:t>①</w:t>
      </w:r>
      <w:r>
        <w:rPr>
          <w:rFonts w:eastAsia="仿宋_GB2312"/>
          <w:sz w:val="32"/>
          <w:szCs w:val="32"/>
        </w:rPr>
        <w:fldChar w:fldCharType="end"/>
      </w:r>
      <w:r>
        <w:rPr>
          <w:rFonts w:hint="eastAsia" w:eastAsia="仿宋_GB2312"/>
          <w:sz w:val="32"/>
          <w:szCs w:val="32"/>
        </w:rPr>
        <w:t>数量指标：</w:t>
      </w:r>
      <w:r>
        <w:rPr>
          <w:rFonts w:eastAsia="仿宋_GB2312"/>
          <w:sz w:val="32"/>
          <w:szCs w:val="32"/>
        </w:rPr>
        <w:t>1</w:t>
      </w:r>
    </w:p>
    <w:p w14:paraId="123548D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指标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：外宣合作项目个数，指标值：</w:t>
      </w:r>
      <w:r>
        <w:rPr>
          <w:rFonts w:eastAsia="仿宋_GB2312"/>
          <w:sz w:val="32"/>
          <w:szCs w:val="32"/>
        </w:rPr>
        <w:t>=10</w:t>
      </w:r>
      <w:r>
        <w:rPr>
          <w:rFonts w:hint="eastAsia" w:eastAsia="仿宋_GB2312"/>
          <w:sz w:val="32"/>
          <w:szCs w:val="32"/>
        </w:rPr>
        <w:t>个，</w:t>
      </w:r>
      <w:r>
        <w:rPr>
          <w:rFonts w:hint="eastAsia" w:eastAsia="仿宋_GB2312"/>
          <w:sz w:val="32"/>
          <w:szCs w:val="32"/>
          <w:lang w:val="en-US" w:eastAsia="zh-CN"/>
        </w:rPr>
        <w:t>完成</w:t>
      </w:r>
      <w:r>
        <w:rPr>
          <w:rFonts w:hint="eastAsia" w:eastAsia="仿宋_GB2312"/>
          <w:sz w:val="32"/>
          <w:szCs w:val="32"/>
        </w:rPr>
        <w:t>值：</w:t>
      </w:r>
      <w:r>
        <w:rPr>
          <w:rFonts w:eastAsia="仿宋_GB2312"/>
          <w:sz w:val="32"/>
          <w:szCs w:val="32"/>
        </w:rPr>
        <w:t>=1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个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指标完成率</w:t>
      </w:r>
      <w:r>
        <w:rPr>
          <w:rFonts w:eastAsia="仿宋_GB2312"/>
          <w:sz w:val="32"/>
          <w:szCs w:val="32"/>
        </w:rPr>
        <w:t>130 %</w:t>
      </w:r>
      <w:r>
        <w:rPr>
          <w:rFonts w:hint="eastAsia" w:eastAsia="仿宋_GB2312"/>
          <w:sz w:val="32"/>
          <w:szCs w:val="32"/>
        </w:rPr>
        <w:t>，偏差</w:t>
      </w:r>
      <w:r>
        <w:rPr>
          <w:rFonts w:eastAsia="仿宋_GB2312"/>
          <w:sz w:val="32"/>
          <w:szCs w:val="32"/>
        </w:rPr>
        <w:t>30%</w:t>
      </w:r>
      <w:r>
        <w:rPr>
          <w:rFonts w:hint="eastAsia" w:eastAsia="仿宋_GB2312"/>
          <w:sz w:val="32"/>
          <w:szCs w:val="32"/>
        </w:rPr>
        <w:t>，指标成效分析：</w:t>
      </w:r>
      <w:bookmarkStart w:id="6" w:name="OLE_LINK18"/>
      <w:r>
        <w:rPr>
          <w:rFonts w:hint="eastAsia" w:eastAsia="仿宋_GB2312"/>
          <w:sz w:val="32"/>
          <w:szCs w:val="32"/>
        </w:rPr>
        <w:t>因对外宣传工作需要，本年度与</w:t>
      </w:r>
      <w:r>
        <w:rPr>
          <w:rFonts w:eastAsia="仿宋_GB2312"/>
          <w:sz w:val="32"/>
          <w:szCs w:val="32"/>
        </w:rPr>
        <w:t>13</w:t>
      </w:r>
      <w:r>
        <w:rPr>
          <w:rFonts w:hint="eastAsia" w:eastAsia="仿宋_GB2312"/>
          <w:sz w:val="32"/>
          <w:szCs w:val="32"/>
        </w:rPr>
        <w:t>家权威媒体和知名企业签署合作协议，围绕特克斯县政治、经济、文化、乡村振兴、旅游资源、民生热点等进行全方位报道，不断开创特克斯县对外宣传新局面。</w:t>
      </w:r>
      <w:bookmarkEnd w:id="6"/>
    </w:p>
    <w:p w14:paraId="4A6A4C4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2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hint="eastAsia" w:eastAsia="仿宋_GB2312"/>
          <w:sz w:val="32"/>
          <w:szCs w:val="32"/>
        </w:rPr>
        <w:t>②</w:t>
      </w:r>
      <w:r>
        <w:rPr>
          <w:rFonts w:eastAsia="仿宋_GB2312"/>
          <w:sz w:val="32"/>
          <w:szCs w:val="32"/>
        </w:rPr>
        <w:fldChar w:fldCharType="end"/>
      </w:r>
      <w:r>
        <w:rPr>
          <w:rFonts w:hint="eastAsia" w:eastAsia="仿宋_GB2312"/>
          <w:sz w:val="32"/>
          <w:szCs w:val="32"/>
        </w:rPr>
        <w:t>质量指标：</w:t>
      </w:r>
      <w:r>
        <w:rPr>
          <w:rFonts w:eastAsia="仿宋_GB2312"/>
          <w:sz w:val="32"/>
          <w:szCs w:val="32"/>
        </w:rPr>
        <w:t>2</w:t>
      </w:r>
    </w:p>
    <w:p w14:paraId="118F697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指标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：外宣合作项目投放达标率，指标值：</w:t>
      </w:r>
      <w:r>
        <w:rPr>
          <w:rFonts w:eastAsia="仿宋_GB2312"/>
          <w:sz w:val="32"/>
          <w:szCs w:val="32"/>
        </w:rPr>
        <w:t>=98%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完成</w:t>
      </w:r>
      <w:r>
        <w:rPr>
          <w:rFonts w:hint="eastAsia" w:eastAsia="仿宋_GB2312"/>
          <w:sz w:val="32"/>
          <w:szCs w:val="32"/>
        </w:rPr>
        <w:t>值：</w:t>
      </w:r>
      <w:r>
        <w:rPr>
          <w:rFonts w:eastAsia="仿宋_GB2312"/>
          <w:sz w:val="32"/>
          <w:szCs w:val="32"/>
        </w:rPr>
        <w:t>=98%</w:t>
      </w:r>
      <w:r>
        <w:rPr>
          <w:rFonts w:hint="eastAsia" w:eastAsia="仿宋_GB2312"/>
          <w:sz w:val="32"/>
          <w:szCs w:val="32"/>
        </w:rPr>
        <w:t>，指标完成率</w:t>
      </w:r>
      <w:r>
        <w:rPr>
          <w:rFonts w:eastAsia="仿宋_GB2312"/>
          <w:sz w:val="32"/>
          <w:szCs w:val="32"/>
        </w:rPr>
        <w:t>100%</w:t>
      </w:r>
      <w:bookmarkStart w:id="7" w:name="OLE_LINK19"/>
      <w:r>
        <w:rPr>
          <w:rFonts w:hint="eastAsia" w:eastAsia="仿宋_GB2312"/>
          <w:sz w:val="32"/>
          <w:szCs w:val="32"/>
        </w:rPr>
        <w:t>。</w:t>
      </w:r>
      <w:bookmarkEnd w:id="7"/>
      <w:r>
        <w:rPr>
          <w:rFonts w:hint="eastAsia" w:eastAsia="仿宋_GB2312"/>
          <w:sz w:val="32"/>
          <w:szCs w:val="32"/>
        </w:rPr>
        <w:t>我单位严格把控投放质量，确保每一则宣传稿件和广告都能精准触达目标受众，为特克斯旅游品牌的广泛宣传奠定了坚实基础。</w:t>
      </w:r>
    </w:p>
    <w:p w14:paraId="464E438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指标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：外宣合作项目制作完成率，指标值：</w:t>
      </w:r>
      <w:r>
        <w:rPr>
          <w:rFonts w:eastAsia="仿宋_GB2312"/>
          <w:sz w:val="32"/>
          <w:szCs w:val="32"/>
        </w:rPr>
        <w:t>=98%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完成</w:t>
      </w:r>
      <w:r>
        <w:rPr>
          <w:rFonts w:hint="eastAsia" w:eastAsia="仿宋_GB2312"/>
          <w:sz w:val="32"/>
          <w:szCs w:val="32"/>
        </w:rPr>
        <w:t>值：</w:t>
      </w:r>
      <w:r>
        <w:rPr>
          <w:rFonts w:eastAsia="仿宋_GB2312"/>
          <w:sz w:val="32"/>
          <w:szCs w:val="32"/>
        </w:rPr>
        <w:t>=98%</w:t>
      </w:r>
      <w:r>
        <w:rPr>
          <w:rFonts w:hint="eastAsia" w:eastAsia="仿宋_GB2312"/>
          <w:sz w:val="32"/>
          <w:szCs w:val="32"/>
        </w:rPr>
        <w:t>，指标完成率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。</w:t>
      </w:r>
    </w:p>
    <w:p w14:paraId="225E3C9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default" w:ascii="Calibri" w:hAnsi="Calibri" w:eastAsia="仿宋_GB2312" w:cs="Calibri"/>
          <w:sz w:val="32"/>
          <w:szCs w:val="32"/>
        </w:rPr>
        <w:t>③</w:t>
      </w:r>
      <w:r>
        <w:rPr>
          <w:rFonts w:hint="eastAsia" w:eastAsia="仿宋_GB2312"/>
          <w:sz w:val="32"/>
          <w:szCs w:val="32"/>
        </w:rPr>
        <w:t>时效指标：</w:t>
      </w:r>
      <w:r>
        <w:rPr>
          <w:rFonts w:eastAsia="仿宋_GB2312"/>
          <w:sz w:val="32"/>
          <w:szCs w:val="32"/>
        </w:rPr>
        <w:t>1</w:t>
      </w:r>
    </w:p>
    <w:p w14:paraId="043FDD93">
      <w:pPr>
        <w:spacing w:line="600" w:lineRule="exact"/>
        <w:ind w:firstLine="640" w:firstLineChars="200"/>
        <w:outlineLvl w:val="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指标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：外宣合作项目投放及时率，指标值：</w:t>
      </w:r>
      <w:r>
        <w:rPr>
          <w:rFonts w:eastAsia="仿宋_GB2312"/>
          <w:sz w:val="32"/>
          <w:szCs w:val="32"/>
        </w:rPr>
        <w:t>=98%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完成</w:t>
      </w:r>
      <w:r>
        <w:rPr>
          <w:rFonts w:hint="eastAsia" w:eastAsia="仿宋_GB2312"/>
          <w:sz w:val="32"/>
          <w:szCs w:val="32"/>
        </w:rPr>
        <w:t>值：</w:t>
      </w:r>
      <w:r>
        <w:rPr>
          <w:rFonts w:eastAsia="仿宋_GB2312"/>
          <w:sz w:val="32"/>
          <w:szCs w:val="32"/>
        </w:rPr>
        <w:t>=98%</w:t>
      </w:r>
      <w:r>
        <w:rPr>
          <w:rFonts w:hint="eastAsia" w:eastAsia="仿宋_GB2312"/>
          <w:sz w:val="32"/>
          <w:szCs w:val="32"/>
        </w:rPr>
        <w:t>，指标完成率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。我单位始终保持高度的敏锐性，确保项目按时、按质、按量投放完成，有效提高了宣传效果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 w14:paraId="6901D2E3">
      <w:pPr>
        <w:pStyle w:val="10"/>
        <w:numPr>
          <w:ilvl w:val="0"/>
          <w:numId w:val="5"/>
        </w:numPr>
        <w:spacing w:line="560" w:lineRule="exact"/>
        <w:ind w:firstLine="31680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2FB18B5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项目效益类指标包括项目实施效益和满意度两方面的内容，由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个三级指标构成，权重分为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分，实际得分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分，得分率为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。具体效益指标及满意度指标完成情况如下：</w:t>
      </w:r>
    </w:p>
    <w:p w14:paraId="1585DD6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实施效益</w:t>
      </w:r>
    </w:p>
    <w:p w14:paraId="687852C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default" w:ascii="Calibri" w:hAnsi="Calibri" w:eastAsia="仿宋_GB2312" w:cs="Calibri"/>
          <w:sz w:val="32"/>
          <w:szCs w:val="32"/>
        </w:rPr>
        <w:t>①</w:t>
      </w:r>
      <w:r>
        <w:rPr>
          <w:rFonts w:hint="eastAsia" w:eastAsia="仿宋_GB2312"/>
          <w:sz w:val="32"/>
          <w:szCs w:val="32"/>
        </w:rPr>
        <w:t>社会效益指标：</w:t>
      </w:r>
    </w:p>
    <w:p w14:paraId="205492BF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指标值：</w:t>
      </w:r>
      <w:r>
        <w:rPr>
          <w:rFonts w:hint="eastAsia" w:eastAsia="仿宋_GB2312"/>
          <w:sz w:val="32"/>
          <w:szCs w:val="32"/>
          <w:lang w:val="en-US" w:eastAsia="zh-CN"/>
        </w:rPr>
        <w:t>有效提高特克斯知名度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完成</w:t>
      </w:r>
      <w:r>
        <w:rPr>
          <w:rFonts w:hint="eastAsia" w:eastAsia="仿宋_GB2312"/>
          <w:sz w:val="32"/>
          <w:szCs w:val="32"/>
        </w:rPr>
        <w:t>值：</w:t>
      </w:r>
      <w:r>
        <w:rPr>
          <w:rFonts w:hint="eastAsia" w:eastAsia="仿宋_GB2312"/>
          <w:sz w:val="32"/>
          <w:szCs w:val="32"/>
          <w:lang w:val="en-US" w:eastAsia="zh-CN"/>
        </w:rPr>
        <w:t>有效提高</w:t>
      </w:r>
      <w:r>
        <w:rPr>
          <w:rFonts w:hint="eastAsia" w:eastAsia="仿宋_GB2312"/>
          <w:sz w:val="32"/>
          <w:szCs w:val="32"/>
        </w:rPr>
        <w:t>，指标完成率</w:t>
      </w:r>
      <w:r>
        <w:rPr>
          <w:rFonts w:eastAsia="仿宋_GB2312"/>
          <w:sz w:val="32"/>
          <w:szCs w:val="32"/>
        </w:rPr>
        <w:t>100%</w:t>
      </w:r>
      <w:r>
        <w:rPr>
          <w:rFonts w:hint="eastAsia" w:eastAsia="仿宋_GB2312"/>
          <w:sz w:val="32"/>
          <w:szCs w:val="32"/>
        </w:rPr>
        <w:t>。</w:t>
      </w:r>
    </w:p>
    <w:p w14:paraId="06ED890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bookmarkStart w:id="8" w:name="OLE_LINK15"/>
      <w:r>
        <w:rPr>
          <w:rFonts w:hint="eastAsia" w:eastAsia="仿宋_GB2312"/>
          <w:sz w:val="32"/>
          <w:szCs w:val="32"/>
        </w:rPr>
        <w:t>满意度</w:t>
      </w:r>
      <w:bookmarkEnd w:id="8"/>
    </w:p>
    <w:p w14:paraId="77A2A92C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满意度指标：游客满意度&gt;=95%，实际完成值：游客满意度=95%</w:t>
      </w:r>
      <w:r>
        <w:rPr>
          <w:rFonts w:hint="eastAsia" w:eastAsia="仿宋_GB2312"/>
          <w:sz w:val="32"/>
          <w:szCs w:val="32"/>
        </w:rPr>
        <w:t>。通过持续的沟通与反馈机制，我单位不断优化服务流程，提升服务质量，本年度，服务对象满意度达到</w:t>
      </w:r>
      <w:r>
        <w:rPr>
          <w:rFonts w:eastAsia="仿宋_GB2312"/>
          <w:sz w:val="32"/>
          <w:szCs w:val="32"/>
        </w:rPr>
        <w:t>95%</w:t>
      </w:r>
      <w:r>
        <w:rPr>
          <w:rFonts w:hint="eastAsia" w:eastAsia="仿宋_GB2312"/>
          <w:sz w:val="32"/>
          <w:szCs w:val="32"/>
        </w:rPr>
        <w:t>，得到广大游客和合作对象的认可，超出了预期指标。解决措施：下一年度将从严从高设置绩效目标。</w:t>
      </w:r>
    </w:p>
    <w:p w14:paraId="223A2633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（五）预算执行进度与绩效指标总体完成率偏差</w:t>
      </w:r>
    </w:p>
    <w:p w14:paraId="25FAF059">
      <w:pPr>
        <w:pStyle w:val="31"/>
        <w:spacing w:line="560" w:lineRule="exact"/>
        <w:ind w:firstLine="640"/>
        <w:rPr>
          <w:rFonts w:eastAsia="仿宋_GB2312"/>
          <w:kern w:val="2"/>
          <w:sz w:val="32"/>
          <w:szCs w:val="32"/>
        </w:rPr>
      </w:pPr>
      <w:r>
        <w:rPr>
          <w:rFonts w:hint="eastAsia" w:eastAsia="仿宋_GB2312"/>
          <w:kern w:val="2"/>
          <w:sz w:val="32"/>
          <w:szCs w:val="32"/>
        </w:rPr>
        <w:t>外宣工作项目年初预算</w:t>
      </w:r>
      <w:r>
        <w:rPr>
          <w:rFonts w:eastAsia="仿宋_GB2312"/>
          <w:kern w:val="2"/>
          <w:sz w:val="32"/>
          <w:szCs w:val="32"/>
        </w:rPr>
        <w:t>50</w:t>
      </w:r>
      <w:r>
        <w:rPr>
          <w:rFonts w:hint="eastAsia" w:eastAsia="仿宋_GB2312"/>
          <w:kern w:val="2"/>
          <w:sz w:val="32"/>
          <w:szCs w:val="32"/>
        </w:rPr>
        <w:t>万元，全年预算</w:t>
      </w:r>
      <w:r>
        <w:rPr>
          <w:rFonts w:eastAsia="仿宋_GB2312"/>
          <w:kern w:val="2"/>
          <w:sz w:val="32"/>
          <w:szCs w:val="32"/>
        </w:rPr>
        <w:t>50</w:t>
      </w:r>
      <w:r>
        <w:rPr>
          <w:rFonts w:hint="eastAsia" w:eastAsia="仿宋_GB2312"/>
          <w:kern w:val="2"/>
          <w:sz w:val="32"/>
          <w:szCs w:val="32"/>
        </w:rPr>
        <w:t>万元，实际支出</w:t>
      </w:r>
      <w:r>
        <w:rPr>
          <w:rFonts w:eastAsia="仿宋_GB2312"/>
          <w:kern w:val="2"/>
          <w:sz w:val="32"/>
          <w:szCs w:val="32"/>
        </w:rPr>
        <w:t>50</w:t>
      </w:r>
      <w:r>
        <w:rPr>
          <w:rFonts w:hint="eastAsia" w:eastAsia="仿宋_GB2312"/>
          <w:kern w:val="2"/>
          <w:sz w:val="32"/>
          <w:szCs w:val="32"/>
        </w:rPr>
        <w:t>万元，预算执行率为</w:t>
      </w:r>
      <w:r>
        <w:rPr>
          <w:rFonts w:eastAsia="仿宋_GB2312"/>
          <w:kern w:val="2"/>
          <w:sz w:val="32"/>
          <w:szCs w:val="32"/>
        </w:rPr>
        <w:t>100%</w:t>
      </w:r>
      <w:r>
        <w:rPr>
          <w:rFonts w:hint="eastAsia" w:eastAsia="仿宋_GB2312"/>
          <w:kern w:val="2"/>
          <w:sz w:val="32"/>
          <w:szCs w:val="32"/>
        </w:rPr>
        <w:t>，项目绩效指标总体完成率为</w:t>
      </w:r>
      <w:r>
        <w:rPr>
          <w:rFonts w:eastAsia="仿宋_GB2312"/>
          <w:kern w:val="2"/>
          <w:sz w:val="32"/>
          <w:szCs w:val="32"/>
        </w:rPr>
        <w:t>100%</w:t>
      </w:r>
      <w:r>
        <w:rPr>
          <w:rFonts w:hint="eastAsia" w:eastAsia="仿宋_GB2312"/>
          <w:kern w:val="2"/>
          <w:sz w:val="32"/>
          <w:szCs w:val="32"/>
        </w:rPr>
        <w:t>，总体偏差率为</w:t>
      </w:r>
      <w:r>
        <w:rPr>
          <w:rFonts w:eastAsia="仿宋_GB2312"/>
          <w:kern w:val="2"/>
          <w:sz w:val="32"/>
          <w:szCs w:val="32"/>
        </w:rPr>
        <w:t>0%</w:t>
      </w:r>
      <w:r>
        <w:rPr>
          <w:rFonts w:hint="eastAsia" w:eastAsia="仿宋_GB2312"/>
          <w:kern w:val="2"/>
          <w:sz w:val="32"/>
          <w:szCs w:val="32"/>
        </w:rPr>
        <w:t>。</w:t>
      </w:r>
    </w:p>
    <w:p w14:paraId="34A7F442">
      <w:pPr>
        <w:spacing w:line="560" w:lineRule="exact"/>
        <w:ind w:firstLine="640" w:firstLineChars="200"/>
        <w:rPr>
          <w:rStyle w:val="30"/>
          <w:rFonts w:ascii="Times New Roman" w:hAnsi="Times New Roman"/>
          <w:color w:val="auto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hint="eastAsia" w:eastAsia="黑体"/>
          <w:sz w:val="32"/>
          <w:szCs w:val="32"/>
        </w:rPr>
        <w:t>主要经验及做法、存在的问题及原因分析</w:t>
      </w:r>
    </w:p>
    <w:p w14:paraId="28915894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hint="eastAsia" w:eastAsia="楷体"/>
          <w:b/>
          <w:spacing w:val="-4"/>
          <w:sz w:val="32"/>
          <w:szCs w:val="32"/>
        </w:rPr>
        <w:t>（一）主要经验及做法</w:t>
      </w:r>
    </w:p>
    <w:p w14:paraId="790BFFE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民意调查及项目防范工作。</w:t>
      </w:r>
    </w:p>
    <w:p w14:paraId="635559BF">
      <w:pPr>
        <w:pStyle w:val="9"/>
        <w:spacing w:before="0" w:after="0" w:line="560" w:lineRule="exact"/>
        <w:ind w:firstLine="640" w:firstLineChars="200"/>
        <w:jc w:val="left"/>
        <w:rPr>
          <w:rFonts w:ascii="Times New Roman" w:hAnsi="Times New Roman" w:eastAsia="仿宋_GB2312"/>
          <w:b w:val="0"/>
          <w:bCs w:val="0"/>
          <w:kern w:val="2"/>
        </w:rPr>
      </w:pPr>
      <w:r>
        <w:rPr>
          <w:rFonts w:hint="eastAsia" w:ascii="Times New Roman" w:hAnsi="Times New Roman" w:eastAsia="仿宋_GB2312"/>
          <w:b w:val="0"/>
          <w:bCs w:val="0"/>
          <w:kern w:val="2"/>
        </w:rPr>
        <w:t>严格坚持先做事、后验收、再拨付的原则，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0001139A">
      <w:pPr>
        <w:keepNext/>
        <w:keepLines/>
        <w:numPr>
          <w:ilvl w:val="0"/>
          <w:numId w:val="6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存在的问题及原因分析</w:t>
      </w:r>
    </w:p>
    <w:p w14:paraId="175B3B3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相关绩效管理方面专业知识的系统性学习有待加强。各项指标的设置要进一步优化、完善，主要在细化、量化上改进。在绩效自评过程中，</w:t>
      </w:r>
      <w:r>
        <w:rPr>
          <w:rFonts w:hint="eastAsia" w:eastAsia="仿宋_GB2312"/>
          <w:sz w:val="32"/>
          <w:szCs w:val="32"/>
          <w:lang w:val="en-US" w:eastAsia="zh-CN"/>
        </w:rPr>
        <w:t>由于部分人员</w:t>
      </w:r>
      <w:r>
        <w:rPr>
          <w:rFonts w:hint="eastAsia" w:eastAsia="仿宋_GB2312"/>
          <w:sz w:val="32"/>
          <w:szCs w:val="32"/>
        </w:rPr>
        <w:t>缺乏相关绩效管理专业知识，自评价工作还存在自我审定的局限性，影响评价质量。</w:t>
      </w:r>
    </w:p>
    <w:p w14:paraId="469B37AA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.</w:t>
      </w:r>
      <w:r>
        <w:rPr>
          <w:rFonts w:hint="eastAsia" w:eastAsia="黑体"/>
          <w:sz w:val="32"/>
          <w:szCs w:val="32"/>
        </w:rPr>
        <w:t>有关建议</w:t>
      </w:r>
    </w:p>
    <w:p w14:paraId="754ED39C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多进行有关绩效管理工作方面的培训。积极组织第三方开展绩效管理工作培训，进一步夯实业务基础，提高我单位绩效人员水平。</w:t>
      </w:r>
    </w:p>
    <w:p w14:paraId="615907C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专门设定对绩效工作人员定职、定岗、定责等相关制度措施，进一步提升我单位绩效管理工作业务水平，扎实做好绩效管理工作。</w:t>
      </w:r>
    </w:p>
    <w:p w14:paraId="35A06EFB">
      <w:pPr>
        <w:spacing w:line="600" w:lineRule="exact"/>
        <w:ind w:firstLine="640" w:firstLineChars="200"/>
        <w:outlineLvl w:val="0"/>
        <w:rPr>
          <w:sz w:val="22"/>
          <w:szCs w:val="28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eastAsia="仿宋_GB2312"/>
          <w:sz w:val="36"/>
          <w:szCs w:val="32"/>
        </w:rPr>
        <w:t>。</w:t>
      </w:r>
    </w:p>
    <w:p w14:paraId="1A67D4E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hint="eastAsia" w:eastAsia="仿宋_GB2312"/>
          <w:sz w:val="32"/>
          <w:szCs w:val="32"/>
        </w:rPr>
        <w:t>进一步加强对绩效管理工作的组织领导，提高对预算绩效管理工作重要性的认识，总结经验查找问题，抓紧研究制定更全面更完善的绩效评价管理办法。建立绩效工作考核制度，加大全局对全面实施预算绩效管理和绩效管理工作的学习力度，让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花钱必问效，无效必问责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/>
          <w:sz w:val="32"/>
          <w:szCs w:val="32"/>
        </w:rPr>
        <w:t>的理念深入工作每个环节。</w:t>
      </w:r>
    </w:p>
    <w:p w14:paraId="1CC787F1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hint="eastAsia" w:eastAsia="黑体"/>
          <w:sz w:val="32"/>
          <w:szCs w:val="32"/>
        </w:rPr>
        <w:t>其他需要说</w:t>
      </w:r>
      <w:bookmarkStart w:id="9" w:name="page8"/>
      <w:bookmarkEnd w:id="9"/>
      <w:r>
        <w:rPr>
          <w:rFonts w:hint="eastAsia" w:eastAsia="黑体"/>
          <w:sz w:val="32"/>
          <w:szCs w:val="32"/>
        </w:rPr>
        <w:t>明的问题</w:t>
      </w:r>
    </w:p>
    <w:p w14:paraId="27194976">
      <w:pPr>
        <w:pStyle w:val="11"/>
        <w:spacing w:after="0" w:line="560" w:lineRule="exact"/>
        <w:ind w:left="0" w:leftChars="0" w:firstLine="3168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本项目无其他需说明的问题。</w:t>
      </w:r>
    </w:p>
    <w:p w14:paraId="1BDA5517">
      <w:pPr>
        <w:pStyle w:val="11"/>
        <w:spacing w:after="0" w:line="560" w:lineRule="exact"/>
        <w:ind w:left="0" w:leftChars="0" w:firstLine="31680"/>
        <w:rPr>
          <w:rFonts w:ascii="Times New Roman" w:hAnsi="Times New Roman" w:eastAsia="仿宋_GB2312"/>
          <w:sz w:val="32"/>
          <w:szCs w:val="32"/>
        </w:rPr>
      </w:pPr>
    </w:p>
    <w:p w14:paraId="3367EF22">
      <w:bookmarkStart w:id="10" w:name="_GoBack"/>
      <w:bookmarkEnd w:id="1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AA60A6-D644-4E7E-A6F0-6B43E70E7F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A994FDF-BF91-4512-A8BE-48DD094BB40F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928EBC3B-A9FC-44F1-B56C-90E8168EB8A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28E0C24-4000-48B5-8457-7300284C186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053594A0-4D12-457F-9132-8CD4E171318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69F09DC8-CA87-41D6-954A-BEF911BE1164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7" w:fontKey="{16590F3D-2543-46A5-81F1-660267CFFE3D}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8" w:fontKey="{B0FE33B1-7FC0-4A1A-93FA-DAC38C085E7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9" w:fontKey="{E1A6488B-1820-4B4E-89CE-A32E2D07896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AD4AB9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BF205925"/>
    <w:multiLevelType w:val="singleLevel"/>
    <w:tmpl w:val="BF205925"/>
    <w:lvl w:ilvl="0" w:tentative="0">
      <w:start w:val="3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TdiOGM5NzlhN2JhOTc3OTljZTBmY2FhN2MzNTk3ODEifQ=="/>
  </w:docVars>
  <w:rsids>
    <w:rsidRoot w:val="00000000"/>
    <w:rsid w:val="30E965F4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9"/>
    <w:qFormat/>
    <w:uiPriority w:val="99"/>
    <w:pPr>
      <w:keepNext/>
      <w:widowControl/>
      <w:spacing w:before="240" w:after="60"/>
      <w:jc w:val="left"/>
      <w:outlineLvl w:val="2"/>
    </w:pPr>
    <w:rPr>
      <w:rFonts w:ascii="Calibri Light" w:hAnsi="Calibri Light"/>
      <w:b/>
      <w:bCs/>
      <w:kern w:val="0"/>
      <w:sz w:val="26"/>
      <w:szCs w:val="26"/>
    </w:rPr>
  </w:style>
  <w:style w:type="character" w:default="1" w:styleId="14">
    <w:name w:val="Default Paragraph Font"/>
    <w:semiHidden/>
    <w:qFormat/>
    <w:uiPriority w:val="99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99"/>
    <w:pPr>
      <w:spacing w:after="120"/>
    </w:pPr>
  </w:style>
  <w:style w:type="paragraph" w:styleId="4">
    <w:name w:val="Body Text Indent"/>
    <w:basedOn w:val="1"/>
    <w:link w:val="22"/>
    <w:qFormat/>
    <w:uiPriority w:val="99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3"/>
    <w:qFormat/>
    <w:uiPriority w:val="99"/>
    <w:rPr>
      <w:sz w:val="18"/>
      <w:szCs w:val="18"/>
    </w:rPr>
  </w:style>
  <w:style w:type="paragraph" w:styleId="6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9">
    <w:name w:val="Title"/>
    <w:basedOn w:val="1"/>
    <w:next w:val="1"/>
    <w:link w:val="26"/>
    <w:qFormat/>
    <w:uiPriority w:val="99"/>
    <w:pPr>
      <w:widowControl/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10">
    <w:name w:val="Body Text First Indent"/>
    <w:basedOn w:val="3"/>
    <w:link w:val="28"/>
    <w:qFormat/>
    <w:uiPriority w:val="99"/>
    <w:pPr>
      <w:spacing w:after="0"/>
      <w:ind w:firstLine="200" w:firstLineChars="200"/>
    </w:pPr>
  </w:style>
  <w:style w:type="paragraph" w:styleId="11">
    <w:name w:val="Body Text First Indent 2"/>
    <w:basedOn w:val="4"/>
    <w:link w:val="29"/>
    <w:qFormat/>
    <w:uiPriority w:val="99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99"/>
    <w:rPr>
      <w:rFonts w:cs="Times New Roman"/>
      <w:b/>
      <w:bCs/>
    </w:rPr>
  </w:style>
  <w:style w:type="paragraph" w:customStyle="1" w:styleId="16">
    <w:name w:val="Comment Text"/>
    <w:basedOn w:val="1"/>
    <w:link w:val="20"/>
    <w:qFormat/>
    <w:uiPriority w:val="99"/>
    <w:pPr>
      <w:jc w:val="left"/>
    </w:pPr>
  </w:style>
  <w:style w:type="paragraph" w:customStyle="1" w:styleId="17">
    <w:name w:val="Comment Subject"/>
    <w:basedOn w:val="16"/>
    <w:next w:val="16"/>
    <w:link w:val="27"/>
    <w:qFormat/>
    <w:uiPriority w:val="99"/>
    <w:rPr>
      <w:b/>
      <w:bCs/>
    </w:rPr>
  </w:style>
  <w:style w:type="character" w:customStyle="1" w:styleId="18">
    <w:name w:val="Comment Reference"/>
    <w:basedOn w:val="14"/>
    <w:qFormat/>
    <w:uiPriority w:val="99"/>
    <w:rPr>
      <w:rFonts w:cs="Times New Roman"/>
      <w:sz w:val="21"/>
      <w:szCs w:val="21"/>
    </w:rPr>
  </w:style>
  <w:style w:type="character" w:customStyle="1" w:styleId="19">
    <w:name w:val="Heading 3 Char"/>
    <w:basedOn w:val="14"/>
    <w:link w:val="2"/>
    <w:semiHidden/>
    <w:qFormat/>
    <w:uiPriority w:val="9"/>
    <w:rPr>
      <w:b/>
      <w:bCs/>
      <w:sz w:val="32"/>
      <w:szCs w:val="32"/>
    </w:rPr>
  </w:style>
  <w:style w:type="character" w:customStyle="1" w:styleId="20">
    <w:name w:val="Comment Text Char"/>
    <w:basedOn w:val="14"/>
    <w:link w:val="16"/>
    <w:qFormat/>
    <w:locked/>
    <w:uiPriority w:val="99"/>
    <w:rPr>
      <w:rFonts w:ascii="Times New Roman" w:hAnsi="Times New Roman" w:eastAsia="宋体" w:cs="Times New Roman"/>
      <w:kern w:val="2"/>
      <w:sz w:val="24"/>
      <w:szCs w:val="24"/>
    </w:rPr>
  </w:style>
  <w:style w:type="character" w:customStyle="1" w:styleId="21">
    <w:name w:val="Body Text Char"/>
    <w:basedOn w:val="14"/>
    <w:link w:val="3"/>
    <w:semiHidden/>
    <w:qFormat/>
    <w:uiPriority w:val="99"/>
    <w:rPr>
      <w:szCs w:val="24"/>
    </w:rPr>
  </w:style>
  <w:style w:type="character" w:customStyle="1" w:styleId="22">
    <w:name w:val="Body Text Indent Char"/>
    <w:basedOn w:val="14"/>
    <w:link w:val="4"/>
    <w:semiHidden/>
    <w:qFormat/>
    <w:uiPriority w:val="99"/>
    <w:rPr>
      <w:szCs w:val="24"/>
    </w:rPr>
  </w:style>
  <w:style w:type="character" w:customStyle="1" w:styleId="23">
    <w:name w:val="Balloon Text Char"/>
    <w:basedOn w:val="14"/>
    <w:link w:val="5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Footer Char"/>
    <w:basedOn w:val="14"/>
    <w:link w:val="6"/>
    <w:semiHidden/>
    <w:qFormat/>
    <w:uiPriority w:val="99"/>
    <w:rPr>
      <w:sz w:val="18"/>
      <w:szCs w:val="18"/>
    </w:rPr>
  </w:style>
  <w:style w:type="character" w:customStyle="1" w:styleId="25">
    <w:name w:val="Header Char"/>
    <w:basedOn w:val="14"/>
    <w:link w:val="7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6">
    <w:name w:val="Title Char"/>
    <w:basedOn w:val="14"/>
    <w:link w:val="9"/>
    <w:qFormat/>
    <w:uiPriority w:val="10"/>
    <w:rPr>
      <w:rFonts w:asciiTheme="majorHAnsi" w:hAnsiTheme="majorHAnsi" w:cstheme="majorBidi"/>
      <w:b/>
      <w:bCs/>
      <w:sz w:val="32"/>
      <w:szCs w:val="32"/>
    </w:rPr>
  </w:style>
  <w:style w:type="character" w:customStyle="1" w:styleId="27">
    <w:name w:val="Comment Subject Char"/>
    <w:basedOn w:val="20"/>
    <w:link w:val="17"/>
    <w:qFormat/>
    <w:locked/>
    <w:uiPriority w:val="99"/>
    <w:rPr>
      <w:b/>
      <w:bCs/>
    </w:rPr>
  </w:style>
  <w:style w:type="character" w:customStyle="1" w:styleId="28">
    <w:name w:val="Body Text First Indent Char"/>
    <w:basedOn w:val="21"/>
    <w:link w:val="10"/>
    <w:semiHidden/>
    <w:qFormat/>
    <w:uiPriority w:val="99"/>
  </w:style>
  <w:style w:type="character" w:customStyle="1" w:styleId="29">
    <w:name w:val="Body Text First Indent 2 Char"/>
    <w:basedOn w:val="22"/>
    <w:link w:val="11"/>
    <w:semiHidden/>
    <w:qFormat/>
    <w:uiPriority w:val="99"/>
  </w:style>
  <w:style w:type="character" w:customStyle="1" w:styleId="30">
    <w:name w:val="fontstyle01"/>
    <w:qFormat/>
    <w:uiPriority w:val="99"/>
    <w:rPr>
      <w:rFonts w:ascii="仿宋_GB2312" w:hAnsi="仿宋_GB2312" w:eastAsia="仿宋_GB2312"/>
      <w:color w:val="000000"/>
      <w:sz w:val="32"/>
    </w:rPr>
  </w:style>
  <w:style w:type="paragraph" w:customStyle="1" w:styleId="31">
    <w:name w:val="闻政-正文段落文字"/>
    <w:basedOn w:val="1"/>
    <w:qFormat/>
    <w:uiPriority w:val="99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B65A045EB7044E5D933AF3A5D2121636_13</vt:lpwstr>
  </property>
  <property fmtid="{D5CDD505-2E9C-101B-9397-08002B2CF9AE}" pid="4" name="KSOTemplateDocerSaveRecord">
    <vt:lpwstr>eyJoZGlkIjoiMWYyYjZiZjhmMWVlOTI2NTY3OTAwYzU2MjllNTYwYzUiLCJ1c2VySWQiOiI5OTc4ODk4MTYifQ==</vt:lpwstr>
  </property>
</Properties>
</file>

<file path=customXml/itemProps1.xml><?xml version="1.0" encoding="utf-8"?>
<ds:datastoreItem xmlns:ds="http://schemas.openxmlformats.org/officeDocument/2006/customXml" ds:itemID="{178d1a33-3884-40cc-82a9-db2f6535d8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21</Pages>
  <Words>9777</Words>
  <Characters>9969</Characters>
  <Lines>0</Lines>
  <Paragraphs>0</Paragraphs>
  <TotalTime>7</TotalTime>
  <ScaleCrop>false</ScaleCrop>
  <LinksUpToDate>false</LinksUpToDate>
  <CharactersWithSpaces>9978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忆</cp:lastModifiedBy>
  <dcterms:modified xsi:type="dcterms:W3CDTF">2025-11-13T06:03:59Z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B65A045EB7044E5D933AF3A5D2121636_13</vt:lpwstr>
  </property>
  <property fmtid="{D5CDD505-2E9C-101B-9397-08002B2CF9AE}" pid="4" name="KSOTemplateDocerSaveRecord">
    <vt:lpwstr>eyJoZGlkIjoiMzEwNjkzMWMxZWMzNzU0NmUyNzQ2NGY3YzlmZjBhZDUiLCJ1c2VySWQiOiI0OTMxMTE3MjUifQ==</vt:lpwstr>
  </property>
</Properties>
</file>