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特克斯县第二小学2024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（一）宣传贯彻党的路线、方针、政策、坚持正确的办学方向。</w:t>
      </w:r>
    </w:p>
    <w:p>
      <w:pPr>
        <w:spacing w:line="580" w:lineRule="exact"/>
        <w:ind w:firstLine="640"/>
        <w:jc w:val="both"/>
      </w:pPr>
      <w:r>
        <w:rPr>
          <w:rFonts w:ascii="仿宋_GB2312" w:hAnsi="仿宋_GB2312" w:eastAsia="仿宋_GB2312"/>
          <w:sz w:val="32"/>
        </w:rPr>
        <w:t>（二）负责党的理论教育研讨工作，指导干部学习党的理论，培养合格的党员干部。</w:t>
      </w:r>
    </w:p>
    <w:p>
      <w:pPr>
        <w:spacing w:line="580" w:lineRule="exact"/>
        <w:ind w:firstLine="640"/>
        <w:jc w:val="both"/>
      </w:pPr>
      <w:r>
        <w:rPr>
          <w:rFonts w:ascii="仿宋_GB2312" w:hAnsi="仿宋_GB2312" w:eastAsia="仿宋_GB2312"/>
          <w:sz w:val="32"/>
        </w:rPr>
        <w:t>（三）编制学校教学计划，管理、协调教育活动，开展教学研究。</w:t>
      </w:r>
    </w:p>
    <w:p>
      <w:pPr>
        <w:spacing w:line="580" w:lineRule="exact"/>
        <w:ind w:firstLine="640"/>
        <w:jc w:val="both"/>
      </w:pPr>
      <w:r>
        <w:rPr>
          <w:rFonts w:ascii="仿宋_GB2312" w:hAnsi="仿宋_GB2312" w:eastAsia="仿宋_GB2312"/>
          <w:sz w:val="32"/>
        </w:rPr>
        <w:t>（四）完成教育局交办的其他工作。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特克斯县第二小学2024年度，实有人数153人，其中：在职人员89人，增加0人；离休人员0人，增加0人；退休人员64人,减少1人。</w:t>
      </w:r>
    </w:p>
    <w:p>
      <w:pPr>
        <w:spacing w:line="580" w:lineRule="exact"/>
        <w:ind w:firstLine="640"/>
        <w:jc w:val="both"/>
      </w:pPr>
      <w:r>
        <w:rPr>
          <w:rFonts w:ascii="仿宋_GB2312" w:hAnsi="仿宋_GB2312" w:eastAsia="仿宋_GB2312"/>
          <w:sz w:val="32"/>
        </w:rPr>
        <w:t>单位无下属预算单位，下设8个科室，分别是：办公室、党建办、德育处、教务处、教研室、总务处、后勤处、工会。。</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2024年度收入总计1,866.15万元，</w:t>
      </w:r>
      <w:r>
        <w:rPr>
          <w:rFonts w:ascii="仿宋_GB2312" w:hAnsi="仿宋_GB2312" w:eastAsia="仿宋_GB2312"/>
          <w:b w:val="0"/>
          <w:sz w:val="32"/>
        </w:rPr>
        <w:t>其中：本年收入合计1,866.15万元，使用非财政拨款结余（含专用结余）0.00万元，年初结转和结余0.00万元。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2024年度支出总计1,866.15万元，</w:t>
      </w:r>
      <w:r>
        <w:rPr>
          <w:rFonts w:ascii="仿宋_GB2312" w:hAnsi="仿宋_GB2312" w:eastAsia="仿宋_GB2312"/>
          <w:b w:val="0"/>
          <w:sz w:val="32"/>
        </w:rPr>
        <w:t>其中：本年支出合计1,866.15万元，结余分配0.00万元，年末结转和结余0.00万元。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增加89.13万元，增长5.02%，主要原因是：本年度人员工资正常晋升，社保公积金缴费基数增加，因此收入支出增加。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本年收入1,866.15万元，</w:t>
      </w:r>
      <w:r>
        <w:rPr>
          <w:rFonts w:ascii="仿宋_GB2312" w:hAnsi="仿宋_GB2312" w:eastAsia="仿宋_GB2312"/>
          <w:b w:val="0"/>
          <w:sz w:val="32"/>
        </w:rPr>
        <w:t>其中：财政拨款收入1,760.26万元，占94.33%；上级补助收入0.00万元，占0.00%；事业收入0.00万元，占0.00%；经营收入0.00万元，占0.00%；附属单位上缴收入0.00万元，占0.00%；其他收入105.89万元，占5.67%。</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本年支出1,866.15万元，</w:t>
      </w:r>
      <w:r>
        <w:rPr>
          <w:rFonts w:ascii="仿宋_GB2312" w:hAnsi="仿宋_GB2312" w:eastAsia="仿宋_GB2312"/>
          <w:b w:val="0"/>
          <w:sz w:val="32"/>
        </w:rPr>
        <w:t>其中：基本支出1,866.15万元，占100.00%；项目支出0.00万元，占0.00%；上缴上级支出0.00万元，占0.00%；经营支出0.00万元，占0.00%；对附属单位补助支出0.00万元，占0.00%。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2024年度财政拨款收入总计1,760.26万元，</w:t>
      </w:r>
      <w:r>
        <w:rPr>
          <w:rFonts w:ascii="仿宋_GB2312" w:hAnsi="仿宋_GB2312" w:eastAsia="仿宋_GB2312"/>
          <w:b w:val="0"/>
          <w:sz w:val="32"/>
        </w:rPr>
        <w:t>其中：年初财政拨款结转和结余0.00万元，本年财政拨款收入1,760.26万元。</w:t>
      </w:r>
      <w:r>
        <w:rPr>
          <w:rFonts w:ascii="仿宋_GB2312" w:hAnsi="仿宋_GB2312" w:eastAsia="仿宋_GB2312"/>
          <w:b/>
          <w:sz w:val="32"/>
        </w:rPr>
        <w:t>财政拨款支出总计1,760.26万元，</w:t>
      </w:r>
      <w:r>
        <w:rPr>
          <w:rFonts w:ascii="仿宋_GB2312" w:hAnsi="仿宋_GB2312" w:eastAsia="仿宋_GB2312"/>
          <w:b w:val="0"/>
          <w:sz w:val="32"/>
        </w:rPr>
        <w:t>其中：年末财政拨款结转和结余0.00万元，本年财政拨款支出1,760.26万元。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增加95.63万元，增长5.74%，主要原因是：本年度人员工资正常晋升，社保公积金缴费基数增加，因此收入支出增加。</w:t>
      </w:r>
      <w:r>
        <w:rPr>
          <w:rFonts w:ascii="仿宋_GB2312" w:hAnsi="仿宋_GB2312" w:eastAsia="仿宋_GB2312"/>
          <w:b/>
          <w:sz w:val="32"/>
        </w:rPr>
        <w:t>与年初预算相比，</w:t>
      </w:r>
      <w:r>
        <w:rPr>
          <w:rFonts w:ascii="仿宋_GB2312" w:hAnsi="仿宋_GB2312" w:eastAsia="仿宋_GB2312"/>
          <w:b w:val="0"/>
          <w:sz w:val="32"/>
        </w:rPr>
        <w:t>年初预算数1,490.99万元，决算数1,760.26万元，预决算差异率18.06%，主要原因是：2024年中追加人员基本工资调标补发、社保、公积金基数调增部分资金，导致预决算存在差异。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2024年度一般公共预算财政拨款支出1,760.26万元，</w:t>
      </w:r>
      <w:r>
        <w:rPr>
          <w:rFonts w:ascii="仿宋_GB2312" w:hAnsi="仿宋_GB2312" w:eastAsia="仿宋_GB2312"/>
          <w:b w:val="0"/>
          <w:sz w:val="32"/>
        </w:rPr>
        <w:t>占本年支出合计的94.33%。</w:t>
      </w:r>
      <w:r>
        <w:rPr>
          <w:rFonts w:ascii="仿宋_GB2312" w:hAnsi="仿宋_GB2312" w:eastAsia="仿宋_GB2312"/>
          <w:b/>
          <w:sz w:val="32"/>
        </w:rPr>
        <w:t>与上年相比，</w:t>
      </w:r>
      <w:r>
        <w:rPr>
          <w:rFonts w:ascii="仿宋_GB2312" w:hAnsi="仿宋_GB2312" w:eastAsia="仿宋_GB2312"/>
          <w:b w:val="0"/>
          <w:sz w:val="32"/>
        </w:rPr>
        <w:t>增加95.63万元，增长5.74%，主要原因是：本年度人员工资正常晋升，社保公积金缴费基数增加，因此收入支出增加。</w:t>
      </w:r>
      <w:r>
        <w:rPr>
          <w:rFonts w:ascii="仿宋_GB2312" w:hAnsi="仿宋_GB2312" w:eastAsia="仿宋_GB2312"/>
          <w:b/>
          <w:sz w:val="32"/>
        </w:rPr>
        <w:t>与年初预算相比,</w:t>
      </w:r>
      <w:r>
        <w:rPr>
          <w:rFonts w:ascii="仿宋_GB2312" w:hAnsi="仿宋_GB2312" w:eastAsia="仿宋_GB2312"/>
          <w:b w:val="0"/>
          <w:sz w:val="32"/>
        </w:rPr>
        <w:t>年初预算数1,490.99万元，决算数1,760.26万元，预决算差异率18.06%，主要原因是：年中追加人员基本工资调标补发、社保、公积金基数调增部分资金，导致预决算存在差异。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1.教育支出(类)1,493.83万元,占84.86%。</w:t>
      </w:r>
    </w:p>
    <w:p>
      <w:pPr>
        <w:spacing w:line="580" w:lineRule="exact"/>
        <w:ind w:firstLine="640"/>
        <w:jc w:val="both"/>
      </w:pPr>
      <w:r>
        <w:rPr>
          <w:rFonts w:ascii="仿宋_GB2312" w:hAnsi="仿宋_GB2312" w:eastAsia="仿宋_GB2312"/>
          <w:b w:val="0"/>
          <w:sz w:val="32"/>
        </w:rPr>
        <w:t>2.社会保障和就业支出(类)120.68万元,占6.86%。</w:t>
      </w:r>
    </w:p>
    <w:p>
      <w:pPr>
        <w:spacing w:line="580" w:lineRule="exact"/>
        <w:ind w:firstLine="640"/>
        <w:jc w:val="both"/>
      </w:pPr>
      <w:r>
        <w:rPr>
          <w:rFonts w:ascii="仿宋_GB2312" w:hAnsi="仿宋_GB2312" w:eastAsia="仿宋_GB2312"/>
          <w:b w:val="0"/>
          <w:sz w:val="32"/>
        </w:rPr>
        <w:t>3.卫生健康支出(类)17.40万元,占0.99%。</w:t>
      </w:r>
    </w:p>
    <w:p>
      <w:pPr>
        <w:spacing w:line="580" w:lineRule="exact"/>
        <w:ind w:firstLine="640"/>
        <w:jc w:val="both"/>
      </w:pPr>
      <w:r>
        <w:rPr>
          <w:rFonts w:ascii="仿宋_GB2312" w:hAnsi="仿宋_GB2312" w:eastAsia="仿宋_GB2312"/>
          <w:b w:val="0"/>
          <w:sz w:val="32"/>
        </w:rPr>
        <w:t>4.住房保障支出(类)128.35万元,占7.29%。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1.教育支出(类)普通教育(款)小学教育(项):支出决算数为1,493.83万元，比上年决算增加72.76万元，增长5.12%,主要原因是：本年度人员工资正常晋升，缴费基数增加，因此支出增长。</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113.68万元，比上年决算减少3.79万元，下降3.23%,主要原因是：本年度我单位在职人员转退休，导致养老保险缴费支出减少。</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16.17万元，下降100.00%,主要原因是：本年无新增退休人员职业年金做实，导致机关事业单位职业年金缴费支出减少。</w:t>
      </w:r>
    </w:p>
    <w:p>
      <w:pPr>
        <w:spacing w:line="580" w:lineRule="exact"/>
        <w:ind w:firstLine="640"/>
        <w:jc w:val="both"/>
      </w:pPr>
      <w:r>
        <w:rPr>
          <w:rFonts w:ascii="仿宋_GB2312" w:hAnsi="仿宋_GB2312" w:eastAsia="仿宋_GB2312"/>
          <w:b w:val="0"/>
          <w:sz w:val="32"/>
        </w:rPr>
        <w:t>4.社会保障和就业支出(类)抚恤(款)死亡抚恤(项):支出决算数为7.00万元，比上年决算减少9.05万元，下降56.39%,主要原因是：本年去世人员较上年减少，因此死亡抚恤科目减少。</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17.13万元，比上年决算增加17.13万元，增长100.00%,主要原因是：本年功能科目调整，事业单位医疗支出上年度在主科目列支，本年单独列支，导致经费较上年增长。</w:t>
      </w:r>
    </w:p>
    <w:p>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0.27万元，比上年决算增加0.27万元，增长100.00%,主要原因是：本年功能科目调整，其他行政事业单位医疗支出上年度在主科目列支，本年单独列支，导致经费较上年增长。</w:t>
      </w:r>
    </w:p>
    <w:p>
      <w:pPr>
        <w:spacing w:line="580" w:lineRule="exact"/>
        <w:ind w:firstLine="640"/>
        <w:jc w:val="both"/>
      </w:pPr>
      <w:r>
        <w:rPr>
          <w:rFonts w:ascii="仿宋_GB2312" w:hAnsi="仿宋_GB2312" w:eastAsia="仿宋_GB2312"/>
          <w:b w:val="0"/>
          <w:sz w:val="32"/>
        </w:rPr>
        <w:t>7.住房保障支出(类)住房改革支出(款)住房公积金(项):支出决算数为128.35万元，比上年决算增加34.48万元，增长36.73%,主要原因是：本年在职人员工资基数调增，公积金缴费基数上涨，相应支出增加。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2024年度一般公共预算财政拨款基本支出1,760.26万元，其中：</w:t>
      </w:r>
      <w:r>
        <w:rPr>
          <w:rFonts w:ascii="仿宋_GB2312" w:hAnsi="仿宋_GB2312" w:eastAsia="仿宋_GB2312"/>
          <w:b/>
          <w:sz w:val="32"/>
        </w:rPr>
        <w:t>人员经费1,636.63万元，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包括：基本工资、津贴补贴、奖金、绩效工资、机关事业单位基本养老保险缴费、职工基本医疗保险缴费、其他社会保障缴费、住房公积金、退休费、抚恤金、生活补助、助学金。</w:t>
      </w:r>
    </w:p>
    <w:p>
      <w:pPr>
        <w:spacing w:line="580" w:lineRule="exact"/>
        <w:ind w:firstLine="640"/>
        <w:jc w:val="both"/>
      </w:pPr>
      <w:r>
        <w:rPr>
          <w:rFonts w:ascii="仿宋_GB2312" w:hAnsi="仿宋_GB2312" w:eastAsia="仿宋_GB2312"/>
          <w:b/>
          <w:sz w:val="32"/>
        </w:rPr>
        <w:t>公用经费123.63万元，</w:t>
      </w:r>
      <w:r>
        <w:rPr>
          <w:rFonts w:ascii="仿宋_GB2312" w:hAnsi="仿宋_GB2312" w:eastAsia="仿宋_GB2312"/>
          <w:b w:val="0"/>
          <w:sz w:val="32"/>
        </w:rPr>
        <w:t>包括：办公费、电费、取暖费、物业管理费、维修（护）费、培训费、专用材料费、劳务费、工会经费、其他商品和服务支出。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2024年度特克斯县第二小学（事业单位）公用经费支出123.63万元，比上年减少53.21万元，下降30.09%，主要原因是：学生人数减少，公用经费支出减少。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2024年度政府采购支出总额40.48万元，其中：政府采购货物支出23.60万元、政府采购工程支出0.00万元、政府采购服务支出16.88万元。</w:t>
      </w:r>
    </w:p>
    <w:p>
      <w:pPr>
        <w:spacing w:line="580" w:lineRule="exact"/>
        <w:ind w:firstLine="640"/>
        <w:jc w:val="both"/>
      </w:pPr>
      <w:r>
        <w:rPr>
          <w:rFonts w:ascii="仿宋_GB2312" w:hAnsi="仿宋_GB2312" w:eastAsia="仿宋_GB2312"/>
          <w:b w:val="0"/>
          <w:sz w:val="32"/>
        </w:rPr>
        <w:t>授予中小企业合同金额25.88万元，占政府采购支出总额的63.93%，其中：授予小微企业合同金额18.55万元，占政府采购支出总额的45.83%。</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5,389.24平方米，价值437.09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1,866.15万元，实际执行总额1,866.15万元；预算绩效评价项目0个，全年预算数0.00万元，全年执行数0.00万元。预算绩效管理取得的成效：2024年我单位无预算绩效项目。发现的问题及原因：2024年我单位无预算绩效项目。下一步改进措施：2024年我单位无预算绩效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特克斯县第二小学</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1,484.98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1,484.98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1,866.15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1,866.15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1,484.98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1,484.98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1,866.15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1,866.15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我校党支部紧密围绕教育教学中心工作，积极发挥党组织的战斗堡垒作用和党员的先锋模范作用，为学校发展提供了坚实的政治保障与组织支持，在全体教职员工的共同努力下，我校教育教学各方面取得较好成绩，希望我们全体教师凝心聚力再创佳绩。</w:t>
              <w:br/>
              <w:br/>
              <w:t>一、加强师生思想道德建设，提高整体素质。</w:t>
              <w:br/>
              <w:br/>
              <w:t>二、以民主管理为保障，进一步加强党组织建设。</w:t>
              <w:br/>
              <w:br/>
              <w:t>三、加强党对群团工作的领导，推进学校精神文明建设。</w:t>
              <w:br/>
              <w:br/>
              <w:t>四、以推动发展为目标，全面提升教育教学质量。</w:t>
              <w:br/>
              <w:br/>
              <w:t>五、以落实精神文明单位为契机，强化学校精神文明建设。</w:t>
              <w:br/>
              <w:br/>
              <w:t>六、加强安全管理，确保校园平安和谐发展。</w:t>
              <w:br/>
              <w:br/>
              <w:t>七、抓好党建促校风。</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消除义务教育大班额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义务教育优质均衡率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实现信息化教学覆盖率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创建平安校园活动举办次数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