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DACF2E4">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特克斯县第三小学2024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bookmarkStart w:id="0" w:name="_GoBack"/>
      <w:bookmarkEnd w:id="0"/>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r>
        <w:br w:type="page"/>
      </w:r>
    </w:p>
    <w:p>
      <w:pPr>
        <w:spacing w:line="640" w:lineRule="exact"/>
        <w:jc w:val="center"/>
        <w:outlineLvl w:val="1"/>
      </w:pPr>
      <w:r>
        <w:rPr>
          <w:rFonts w:ascii="黑体" w:hAnsi="黑体" w:eastAsia="黑体"/>
          <w:sz w:val="32"/>
        </w:rPr>
        <w:t>第一部分 单位概况</w:t>
      </w:r>
    </w:p>
    <w:p>
      <w:pPr>
        <w:spacing w:line="640" w:lineRule="exact"/>
        <w:ind w:firstLine="640"/>
        <w:jc w:val="both"/>
        <w:outlineLvl w:val="2"/>
      </w:pPr>
      <w:r>
        <w:rPr>
          <w:rFonts w:ascii="黑体" w:hAnsi="黑体" w:eastAsia="黑体"/>
          <w:sz w:val="32"/>
        </w:rPr>
        <w:t>一、主要职能</w:t>
      </w:r>
    </w:p>
    <w:p>
      <w:pPr>
        <w:spacing w:line="580" w:lineRule="exact"/>
        <w:ind w:firstLine="640"/>
        <w:jc w:val="both"/>
      </w:pPr>
      <w:r>
        <w:rPr>
          <w:rFonts w:ascii="仿宋_GB2312" w:hAnsi="仿宋_GB2312" w:eastAsia="仿宋_GB2312"/>
          <w:sz w:val="32"/>
        </w:rPr>
        <w:t>1、宣传贯彻党的路线、方针、政策、坚持正确的办学方向。</w:t>
      </w:r>
    </w:p>
    <w:p>
      <w:pPr>
        <w:spacing w:line="580" w:lineRule="exact"/>
        <w:ind w:firstLine="640"/>
        <w:jc w:val="both"/>
      </w:pPr>
      <w:r>
        <w:rPr>
          <w:rFonts w:ascii="仿宋_GB2312" w:hAnsi="仿宋_GB2312" w:eastAsia="仿宋_GB2312"/>
          <w:sz w:val="32"/>
        </w:rPr>
        <w:t>2、负责党的理论教育研讨工作，指导干部学习党的理论，培养合格的党员干部。</w:t>
      </w:r>
    </w:p>
    <w:p>
      <w:pPr>
        <w:spacing w:line="580" w:lineRule="exact"/>
        <w:ind w:firstLine="640"/>
        <w:jc w:val="both"/>
      </w:pPr>
      <w:r>
        <w:rPr>
          <w:rFonts w:ascii="仿宋_GB2312" w:hAnsi="仿宋_GB2312" w:eastAsia="仿宋_GB2312"/>
          <w:sz w:val="32"/>
        </w:rPr>
        <w:t>3、编制学校教学计划，管理、协调教育活动，开展教学研究。</w:t>
      </w:r>
    </w:p>
    <w:p>
      <w:pPr>
        <w:spacing w:line="580" w:lineRule="exact"/>
        <w:ind w:firstLine="640"/>
        <w:jc w:val="both"/>
      </w:pPr>
      <w:r>
        <w:rPr>
          <w:rFonts w:ascii="仿宋_GB2312" w:hAnsi="仿宋_GB2312" w:eastAsia="仿宋_GB2312"/>
          <w:sz w:val="32"/>
        </w:rPr>
        <w:t>4、完成学校交办的其他工作。</w:t>
      </w:r>
    </w:p>
    <w:p>
      <w:pPr>
        <w:spacing w:line="640" w:lineRule="exact"/>
        <w:ind w:firstLine="640"/>
        <w:jc w:val="both"/>
        <w:outlineLvl w:val="2"/>
      </w:pPr>
      <w:r>
        <w:rPr>
          <w:rFonts w:ascii="黑体" w:hAnsi="黑体" w:eastAsia="黑体"/>
          <w:sz w:val="32"/>
        </w:rPr>
        <w:t>二、机构设置及人员情况</w:t>
      </w:r>
    </w:p>
    <w:p>
      <w:pPr>
        <w:spacing w:line="580" w:lineRule="exact"/>
        <w:ind w:firstLine="640"/>
        <w:jc w:val="both"/>
      </w:pPr>
      <w:r>
        <w:rPr>
          <w:rFonts w:ascii="仿宋_GB2312" w:hAnsi="仿宋_GB2312" w:eastAsia="仿宋_GB2312"/>
          <w:sz w:val="32"/>
        </w:rPr>
        <w:t>特克斯县第三小学2024年度，实有人数224人，其中：在职人员119人，减少4人；离休人员0人，增加0人；退休人员105人,减少2人。</w:t>
      </w:r>
    </w:p>
    <w:p>
      <w:pPr>
        <w:spacing w:line="580" w:lineRule="exact"/>
        <w:ind w:firstLine="640"/>
        <w:jc w:val="both"/>
      </w:pPr>
      <w:r>
        <w:rPr>
          <w:rFonts w:ascii="仿宋_GB2312" w:hAnsi="仿宋_GB2312" w:eastAsia="仿宋_GB2312"/>
          <w:sz w:val="32"/>
        </w:rPr>
        <w:t>单位无下属预算单位，下设7个科室，分别是：办公室、党建办、教务处、教研室、德育处、财务室、后勤。。</w:t>
      </w:r>
    </w:p>
    <w:p>
      <w:r>
        <w:br w:type="page"/>
      </w:r>
    </w:p>
    <w:p>
      <w:pPr>
        <w:spacing w:line="240" w:lineRule="auto"/>
        <w:jc w:val="center"/>
        <w:outlineLvl w:val="1"/>
      </w:pPr>
      <w:r>
        <w:rPr>
          <w:rFonts w:ascii="黑体" w:hAnsi="黑体" w:eastAsia="黑体"/>
          <w:sz w:val="32"/>
        </w:rPr>
        <w:t>第二部分 部门决算情况说明</w:t>
      </w:r>
    </w:p>
    <w:p>
      <w:pPr>
        <w:spacing w:line="640" w:lineRule="exact"/>
        <w:ind w:firstLine="640"/>
        <w:jc w:val="both"/>
        <w:outlineLvl w:val="2"/>
      </w:pPr>
      <w:r>
        <w:rPr>
          <w:rFonts w:ascii="黑体" w:hAnsi="黑体" w:eastAsia="黑体"/>
          <w:sz w:val="32"/>
        </w:rPr>
        <w:t>一、收入支出决算总体情况说明</w:t>
      </w:r>
    </w:p>
    <w:p>
      <w:pPr>
        <w:spacing w:line="580" w:lineRule="exact"/>
        <w:ind w:firstLine="640"/>
        <w:jc w:val="both"/>
      </w:pPr>
      <w:r>
        <w:rPr>
          <w:rFonts w:ascii="仿宋_GB2312" w:hAnsi="仿宋_GB2312" w:eastAsia="仿宋_GB2312"/>
          <w:b/>
          <w:sz w:val="32"/>
        </w:rPr>
        <w:t>2024年度收入总计2,387.48万元，</w:t>
      </w:r>
      <w:r>
        <w:rPr>
          <w:rFonts w:ascii="仿宋_GB2312" w:hAnsi="仿宋_GB2312" w:eastAsia="仿宋_GB2312"/>
          <w:b w:val="0"/>
          <w:sz w:val="32"/>
        </w:rPr>
        <w:t>其中：本年收入合计2,387.48万元，使用非财政拨款结余（含专用结余）0.00万元，年初结转和结余0.00万元。</w:t>
      </w:r>
    </w:p>
    <w:p>
      <w:pPr>
        <w:spacing w:line="580" w:lineRule="exact"/>
        <w:ind w:firstLine="640"/>
        <w:jc w:val="both"/>
      </w:pPr>
      <w:r>
        <w:rPr>
          <w:rFonts w:ascii="仿宋_GB2312" w:hAnsi="仿宋_GB2312" w:eastAsia="仿宋_GB2312"/>
          <w:b/>
          <w:sz w:val="32"/>
        </w:rPr>
        <w:t>2024年度支出总计2,387.48万元，</w:t>
      </w:r>
      <w:r>
        <w:rPr>
          <w:rFonts w:ascii="仿宋_GB2312" w:hAnsi="仿宋_GB2312" w:eastAsia="仿宋_GB2312"/>
          <w:b w:val="0"/>
          <w:sz w:val="32"/>
        </w:rPr>
        <w:t>其中：本年支出合计2,387.48万元，结余分配0.00万元，年末结转和结余0.00万元。</w:t>
      </w:r>
    </w:p>
    <w:p>
      <w:pPr>
        <w:spacing w:line="580" w:lineRule="exact"/>
        <w:ind w:firstLine="640"/>
        <w:jc w:val="both"/>
      </w:pPr>
      <w:r>
        <w:rPr>
          <w:rFonts w:ascii="仿宋_GB2312" w:hAnsi="仿宋_GB2312" w:eastAsia="仿宋_GB2312"/>
          <w:b w:val="0"/>
          <w:sz w:val="32"/>
        </w:rPr>
        <w:t>收入支出总体与上年相比，</w:t>
      </w:r>
      <w:r>
        <w:rPr>
          <w:rFonts w:ascii="仿宋_GB2312" w:hAnsi="仿宋_GB2312" w:eastAsia="仿宋_GB2312"/>
          <w:b w:val="0"/>
          <w:sz w:val="32"/>
        </w:rPr>
        <w:t>增加167.16万元，增长7.53%，主要原因是：本年在职人员工资调增，社保、公积金基数调增，人员经费增加。补发2023年年度考核奖，补发2024年7-12月基本工资调标；课后延时服务费增加；其他收入增加。</w:t>
      </w:r>
    </w:p>
    <w:p>
      <w:pPr>
        <w:spacing w:line="640" w:lineRule="exact"/>
        <w:ind w:firstLine="640"/>
        <w:jc w:val="both"/>
        <w:outlineLvl w:val="2"/>
      </w:pPr>
      <w:r>
        <w:rPr>
          <w:rFonts w:ascii="黑体" w:hAnsi="黑体" w:eastAsia="黑体"/>
          <w:sz w:val="32"/>
        </w:rPr>
        <w:t>二、收入决算情况说明</w:t>
      </w:r>
    </w:p>
    <w:p>
      <w:pPr>
        <w:spacing w:line="580" w:lineRule="exact"/>
        <w:ind w:firstLine="640"/>
        <w:jc w:val="both"/>
      </w:pPr>
      <w:r>
        <w:rPr>
          <w:rFonts w:ascii="仿宋_GB2312" w:hAnsi="仿宋_GB2312" w:eastAsia="仿宋_GB2312"/>
          <w:b/>
          <w:sz w:val="32"/>
        </w:rPr>
        <w:t>本年收入2,387.48万元，</w:t>
      </w:r>
      <w:r>
        <w:rPr>
          <w:rFonts w:ascii="仿宋_GB2312" w:hAnsi="仿宋_GB2312" w:eastAsia="仿宋_GB2312"/>
          <w:b w:val="0"/>
          <w:sz w:val="32"/>
        </w:rPr>
        <w:t>其中：财政拨款收入2,299.93万元，占96.33%；上级补助收入0.00万元，占0.00%；事业收入0.00万元，占0.00%；经营收入0.00万元，占0.00%；附属单位上缴收入0.00万元，占0.00%；其他收入87.56万元，占3.67%。</w:t>
      </w:r>
    </w:p>
    <w:p>
      <w:pPr>
        <w:spacing w:line="640" w:lineRule="exact"/>
        <w:ind w:firstLine="640"/>
        <w:jc w:val="both"/>
        <w:outlineLvl w:val="2"/>
      </w:pPr>
      <w:r>
        <w:rPr>
          <w:rFonts w:ascii="黑体" w:hAnsi="黑体" w:eastAsia="黑体"/>
          <w:sz w:val="32"/>
        </w:rPr>
        <w:t>三、支出决算情况说明</w:t>
      </w:r>
    </w:p>
    <w:p>
      <w:pPr>
        <w:spacing w:line="580" w:lineRule="exact"/>
        <w:ind w:firstLine="640"/>
        <w:jc w:val="both"/>
      </w:pPr>
      <w:r>
        <w:rPr>
          <w:rFonts w:ascii="仿宋_GB2312" w:hAnsi="仿宋_GB2312" w:eastAsia="仿宋_GB2312"/>
          <w:b/>
          <w:sz w:val="32"/>
        </w:rPr>
        <w:t>本年支出2,387.48万元，</w:t>
      </w:r>
      <w:r>
        <w:rPr>
          <w:rFonts w:ascii="仿宋_GB2312" w:hAnsi="仿宋_GB2312" w:eastAsia="仿宋_GB2312"/>
          <w:b w:val="0"/>
          <w:sz w:val="32"/>
        </w:rPr>
        <w:t>其中：基本支出2,387.48万元，占100.00%；项目支出0.00万元，占0.00%；上缴上级支出0.00万元，占0.00%；经营支出0.00万元，占0.00%；对附属单位补助支出0.00万元，占0.00%。</w:t>
      </w:r>
    </w:p>
    <w:p>
      <w:pPr>
        <w:spacing w:line="640" w:lineRule="exact"/>
        <w:ind w:firstLine="640"/>
        <w:jc w:val="both"/>
        <w:outlineLvl w:val="2"/>
      </w:pPr>
      <w:r>
        <w:rPr>
          <w:rFonts w:ascii="黑体" w:hAnsi="黑体" w:eastAsia="黑体"/>
          <w:sz w:val="32"/>
        </w:rPr>
        <w:t>四、财政拨款收入支出决算总体情况说明</w:t>
      </w:r>
    </w:p>
    <w:p>
      <w:pPr>
        <w:spacing w:line="580" w:lineRule="exact"/>
        <w:ind w:firstLine="640"/>
        <w:jc w:val="both"/>
      </w:pPr>
      <w:r>
        <w:rPr>
          <w:rFonts w:ascii="仿宋_GB2312" w:hAnsi="仿宋_GB2312" w:eastAsia="仿宋_GB2312"/>
          <w:b/>
          <w:sz w:val="32"/>
        </w:rPr>
        <w:t>2024年度财政拨款收入总计2,299.93万元，</w:t>
      </w:r>
      <w:r>
        <w:rPr>
          <w:rFonts w:ascii="仿宋_GB2312" w:hAnsi="仿宋_GB2312" w:eastAsia="仿宋_GB2312"/>
          <w:b w:val="0"/>
          <w:sz w:val="32"/>
        </w:rPr>
        <w:t>其中：年初财政拨款结转和结余0.00万元，本年财政拨款收入2,299.93万元。</w:t>
      </w:r>
      <w:r>
        <w:rPr>
          <w:rFonts w:ascii="仿宋_GB2312" w:hAnsi="仿宋_GB2312" w:eastAsia="仿宋_GB2312"/>
          <w:b/>
          <w:sz w:val="32"/>
        </w:rPr>
        <w:t>财政拨款支出总计2,299.93万元，</w:t>
      </w:r>
      <w:r>
        <w:rPr>
          <w:rFonts w:ascii="仿宋_GB2312" w:hAnsi="仿宋_GB2312" w:eastAsia="仿宋_GB2312"/>
          <w:b w:val="0"/>
          <w:sz w:val="32"/>
        </w:rPr>
        <w:t>其中：年末财政拨款结转和结余0.00万元，本年财政拨款支出2,299.93万元。</w:t>
      </w:r>
    </w:p>
    <w:p>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增加154.47万元，增长7.20%，主要原因是：本年在职人员工资调增，社保、公积金基数调增，人员经费增加。</w:t>
      </w:r>
      <w:r>
        <w:rPr>
          <w:rFonts w:ascii="仿宋_GB2312" w:hAnsi="仿宋_GB2312" w:eastAsia="仿宋_GB2312"/>
          <w:b/>
          <w:sz w:val="32"/>
        </w:rPr>
        <w:t>与年初预算相比，</w:t>
      </w:r>
      <w:r>
        <w:rPr>
          <w:rFonts w:ascii="仿宋_GB2312" w:hAnsi="仿宋_GB2312" w:eastAsia="仿宋_GB2312"/>
          <w:b w:val="0"/>
          <w:sz w:val="32"/>
        </w:rPr>
        <w:t>年初预算数2,065.70万元，决算数2,299.93万元，预决算差异率11.34%，主要原因是：年中追加人员基本工资调标补发、社保、公积金基数调增部分资金，导致预决算存在差异。</w:t>
      </w:r>
    </w:p>
    <w:p>
      <w:pPr>
        <w:spacing w:line="640" w:lineRule="exact"/>
        <w:ind w:firstLine="640"/>
        <w:jc w:val="both"/>
        <w:outlineLvl w:val="2"/>
      </w:pPr>
      <w:r>
        <w:rPr>
          <w:rFonts w:ascii="黑体" w:hAnsi="黑体" w:eastAsia="黑体"/>
          <w:sz w:val="32"/>
        </w:rPr>
        <w:t>五、一般公共预算财政拨款支出决算情况说明</w:t>
      </w:r>
    </w:p>
    <w:p>
      <w:pPr>
        <w:spacing w:line="640" w:lineRule="exact"/>
        <w:ind w:firstLine="640"/>
        <w:jc w:val="both"/>
        <w:outlineLvl w:val="3"/>
      </w:pPr>
      <w:r>
        <w:rPr>
          <w:rFonts w:ascii="楷体_GB2312" w:hAnsi="楷体_GB2312" w:eastAsia="楷体_GB2312"/>
          <w:b/>
          <w:sz w:val="32"/>
        </w:rPr>
        <w:t>（一）一般公共预算财政拨款支出决算总体情况</w:t>
      </w:r>
    </w:p>
    <w:p>
      <w:pPr>
        <w:spacing w:line="580" w:lineRule="exact"/>
        <w:ind w:firstLine="640"/>
        <w:jc w:val="both"/>
      </w:pPr>
      <w:r>
        <w:rPr>
          <w:rFonts w:ascii="仿宋_GB2312" w:hAnsi="仿宋_GB2312" w:eastAsia="仿宋_GB2312"/>
          <w:b/>
          <w:sz w:val="32"/>
        </w:rPr>
        <w:t>2024年度一般公共预算财政拨款支出2,299.93万元，</w:t>
      </w:r>
      <w:r>
        <w:rPr>
          <w:rFonts w:ascii="仿宋_GB2312" w:hAnsi="仿宋_GB2312" w:eastAsia="仿宋_GB2312"/>
          <w:b w:val="0"/>
          <w:sz w:val="32"/>
        </w:rPr>
        <w:t>占本年支出合计的96.33%。</w:t>
      </w:r>
      <w:r>
        <w:rPr>
          <w:rFonts w:ascii="仿宋_GB2312" w:hAnsi="仿宋_GB2312" w:eastAsia="仿宋_GB2312"/>
          <w:b/>
          <w:sz w:val="32"/>
        </w:rPr>
        <w:t>与上年相比，</w:t>
      </w:r>
      <w:r>
        <w:rPr>
          <w:rFonts w:ascii="仿宋_GB2312" w:hAnsi="仿宋_GB2312" w:eastAsia="仿宋_GB2312"/>
          <w:b w:val="0"/>
          <w:sz w:val="32"/>
        </w:rPr>
        <w:t>增加154.47万元，增长7.20%，主要原因是：本年在职人员工资调增，社保、公积金基数调增，人员经费增加。</w:t>
      </w:r>
      <w:r>
        <w:rPr>
          <w:rFonts w:ascii="仿宋_GB2312" w:hAnsi="仿宋_GB2312" w:eastAsia="仿宋_GB2312"/>
          <w:b/>
          <w:sz w:val="32"/>
        </w:rPr>
        <w:t>与年初预算相比,</w:t>
      </w:r>
      <w:r>
        <w:rPr>
          <w:rFonts w:ascii="仿宋_GB2312" w:hAnsi="仿宋_GB2312" w:eastAsia="仿宋_GB2312"/>
          <w:b w:val="0"/>
          <w:sz w:val="32"/>
        </w:rPr>
        <w:t>年初预算数2,065.70万元，决算数2,299.93万元，预决算差异率11.34%，主要原因是：年中追加人员工资、社保、公积金基数调增部分资金，导致预决算存在差异。</w:t>
      </w:r>
    </w:p>
    <w:p>
      <w:pPr>
        <w:spacing w:line="640" w:lineRule="exact"/>
        <w:ind w:firstLine="640"/>
        <w:jc w:val="both"/>
        <w:outlineLvl w:val="3"/>
      </w:pPr>
      <w:r>
        <w:rPr>
          <w:rFonts w:ascii="楷体_GB2312" w:hAnsi="楷体_GB2312" w:eastAsia="楷体_GB2312"/>
          <w:b/>
          <w:sz w:val="32"/>
        </w:rPr>
        <w:t>（二）一般公共预算财政拨款支出决算结构情况</w:t>
      </w:r>
    </w:p>
    <w:p>
      <w:pPr>
        <w:spacing w:line="580" w:lineRule="exact"/>
        <w:ind w:firstLine="640"/>
        <w:jc w:val="both"/>
      </w:pPr>
      <w:r>
        <w:rPr>
          <w:rFonts w:ascii="仿宋_GB2312" w:hAnsi="仿宋_GB2312" w:eastAsia="仿宋_GB2312"/>
          <w:b w:val="0"/>
          <w:sz w:val="32"/>
        </w:rPr>
        <w:t>1.教育支出(类)1,955.62万元,占85.03%。</w:t>
      </w:r>
    </w:p>
    <w:p>
      <w:pPr>
        <w:spacing w:line="580" w:lineRule="exact"/>
        <w:ind w:firstLine="640"/>
        <w:jc w:val="both"/>
      </w:pPr>
      <w:r>
        <w:rPr>
          <w:rFonts w:ascii="仿宋_GB2312" w:hAnsi="仿宋_GB2312" w:eastAsia="仿宋_GB2312"/>
          <w:b w:val="0"/>
          <w:sz w:val="32"/>
        </w:rPr>
        <w:t>2.社会保障和就业支出(类)157.23万元,占6.84%。</w:t>
      </w:r>
    </w:p>
    <w:p>
      <w:pPr>
        <w:spacing w:line="580" w:lineRule="exact"/>
        <w:ind w:firstLine="640"/>
        <w:jc w:val="both"/>
      </w:pPr>
      <w:r>
        <w:rPr>
          <w:rFonts w:ascii="仿宋_GB2312" w:hAnsi="仿宋_GB2312" w:eastAsia="仿宋_GB2312"/>
          <w:b w:val="0"/>
          <w:sz w:val="32"/>
        </w:rPr>
        <w:t>3.卫生健康支出(类)21.79万元,占0.95%。</w:t>
      </w:r>
    </w:p>
    <w:p>
      <w:pPr>
        <w:spacing w:line="580" w:lineRule="exact"/>
        <w:ind w:firstLine="640"/>
        <w:jc w:val="both"/>
      </w:pPr>
      <w:r>
        <w:rPr>
          <w:rFonts w:ascii="仿宋_GB2312" w:hAnsi="仿宋_GB2312" w:eastAsia="仿宋_GB2312"/>
          <w:b w:val="0"/>
          <w:sz w:val="32"/>
        </w:rPr>
        <w:t>4.住房保障支出(类)165.29万元,占7.19%。</w:t>
      </w:r>
    </w:p>
    <w:p>
      <w:pPr>
        <w:spacing w:line="640" w:lineRule="exact"/>
        <w:ind w:firstLine="640"/>
        <w:jc w:val="both"/>
        <w:outlineLvl w:val="3"/>
      </w:pPr>
      <w:r>
        <w:rPr>
          <w:rFonts w:ascii="楷体_GB2312" w:hAnsi="楷体_GB2312" w:eastAsia="楷体_GB2312"/>
          <w:b/>
          <w:sz w:val="32"/>
        </w:rPr>
        <w:t>（三）一般公共预算财政拨款支出决算具体情况</w:t>
      </w:r>
    </w:p>
    <w:p>
      <w:pPr>
        <w:spacing w:line="580" w:lineRule="exact"/>
        <w:ind w:firstLine="640"/>
        <w:jc w:val="both"/>
      </w:pPr>
      <w:r>
        <w:rPr>
          <w:rFonts w:ascii="仿宋_GB2312" w:hAnsi="仿宋_GB2312" w:eastAsia="仿宋_GB2312"/>
          <w:b w:val="0"/>
          <w:sz w:val="32"/>
        </w:rPr>
        <w:t>1.教育支出(类)普通教育(款)小学教育(项):支出决算数为1,955.62万元，比上年决算增加111.86万元，增长6.07%,主要原因是：基本工资增加，津贴补贴支出增加。</w:t>
      </w:r>
    </w:p>
    <w:p>
      <w:pPr>
        <w:spacing w:line="580" w:lineRule="exact"/>
        <w:ind w:firstLine="640"/>
        <w:jc w:val="both"/>
      </w:pPr>
      <w:r>
        <w:rPr>
          <w:rFonts w:ascii="仿宋_GB2312" w:hAnsi="仿宋_GB2312" w:eastAsia="仿宋_GB2312"/>
          <w:b w:val="0"/>
          <w:sz w:val="32"/>
        </w:rPr>
        <w:t>2.社会保障和就业支出(类)行政事业单位养老支出(款)机关事业单位基本养老保险缴费支出(项):支出决算数为143.35万元，比上年决算减少13.80万元，下降8.78%,主要原因是：2024年我单位有在职人员减少，养老保险缴费支出减少。</w:t>
      </w:r>
    </w:p>
    <w:p>
      <w:pPr>
        <w:spacing w:line="580" w:lineRule="exact"/>
        <w:ind w:firstLine="640"/>
        <w:jc w:val="both"/>
      </w:pPr>
      <w:r>
        <w:rPr>
          <w:rFonts w:ascii="仿宋_GB2312" w:hAnsi="仿宋_GB2312" w:eastAsia="仿宋_GB2312"/>
          <w:b w:val="0"/>
          <w:sz w:val="32"/>
        </w:rPr>
        <w:t>3.社会保障和就业支出(类)行政事业单位养老支出(款)机关事业单位职业年金缴费支出(项):支出决算数为0.00万元，比上年决算减少19.61万元，下降100.00%,主要原因是：本年度无新增退休人员，职业年金缴费支出减少。</w:t>
      </w:r>
    </w:p>
    <w:p>
      <w:pPr>
        <w:spacing w:line="580" w:lineRule="exact"/>
        <w:ind w:firstLine="640"/>
        <w:jc w:val="both"/>
      </w:pPr>
      <w:r>
        <w:rPr>
          <w:rFonts w:ascii="仿宋_GB2312" w:hAnsi="仿宋_GB2312" w:eastAsia="仿宋_GB2312"/>
          <w:b w:val="0"/>
          <w:sz w:val="32"/>
        </w:rPr>
        <w:t>4.社会保障和就业支出(类)抚恤(款)死亡抚恤(项):支出决算数为13.88万元，比上年决算增加13.88万元，增长100.00%,主要原因是：本年新增死亡人员，死亡抚恤支出增加。</w:t>
      </w:r>
    </w:p>
    <w:p>
      <w:pPr>
        <w:spacing w:line="580" w:lineRule="exact"/>
        <w:ind w:firstLine="640"/>
        <w:jc w:val="both"/>
      </w:pPr>
      <w:r>
        <w:rPr>
          <w:rFonts w:ascii="仿宋_GB2312" w:hAnsi="仿宋_GB2312" w:eastAsia="仿宋_GB2312"/>
          <w:b w:val="0"/>
          <w:sz w:val="32"/>
        </w:rPr>
        <w:t>5.卫生健康支出(类)行政事业单位医疗(款)事业单位医疗(项):支出决算数为21.43万元，比上年决算增加21.43万元，增长100.00%,主要原因是：本年功能科目调整，事业单位医疗支出上年度在主科目列支，本年单独列支，导致经费较上年增加。</w:t>
      </w:r>
    </w:p>
    <w:p>
      <w:pPr>
        <w:spacing w:line="580" w:lineRule="exact"/>
        <w:ind w:firstLine="640"/>
        <w:jc w:val="both"/>
      </w:pPr>
      <w:r>
        <w:rPr>
          <w:rFonts w:ascii="仿宋_GB2312" w:hAnsi="仿宋_GB2312" w:eastAsia="仿宋_GB2312"/>
          <w:b w:val="0"/>
          <w:sz w:val="32"/>
        </w:rPr>
        <w:t>6.卫生健康支出(类)行政事业单位医疗(款)其他行政事业单位医疗支出(项):支出决算数为0.36万元，比上年决算增加0.36万元，增长100.00%,主要原因是：本年功能科目调整，其他行政事业单位医疗支出上年度在主科目列支，本年单独列支，导致经费较上年增加。</w:t>
      </w:r>
    </w:p>
    <w:p>
      <w:pPr>
        <w:spacing w:line="580" w:lineRule="exact"/>
        <w:ind w:firstLine="640"/>
        <w:jc w:val="both"/>
      </w:pPr>
      <w:r>
        <w:rPr>
          <w:rFonts w:ascii="仿宋_GB2312" w:hAnsi="仿宋_GB2312" w:eastAsia="仿宋_GB2312"/>
          <w:b w:val="0"/>
          <w:sz w:val="32"/>
        </w:rPr>
        <w:t>7.住房保障支出(类)住房改革支出(款)住房公积金(项):支出决算数为165.29万元，比上年决算增加40.35万元，增长32.30%,主要原因是：本年在职人员工资基数调增，公积金缴费基数上涨，相应支出增加。</w:t>
      </w:r>
    </w:p>
    <w:p>
      <w:pPr>
        <w:spacing w:line="640" w:lineRule="exact"/>
        <w:ind w:firstLine="640"/>
        <w:jc w:val="both"/>
        <w:outlineLvl w:val="2"/>
      </w:pPr>
      <w:r>
        <w:rPr>
          <w:rFonts w:ascii="黑体" w:hAnsi="黑体" w:eastAsia="黑体"/>
          <w:sz w:val="32"/>
        </w:rPr>
        <w:t>六、一般公共预算财政拨款基本支出决算情况说明</w:t>
      </w:r>
    </w:p>
    <w:p>
      <w:pPr>
        <w:spacing w:line="580" w:lineRule="exact"/>
        <w:ind w:firstLine="640"/>
        <w:jc w:val="both"/>
      </w:pPr>
      <w:r>
        <w:rPr>
          <w:rFonts w:ascii="仿宋_GB2312" w:hAnsi="仿宋_GB2312" w:eastAsia="仿宋_GB2312"/>
          <w:b w:val="0"/>
          <w:sz w:val="32"/>
        </w:rPr>
        <w:t>2024年度一般公共预算财政拨款基本支出2,299.93万元，其中：</w:t>
      </w:r>
      <w:r>
        <w:rPr>
          <w:rFonts w:ascii="仿宋_GB2312" w:hAnsi="仿宋_GB2312" w:eastAsia="仿宋_GB2312"/>
          <w:b/>
          <w:sz w:val="32"/>
        </w:rPr>
        <w:t>人员经费2,193.60万元，</w:t>
      </w:r>
      <w:r>
        <w:rPr>
          <w:rFonts w:ascii="仿宋_GB2312" w:hAnsi="仿宋_GB2312" w:eastAsia="仿宋_GB2312"/>
          <w:b w:val="0"/>
          <w:sz w:val="32"/>
        </w:rPr>
        <w:t>包括：基本工资、津贴补贴、奖金、绩效工资、机关事业单位基本养老保险缴费、职工基本医疗保险缴费、其他社会保障缴费、住房公积金、退休费、抚恤金、生活补助、助学金。</w:t>
      </w:r>
    </w:p>
    <w:p>
      <w:pPr>
        <w:spacing w:line="580" w:lineRule="exact"/>
        <w:ind w:firstLine="640"/>
        <w:jc w:val="both"/>
      </w:pPr>
      <w:r>
        <w:rPr>
          <w:rFonts w:ascii="仿宋_GB2312" w:hAnsi="仿宋_GB2312" w:eastAsia="仿宋_GB2312"/>
          <w:b/>
          <w:sz w:val="32"/>
        </w:rPr>
        <w:t>公用经费106.33万元，</w:t>
      </w:r>
      <w:r>
        <w:rPr>
          <w:rFonts w:ascii="仿宋_GB2312" w:hAnsi="仿宋_GB2312" w:eastAsia="仿宋_GB2312"/>
          <w:b w:val="0"/>
          <w:sz w:val="32"/>
        </w:rPr>
        <w:t>包括：办公费、水费、电费、邮电费、取暖费、物业管理费、差旅费、维修（护）费、培训费、专用材料费、工会经费、其他商品和服务支出。</w:t>
      </w:r>
    </w:p>
    <w:p>
      <w:pPr>
        <w:spacing w:line="640" w:lineRule="exact"/>
        <w:ind w:firstLine="640"/>
        <w:jc w:val="both"/>
        <w:outlineLvl w:val="2"/>
      </w:pPr>
      <w:r>
        <w:rPr>
          <w:rFonts w:ascii="黑体" w:hAnsi="黑体" w:eastAsia="黑体"/>
          <w:sz w:val="32"/>
        </w:rPr>
        <w:t>七、政府性基金预算财政拨款收入支出决算情况说明</w:t>
      </w:r>
    </w:p>
    <w:p>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pPr>
        <w:spacing w:line="640" w:lineRule="exact"/>
        <w:ind w:firstLine="640"/>
        <w:jc w:val="both"/>
        <w:outlineLvl w:val="2"/>
      </w:pPr>
      <w:r>
        <w:rPr>
          <w:rFonts w:ascii="黑体" w:hAnsi="黑体" w:eastAsia="黑体"/>
          <w:sz w:val="32"/>
        </w:rPr>
        <w:t>八、国有资本经营预算财政拨款收入支出决算情况说明</w:t>
      </w:r>
    </w:p>
    <w:p>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pPr>
        <w:spacing w:line="640" w:lineRule="exact"/>
        <w:ind w:firstLine="640"/>
        <w:jc w:val="both"/>
        <w:outlineLvl w:val="2"/>
      </w:pPr>
      <w:r>
        <w:rPr>
          <w:rFonts w:ascii="黑体" w:hAnsi="黑体" w:eastAsia="黑体"/>
          <w:sz w:val="32"/>
        </w:rPr>
        <w:t>九、财政拨款“三公”经费支出决算情况说明</w:t>
      </w:r>
    </w:p>
    <w:p>
      <w:pPr>
        <w:spacing w:line="580" w:lineRule="exact"/>
        <w:ind w:firstLine="640"/>
        <w:jc w:val="both"/>
      </w:pPr>
      <w:r>
        <w:rPr>
          <w:rFonts w:ascii="仿宋_GB2312" w:hAnsi="仿宋_GB2312" w:eastAsia="仿宋_GB2312"/>
          <w:b/>
          <w:sz w:val="32"/>
        </w:rPr>
        <w:t>2024年度财政拨款“三公”经费支出0.00万元，</w:t>
      </w:r>
      <w:r>
        <w:rPr>
          <w:rFonts w:ascii="仿宋_GB2312" w:hAnsi="仿宋_GB2312" w:eastAsia="仿宋_GB2312"/>
          <w:b w:val="0"/>
          <w:sz w:val="32"/>
        </w:rPr>
        <w:t>比上年增加0.00万元，增长0.00%，主要原因是：2023年与2024年均未安排财政拨款“三公”经费支出。</w:t>
      </w:r>
      <w:r>
        <w:rPr>
          <w:rFonts w:ascii="仿宋_GB2312" w:hAnsi="仿宋_GB2312" w:eastAsia="仿宋_GB2312"/>
          <w:b w:val="0"/>
          <w:sz w:val="32"/>
        </w:rPr>
        <w:t>其中：因公出国（境）费支出0.00万元，占0.00%，比上年增加0.00万元，增长0.00%，主要原因是：2023年与2024年均未安排因公出国（境）费支出。</w:t>
      </w:r>
      <w:r>
        <w:rPr>
          <w:rFonts w:ascii="仿宋_GB2312" w:hAnsi="仿宋_GB2312" w:eastAsia="仿宋_GB2312"/>
          <w:b w:val="0"/>
          <w:sz w:val="32"/>
        </w:rPr>
        <w:t>公务用车购置及运行维护费支出0.00万元，占0.00%，比上年增加0.00万元，增长0.00%，主要原因是：2023年与2024年均未安排公务用车购置及运行维护费支出。</w:t>
      </w:r>
      <w:r>
        <w:rPr>
          <w:rFonts w:ascii="仿宋_GB2312" w:hAnsi="仿宋_GB2312" w:eastAsia="仿宋_GB2312"/>
          <w:b w:val="0"/>
          <w:sz w:val="32"/>
        </w:rPr>
        <w:t>公务接待费支出0.00万元，占0.00%，比上年增加0.00万元，增长0.00%，主要原因是：2023年与2024年均未安排公务接待费支出。</w:t>
      </w:r>
    </w:p>
    <w:p>
      <w:pPr>
        <w:spacing w:line="580" w:lineRule="exact"/>
        <w:ind w:firstLine="640"/>
        <w:jc w:val="both"/>
      </w:pPr>
      <w:r>
        <w:rPr>
          <w:rFonts w:ascii="仿宋_GB2312" w:hAnsi="仿宋_GB2312" w:eastAsia="仿宋_GB2312"/>
          <w:b/>
          <w:sz w:val="32"/>
        </w:rPr>
        <w:t>具体情况如下：</w:t>
      </w:r>
    </w:p>
    <w:p>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pPr>
        <w:spacing w:line="580" w:lineRule="exact"/>
        <w:ind w:firstLine="640"/>
        <w:jc w:val="both"/>
      </w:pPr>
      <w:r>
        <w:rPr>
          <w:rFonts w:ascii="仿宋_GB2312" w:hAnsi="仿宋_GB2312" w:eastAsia="仿宋_GB2312"/>
          <w:b w:val="0"/>
          <w:sz w:val="32"/>
        </w:rPr>
        <w:t>公务用车购置及运行维护费0.00万元，其中：公务用车购置费0.00万元，公务用车运行维护费0.00万元。公务用车运行维护费开支内容包括本单位无公务用车运行维护费。公务用车购置数0辆，公务用车保有量0辆。国有资产占用情况中固定资产车辆0辆，与公务用车保有量差异原因是：本单位无固定资产车辆。</w:t>
      </w:r>
    </w:p>
    <w:p>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0.00万元，决算数0.00万元，预决算差异率0.00%，主要原因是：本单位无财政拨款“三公”经费支出。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费维护全年预算数0.00万元，决算数0.00万元，预决算差异率0.00%，主要原因是：本单位无公务用车运行维护费。公务接待费全年预算数0.00万元，决算数0.00万元，预决算差异率0.00%，主要原因是：本单位无公务接待费。</w:t>
      </w:r>
    </w:p>
    <w:p>
      <w:pPr>
        <w:spacing w:line="640" w:lineRule="exact"/>
        <w:ind w:firstLine="640"/>
        <w:jc w:val="both"/>
        <w:outlineLvl w:val="2"/>
      </w:pPr>
      <w:r>
        <w:rPr>
          <w:rFonts w:ascii="黑体" w:hAnsi="黑体" w:eastAsia="黑体"/>
          <w:sz w:val="32"/>
        </w:rPr>
        <w:t>十、其他重要事项的情况说明</w:t>
      </w:r>
    </w:p>
    <w:p>
      <w:pPr>
        <w:spacing w:line="640" w:lineRule="exact"/>
        <w:ind w:firstLine="640"/>
        <w:jc w:val="both"/>
        <w:outlineLvl w:val="3"/>
      </w:pPr>
      <w:r>
        <w:rPr>
          <w:rFonts w:ascii="楷体_GB2312" w:hAnsi="楷体_GB2312" w:eastAsia="楷体_GB2312"/>
          <w:b/>
          <w:sz w:val="32"/>
        </w:rPr>
        <w:t>（一）机关运行经费及公用经费支出情况</w:t>
      </w:r>
    </w:p>
    <w:p>
      <w:pPr>
        <w:spacing w:line="580" w:lineRule="exact"/>
        <w:ind w:firstLine="640"/>
        <w:jc w:val="both"/>
      </w:pPr>
      <w:r>
        <w:rPr>
          <w:rFonts w:ascii="仿宋_GB2312" w:hAnsi="仿宋_GB2312" w:eastAsia="仿宋_GB2312"/>
          <w:b w:val="0"/>
          <w:sz w:val="32"/>
        </w:rPr>
        <w:t>2024年度特克斯县第三小学（事业单位）公用经费支出106.33万元，比上年减少35.45万元，下降25.00%，主要原因是：学生人数减少，公用经费支出减少。</w:t>
      </w:r>
    </w:p>
    <w:p>
      <w:pPr>
        <w:spacing w:line="640" w:lineRule="exact"/>
        <w:ind w:firstLine="640"/>
        <w:jc w:val="both"/>
        <w:outlineLvl w:val="3"/>
      </w:pPr>
      <w:r>
        <w:rPr>
          <w:rFonts w:ascii="楷体_GB2312" w:hAnsi="楷体_GB2312" w:eastAsia="楷体_GB2312"/>
          <w:b/>
          <w:sz w:val="32"/>
        </w:rPr>
        <w:t>（二）政府采购情况</w:t>
      </w:r>
    </w:p>
    <w:p>
      <w:pPr>
        <w:spacing w:line="580" w:lineRule="exact"/>
        <w:ind w:firstLine="640"/>
        <w:jc w:val="both"/>
      </w:pPr>
      <w:r>
        <w:rPr>
          <w:rFonts w:ascii="仿宋_GB2312" w:hAnsi="仿宋_GB2312" w:eastAsia="仿宋_GB2312"/>
          <w:b w:val="0"/>
          <w:sz w:val="32"/>
        </w:rPr>
        <w:t>2024年度政府采购支出总额13.11万元，其中：政府采购货物支出7.91万元、政府采购工程支出2.43万元、政府采购服务支出2.77万元。</w:t>
      </w:r>
    </w:p>
    <w:p>
      <w:pPr>
        <w:spacing w:line="580" w:lineRule="exact"/>
        <w:ind w:firstLine="640"/>
        <w:jc w:val="both"/>
      </w:pPr>
      <w:r>
        <w:rPr>
          <w:rFonts w:ascii="仿宋_GB2312" w:hAnsi="仿宋_GB2312" w:eastAsia="仿宋_GB2312"/>
          <w:b w:val="0"/>
          <w:sz w:val="32"/>
        </w:rPr>
        <w:t>授予中小企业合同金额11.59万元，占政府采购支出总额的88.41%，其中：授予小微企业合同金额11.59万元，占政府采购支出总额的88.41%。</w:t>
      </w:r>
    </w:p>
    <w:p>
      <w:pPr>
        <w:spacing w:line="640" w:lineRule="exact"/>
        <w:ind w:firstLine="640"/>
        <w:jc w:val="both"/>
        <w:outlineLvl w:val="3"/>
      </w:pPr>
      <w:r>
        <w:rPr>
          <w:rFonts w:ascii="楷体_GB2312" w:hAnsi="楷体_GB2312" w:eastAsia="楷体_GB2312"/>
          <w:b/>
          <w:sz w:val="32"/>
        </w:rPr>
        <w:t>（三）国有资产占用情况说明</w:t>
      </w:r>
    </w:p>
    <w:p>
      <w:pPr>
        <w:spacing w:line="580" w:lineRule="exact"/>
        <w:ind w:firstLine="640"/>
        <w:jc w:val="both"/>
      </w:pPr>
      <w:r>
        <w:rPr>
          <w:rFonts w:ascii="仿宋_GB2312" w:hAnsi="仿宋_GB2312" w:eastAsia="仿宋_GB2312"/>
          <w:b w:val="0"/>
          <w:sz w:val="32"/>
        </w:rPr>
        <w:t>截至2024年12月31日，房屋9,617.45平方米，价值365.54万元。车辆0辆，价值0.00万元，其中：副部（省）级及以上领导用车0辆、主要负责人用车0辆、机要通信用车0辆、应急保障用车0辆、执法执勤用车0辆、特种专业技术用车0辆、离退休干部服务用车0辆、其他用车0辆，其他用车主要是：我单位无其他用车。单价100万元（含）以上设备（不含车辆）0台（套）。</w:t>
      </w:r>
    </w:p>
    <w:p>
      <w:pPr>
        <w:spacing w:line="640" w:lineRule="exact"/>
        <w:ind w:firstLine="640"/>
        <w:jc w:val="both"/>
        <w:outlineLvl w:val="2"/>
      </w:pPr>
      <w:r>
        <w:rPr>
          <w:rFonts w:ascii="黑体" w:hAnsi="黑体" w:eastAsia="黑体"/>
          <w:sz w:val="32"/>
        </w:rPr>
        <w:t>十一、预算绩效的情况说明</w:t>
      </w:r>
    </w:p>
    <w:p>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2,387.48万元，实际执行总额2,387.48万元；预算绩效评价项目0个，全年预算数0.00万元，全年执行数0.00万元。预算绩效管理取得的成效：2024年我单位无绩效自评项目。发现的问题及原因：2024年我单位无绩效自评项目。下一步改进措施：2024年我单位无绩效自评项目。具体附部门整体支出绩效自评表，项目支出绩效自评表和部门评价报告。</w:t>
      </w:r>
    </w:p>
    <w:p>
      <w:r>
        <w:br w:type="page"/>
      </w:r>
    </w:p>
    <w:tbl>
      <w:tblPr>
        <w:tblW w:type="auto" w:w="0"/>
        <w:tblLook w:firstColumn="1" w:firstRow="1" w:lastColumn="0" w:lastRow="0" w:noHBand="0" w:noVBand="1" w:val="04A0"/>
      </w:tblPr>
      <w:tblGrid>
        <w:gridCol w:w="1105"/>
        <w:gridCol w:w="1105"/>
        <w:gridCol w:w="1105"/>
        <w:gridCol w:w="1105"/>
        <w:gridCol w:w="1105"/>
        <w:gridCol w:w="1105"/>
        <w:gridCol w:w="1105"/>
        <w:gridCol w:w="1105"/>
      </w:tblGrid>
      <w:tr>
        <w:tc>
          <w:tcPr>
            <w:tcW w:type="dxa" w:w="8840"/>
            <w:gridSpan w:val="8"/>
            <w:vAlign w:val="center"/>
          </w:tcPr>
          <w:p>
            <w:pPr>
              <w:jc w:val="center"/>
            </w:pPr>
            <w:r>
              <w:rPr>
                <w:rFonts w:ascii="宋体" w:hAnsi="宋体" w:eastAsia="宋体"/>
                <w:sz w:val="24"/>
              </w:rPr>
              <w:t>单位整体支出绩效自评表</w:t>
            </w:r>
          </w:p>
        </w:tc>
      </w:tr>
      <w:tr>
        <w:tc>
          <w:tcPr>
            <w:tcW w:type="dxa" w:w="8840"/>
            <w:gridSpan w:val="8"/>
            <w:vAlign w:val="center"/>
          </w:tcPr>
          <w:p>
            <w:pPr>
              <w:jc w:val="center"/>
            </w:pPr>
            <w:r>
              <w:rPr>
                <w:rFonts w:ascii="宋体" w:hAnsi="宋体" w:eastAsia="宋体"/>
                <w:sz w:val="24"/>
              </w:rPr>
              <w:t>（2024年度）</w:t>
            </w:r>
          </w:p>
        </w:tc>
      </w:tr>
      <w:tr>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单位名称</w:t>
            </w:r>
          </w:p>
        </w:tc>
        <w:tc>
          <w:tcPr>
            <w:tcW w:type="dxa" w:w="7735"/>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特克斯县第三小学</w:t>
            </w:r>
          </w:p>
        </w:tc>
      </w:tr>
      <w:tr>
        <w:tc>
          <w:tcPr>
            <w:tcW w:type="dxa" w:w="1105"/>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年度预算（万元）</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资金来源</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预算数（调整后）</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执行数</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分值权重</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年度总资金</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2,052.70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2,052.70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2,387.48</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2,387.48</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上级资金：</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本级资金：</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2,052.70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2,052.70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2,299.93</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2,299.93</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其他资金：</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87.55</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87.55</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1105"/>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年度总体目标</w:t>
            </w:r>
          </w:p>
        </w:tc>
        <w:tc>
          <w:tcPr>
            <w:tcW w:type="dxa" w:w="3315"/>
            <w:gridSpan w:val="3"/>
            <w:tcBorders>
              <w:start w:sz="10" w:val="single"/>
              <w:top w:sz="10" w:val="single"/>
              <w:end w:sz="10" w:val="single"/>
              <w:bottom w:sz="10" w:val="single"/>
              <w:insideV w:sz="10" w:val="single"/>
            </w:tcBorders>
            <w:vAlign w:val="center"/>
          </w:tcPr>
          <w:p>
            <w:pPr>
              <w:jc w:val="center"/>
            </w:pPr>
            <w:r>
              <w:rPr>
                <w:rFonts w:ascii="宋体" w:hAnsi="宋体" w:eastAsia="宋体"/>
                <w:sz w:val="16"/>
              </w:rPr>
              <w:t>预期目标</w:t>
            </w:r>
          </w:p>
        </w:tc>
        <w:tc>
          <w:tcPr>
            <w:tcW w:type="dxa" w:w="4420"/>
            <w:gridSpan w:val="4"/>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实际完成目标</w:t>
            </w:r>
          </w:p>
        </w:tc>
      </w:tr>
      <w:tr>
        <w:tc>
          <w:tcPr>
            <w:tcW w:type="dxa" w:w="1105"/>
            <w:vMerge/>
            <w:tcBorders>
              <w:start w:sz="10" w:val="single"/>
              <w:top w:sz="10" w:val="single"/>
              <w:end w:sz="10" w:val="single"/>
              <w:bottom w:sz="10" w:val="single"/>
              <w:insideV w:sz="10" w:val="single"/>
            </w:tcBorders>
          </w:tcPr>
          <w:p/>
        </w:tc>
        <w:tc>
          <w:tcPr>
            <w:tcW w:type="dxa" w:w="3315"/>
            <w:gridSpan w:val="3"/>
            <w:tcBorders>
              <w:start w:sz="10" w:val="single"/>
              <w:top w:sz="10" w:val="single"/>
              <w:end w:sz="10" w:val="single"/>
              <w:bottom w:sz="10" w:val="single"/>
              <w:insideV w:sz="10" w:val="single"/>
            </w:tcBorders>
            <w:vAlign w:val="center"/>
          </w:tcPr>
          <w:p>
            <w:pPr>
              <w:jc w:val="both"/>
            </w:pPr>
            <w:r>
              <w:rPr>
                <w:rFonts w:ascii="宋体" w:hAnsi="宋体" w:eastAsia="宋体"/>
                <w:sz w:val="16"/>
              </w:rPr>
              <w:t>贯彻落实党中央教育方针，一是宣传贯彻党的路线、方针、政策，坚持正确的办学方向，有效保障学校教育教学的可持续发展。二是宣传党的教育理论，指导干部学习党的理论，培养合格的教师队伍，有效提高教师的国家通用语言文字教育教学水平。三是按照上级部门工作要求，认真开展学校绩效量化考核工作，有效提升教师的工作积极性。四是完善德育机制，形成工作合力，有效开展学校的德育教学。五是加强学校民族团结教育，有效培养师生民族团结意识。六是创建义务教育优质均衡，有效促进优质均衡发展。</w:t>
            </w:r>
          </w:p>
        </w:tc>
        <w:tc>
          <w:tcPr>
            <w:tcW w:type="dxa" w:w="4420"/>
            <w:gridSpan w:val="4"/>
            <w:tcBorders>
              <w:start w:sz="10" w:val="single"/>
              <w:top w:sz="10" w:val="single"/>
              <w:end w:sz="10" w:val="single"/>
              <w:bottom w:sz="10" w:val="single"/>
              <w:insideV w:sz="10" w:val="single"/>
            </w:tcBorders>
            <w:vAlign w:val="center"/>
          </w:tcPr>
          <w:p>
            <w:pPr>
              <w:jc w:val="both"/>
            </w:pPr>
            <w:r>
              <w:rPr>
                <w:rFonts w:ascii="宋体" w:hAnsi="宋体" w:eastAsia="宋体"/>
                <w:sz w:val="16"/>
              </w:rPr>
              <w:t>深入学习贯彻习近平新时代中国特色社会主义思想和党的二十大精神、二十届三中全会精神。通过组织党员教师开展集中学习、专题研讨、个人自学等多种形式，引导党员教师深刻领悟“两个确立”的决定性意义，增强“四个意识”、坚定“四个自信”、做到“两个维护”。本学期共组织集中学习10次，专题研讨4次，切实提高了党员教师的政治理论水平。根据教师的不同层次和需求，制定个性化的培训培养计划。对于青年教师，通过师徒结对、新教师培训等方式，帮助他们尽快适应教学工作；对于骨干教师，鼓励他们参加高层次的培训和学术交流活动，发挥其示范引领作用。本学期，我校5名青年教师在师徒结对活动中取得了明显进步，6名骨干教师在县级教学竞赛中获奖。定期组织班主任培训和经验交流活动，邀请专家进行专题讲座，提高班主任的班级管理能力和育人水平。同时，加强对全体教师的德育培训，使每位教师都明确自己的育人职责，形成全员育人的良好氛围。严格执行课程计划，开齐开足各类课程。加强教学常规检查，定期对教师的备课、上课、作业批改等教学环节进行检查和反馈，确保教学工作的规范有序开展。本学期共进行教学常规检查4次，对发现的问题及时督促教师整改。积极开展教学研讨活动，组织教师进行公开课、示范课观摩和教学案例分析，鼓励教师探索创新教学方法，提高课堂教学效率。同时，加强对教学质量的监控，定期进行阶段性测试和质量分析，针对教学中存在的问题采取有效措施加以改进。本学期，各学科在期末考试中成绩均有不同程度的提高。对校园环境进行了进一步优化和美化，完善了校园文化设施。如在校园内增设了读书角等，营造了浓厚的文化氛围。同时，加强校园绿化管理，打造优美的校园自然环境。将安全教育纳入学校课程体系，通过课堂教学、主题班会、安全演练等形式，对学生进行交通安全、消防安全、食品安全等方面的教育。本学期共开展安全教育主题班会5次，组织安全演练2次，提高了学生的安全意识和自我保护能力。建立健全安全管理制度，加强校园安全保卫工作。定期对校园设施设备进行安全检查，及时消除安全隐患。加强对校园周边环境的综合治理，与相关部门密切配合，共同维护校园周边的安全秩序。</w:t>
            </w:r>
          </w:p>
        </w:tc>
      </w:tr>
      <w:tr>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预期指标值</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分值权重</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实际完成指标值</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1105"/>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履职效能</w:t>
            </w:r>
          </w:p>
        </w:tc>
        <w:tc>
          <w:tcPr>
            <w:tcW w:type="dxa" w:w="1105"/>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消除义务教育大班额</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95%</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伊犁哈萨克自治州十四五规划</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95%</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r>
      <w:tr>
        <w:tc>
          <w:tcPr>
            <w:tcW w:type="dxa" w:w="1105"/>
            <w:vMerge/>
            <w:tcBorders>
              <w:start w:sz="10" w:val="single"/>
              <w:top w:sz="10" w:val="single"/>
              <w:end w:sz="10" w:val="single"/>
              <w:bottom w:sz="10" w:val="single"/>
              <w:insideV w:sz="10" w:val="single"/>
            </w:tcBorders>
          </w:tcPr>
          <w:p/>
        </w:tc>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义务教育巩固率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98%</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伊犁哈萨克自治州十四五规划</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98%</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r>
      <w:tr>
        <w:tc>
          <w:tcPr>
            <w:tcW w:type="dxa" w:w="1105"/>
            <w:vMerge/>
            <w:tcBorders>
              <w:start w:sz="10" w:val="single"/>
              <w:top w:sz="10" w:val="single"/>
              <w:end w:sz="10" w:val="single"/>
              <w:bottom w:sz="10" w:val="single"/>
              <w:insideV w:sz="10" w:val="single"/>
            </w:tcBorders>
          </w:tcPr>
          <w:p/>
        </w:tc>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实现信息化教学覆盖率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85%</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伊犁哈萨克自治州十四五规划</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85%</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r>
      <w:tr>
        <w:tc>
          <w:tcPr>
            <w:tcW w:type="dxa" w:w="1105"/>
            <w:vMerge/>
            <w:tcBorders>
              <w:start w:sz="10" w:val="single"/>
              <w:top w:sz="10" w:val="single"/>
              <w:end w:sz="10" w:val="single"/>
              <w:bottom w:sz="10" w:val="single"/>
              <w:insideV w:sz="10" w:val="single"/>
            </w:tcBorders>
          </w:tcPr>
          <w:p/>
        </w:tc>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创建平安校园活动举办次数</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6次</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工作计划</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6次</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r>
      <w:tr>
        <w:tc>
          <w:tcPr>
            <w:tcW w:type="dxa" w:w="1105"/>
            <w:vMerge/>
            <w:tcBorders>
              <w:start w:sz="10" w:val="single"/>
              <w:top w:sz="10" w:val="single"/>
              <w:end w:sz="10" w:val="single"/>
              <w:bottom w:sz="10" w:val="single"/>
              <w:insideV w:sz="10" w:val="single"/>
            </w:tcBorders>
          </w:tcPr>
          <w:p/>
        </w:tc>
        <w:tc>
          <w:tcPr>
            <w:tcW w:type="dxa" w:w="1105"/>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质量指标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义务教育优质均衡率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95%</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伊犁哈萨克自治州十四五规划</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95%</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r>
      <w:tr>
        <w:tc>
          <w:tcPr>
            <w:tcW w:type="dxa" w:w="1105"/>
            <w:vMerge/>
            <w:tcBorders>
              <w:start w:sz="10" w:val="single"/>
              <w:top w:sz="10" w:val="single"/>
              <w:end w:sz="10" w:val="single"/>
              <w:bottom w:sz="10" w:val="single"/>
              <w:insideV w:sz="10" w:val="single"/>
            </w:tcBorders>
          </w:tcPr>
          <w:p/>
        </w:tc>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国家通用语言文字教育教学</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伊犁哈萨克自治州十四五规划</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r>
    </w:tbl>
    <w:p>
      <w:r>
        <w:br w:type="page"/>
      </w:r>
    </w:p>
    <w:p>
      <w:pPr>
        <w:spacing w:line="640" w:lineRule="exact"/>
        <w:ind w:firstLine="640"/>
        <w:jc w:val="both"/>
        <w:outlineLvl w:val="2"/>
      </w:pPr>
      <w:r>
        <w:rPr>
          <w:rFonts w:ascii="黑体" w:hAnsi="黑体" w:eastAsia="黑体"/>
          <w:sz w:val="32"/>
        </w:rPr>
        <w:t>十二、其他需说明的事项</w:t>
      </w:r>
    </w:p>
    <w:p>
      <w:pPr>
        <w:spacing w:line="580" w:lineRule="exact"/>
        <w:ind w:firstLine="640"/>
        <w:jc w:val="both"/>
      </w:pPr>
      <w:r>
        <w:rPr>
          <w:rFonts w:ascii="仿宋_GB2312" w:hAnsi="仿宋_GB2312" w:eastAsia="仿宋_GB2312"/>
          <w:b w:val="0"/>
          <w:sz w:val="32"/>
        </w:rPr>
        <w:t>本单位无其他需说明的事项。</w:t>
      </w:r>
    </w:p>
    <w:p>
      <w:r>
        <w:br w:type="page"/>
      </w:r>
    </w:p>
    <w:p>
      <w:pPr>
        <w:spacing w:line="240" w:lineRule="auto"/>
        <w:jc w:val="center"/>
        <w:outlineLvl w:val="1"/>
      </w:pPr>
      <w:r>
        <w:rPr>
          <w:rFonts w:ascii="黑体" w:hAnsi="黑体" w:eastAsia="黑体"/>
          <w:sz w:val="32"/>
        </w:rPr>
        <w:t>第三部分 专业名词解释</w:t>
      </w:r>
    </w:p>
    <w:p>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r>
        <w:br w:type="page"/>
      </w:r>
    </w:p>
    <w:p>
      <w:pPr>
        <w:spacing w:line="240" w:lineRule="auto"/>
        <w:jc w:val="center"/>
        <w:outlineLvl w:val="1"/>
      </w:pPr>
      <w:r>
        <w:rPr>
          <w:rFonts w:ascii="黑体" w:hAnsi="黑体" w:eastAsia="黑体"/>
          <w:sz w:val="32"/>
        </w:rPr>
        <w:t>第四部分 部门决算报表（见附表）</w:t>
      </w:r>
    </w:p>
    <w:p>
      <w:pPr>
        <w:spacing w:line="240" w:lineRule="auto"/>
        <w:ind w:firstLine="640"/>
        <w:jc w:val="both"/>
      </w:pPr>
      <w:r>
        <w:rPr>
          <w:rFonts w:ascii="仿宋_GB2312" w:hAnsi="仿宋_GB2312" w:eastAsia="仿宋_GB2312"/>
          <w:b w:val="0"/>
          <w:sz w:val="32"/>
        </w:rPr>
        <w:t>一、《收入支出决算总表》</w:t>
      </w:r>
    </w:p>
    <w:p>
      <w:pPr>
        <w:spacing w:line="240" w:lineRule="auto"/>
        <w:ind w:firstLine="640"/>
        <w:jc w:val="both"/>
      </w:pPr>
      <w:r>
        <w:rPr>
          <w:rFonts w:ascii="仿宋_GB2312" w:hAnsi="仿宋_GB2312" w:eastAsia="仿宋_GB2312"/>
          <w:b w:val="0"/>
          <w:sz w:val="32"/>
        </w:rPr>
        <w:t>二、《收入决算表》</w:t>
      </w:r>
    </w:p>
    <w:p>
      <w:pPr>
        <w:spacing w:line="240" w:lineRule="auto"/>
        <w:ind w:firstLine="640"/>
        <w:jc w:val="both"/>
      </w:pPr>
      <w:r>
        <w:rPr>
          <w:rFonts w:ascii="仿宋_GB2312" w:hAnsi="仿宋_GB2312" w:eastAsia="仿宋_GB2312"/>
          <w:b w:val="0"/>
          <w:sz w:val="32"/>
        </w:rPr>
        <w:t>三、《支出决算表》</w:t>
      </w:r>
    </w:p>
    <w:p>
      <w:pPr>
        <w:spacing w:line="240" w:lineRule="auto"/>
        <w:ind w:firstLine="640"/>
        <w:jc w:val="both"/>
      </w:pPr>
      <w:r>
        <w:rPr>
          <w:rFonts w:ascii="仿宋_GB2312" w:hAnsi="仿宋_GB2312" w:eastAsia="仿宋_GB2312"/>
          <w:b w:val="0"/>
          <w:sz w:val="32"/>
        </w:rPr>
        <w:t>四、《财政拨款收入支出决算总表》</w:t>
      </w:r>
    </w:p>
    <w:p>
      <w:pPr>
        <w:spacing w:line="240" w:lineRule="auto"/>
        <w:ind w:firstLine="640"/>
        <w:jc w:val="both"/>
      </w:pPr>
      <w:r>
        <w:rPr>
          <w:rFonts w:ascii="仿宋_GB2312" w:hAnsi="仿宋_GB2312" w:eastAsia="仿宋_GB2312"/>
          <w:b w:val="0"/>
          <w:sz w:val="32"/>
        </w:rPr>
        <w:t>五、《一般公共预算财政拨款支出决算表》</w:t>
      </w:r>
    </w:p>
    <w:p>
      <w:pPr>
        <w:spacing w:line="240" w:lineRule="auto"/>
        <w:ind w:firstLine="640"/>
        <w:jc w:val="both"/>
      </w:pPr>
      <w:r>
        <w:rPr>
          <w:rFonts w:ascii="仿宋_GB2312" w:hAnsi="仿宋_GB2312" w:eastAsia="仿宋_GB2312"/>
          <w:b w:val="0"/>
          <w:sz w:val="32"/>
        </w:rPr>
        <w:t>六、《一般公共预算财政拨款基本支出决算表》</w:t>
      </w:r>
    </w:p>
    <w:p>
      <w:pPr>
        <w:spacing w:line="240" w:lineRule="auto"/>
        <w:ind w:firstLine="640"/>
        <w:jc w:val="both"/>
      </w:pPr>
      <w:r>
        <w:rPr>
          <w:rFonts w:ascii="仿宋_GB2312" w:hAnsi="仿宋_GB2312" w:eastAsia="仿宋_GB2312"/>
          <w:b w:val="0"/>
          <w:sz w:val="32"/>
        </w:rPr>
        <w:t>七、《政府性基金预算财政拨款收入支出决算表》</w:t>
      </w:r>
    </w:p>
    <w:p>
      <w:pPr>
        <w:spacing w:line="240" w:lineRule="auto"/>
        <w:ind w:firstLine="640"/>
        <w:jc w:val="both"/>
      </w:pPr>
      <w:r>
        <w:rPr>
          <w:rFonts w:ascii="仿宋_GB2312" w:hAnsi="仿宋_GB2312" w:eastAsia="仿宋_GB2312"/>
          <w:b w:val="0"/>
          <w:sz w:val="32"/>
        </w:rPr>
        <w:t>八、《国有资本经营预算财政拨款收入支出决算表》</w:t>
      </w:r>
    </w:p>
    <w:p>
      <w:pPr>
        <w:spacing w:line="240" w:lineRule="auto"/>
        <w:ind w:firstLine="640"/>
        <w:jc w:val="both"/>
      </w:pPr>
      <w:r>
        <w:rPr>
          <w:rFonts w:ascii="仿宋_GB2312" w:hAnsi="仿宋_GB2312" w:eastAsia="仿宋_GB2312"/>
          <w:b w:val="0"/>
          <w:sz w:val="32"/>
        </w:rPr>
        <w:t>九、《财政拨款“三公”经费支出决算表》</w:t>
      </w:r>
    </w:p>
    <w:p>
      <w:pPr>
        <w:spacing w:line="240" w:lineRule="auto"/>
        <w:ind w:firstLine="640"/>
        <w:jc w:val="both"/>
      </w:pPr>
    </w:p>
    <w:p>
      <w:pPr>
        <w:spacing w:line="240" w:lineRule="auto"/>
        <w:ind w:firstLine="640"/>
        <w:jc w:val="both"/>
      </w:pPr>
    </w:p>
    <w:p>
      <w:pPr>
        <w:spacing w:line="240" w:lineRule="auto"/>
        <w:ind w:firstLine="640"/>
        <w:jc w:val="both"/>
      </w:pPr>
    </w:p>
    <w:p>
      <w:pPr>
        <w:spacing w:line="240" w:lineRule="auto"/>
        <w:ind w:firstLine="640"/>
        <w:jc w:val="both"/>
      </w:pPr>
    </w:p>
    <w:p>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微软雅黑"/>
    <w:panose1 w:val="02000000000000000000"/>
    <w:charset w:val="86"/>
    <w:family w:val="script"/>
    <w:pitch w:val="default"/>
    <w:sig w:usb0="00000000" w:usb1="00000000" w:usb2="00082016" w:usb3="00000000" w:csb0="00040001"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523</Words>
  <Characters>541</Characters>
  <Lines>0</Lines>
  <Paragraphs>0</Paragraphs>
  <TotalTime>0</TotalTime>
  <ScaleCrop>false</ScaleCrop>
  <LinksUpToDate>false</LinksUpToDate>
  <CharactersWithSpaces>547</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郭子歪</cp:lastModifiedBy>
  <cp:lastPrinted>2024-07-22T11:58:00Z</cp:lastPrinted>
  <dcterms:modified xsi:type="dcterms:W3CDTF">2025-08-08T11:56:24Z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B858A68E913346F885B5BC17D4DBEB06_13</vt:lpwstr>
  </property>
  <property fmtid="{D5CDD505-2E9C-101B-9397-08002B2CF9AE}" pid="4" name="KSOTemplateDocerSaveRecord">
    <vt:lpwstr>eyJoZGlkIjoiODY5ZWEwNzk5MThkZjUwOTQxNjE1MDdiYWJiNGU5YzAiLCJ1c2VySWQiOiI0Nzg3NDM5MjgifQ==</vt:lpwstr>
  </property>
</Properties>
</file>