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城</w:t>
      </w:r>
      <w:bookmarkStart w:id="3" w:name="_GoBack"/>
      <w:bookmarkEnd w:id="3"/>
      <w:r>
        <w:rPr>
          <w:rFonts w:hint="eastAsia" w:ascii="方正小标宋简体" w:hAnsi="方正小标宋简体" w:eastAsia="方正小标宋简体" w:cs="方正小标宋简体"/>
          <w:kern w:val="0"/>
          <w:sz w:val="44"/>
          <w:szCs w:val="44"/>
        </w:rPr>
        <w:t>乡义务教育生均公用补助项目项目支出绩效评价报告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6"/>
          <w:szCs w:val="36"/>
        </w:rPr>
        <w:t>（202</w:t>
      </w:r>
      <w:r>
        <w:rPr>
          <w:rFonts w:hint="default" w:ascii="Times New Roman" w:hAnsi="Times New Roman" w:eastAsia="仿宋_GB2312" w:cs="Times New Roman"/>
          <w:kern w:val="0"/>
          <w:sz w:val="36"/>
          <w:szCs w:val="36"/>
          <w:lang w:val="en-US" w:eastAsia="zh-CN"/>
        </w:rPr>
        <w:t>4</w:t>
      </w:r>
      <w:r>
        <w:rPr>
          <w:rFonts w:hint="default" w:ascii="Times New Roman" w:hAnsi="Times New Roman" w:eastAsia="仿宋_GB2312" w:cs="Times New Roman"/>
          <w:kern w:val="0"/>
          <w:sz w:val="36"/>
          <w:szCs w:val="36"/>
        </w:rPr>
        <w:t>年度）</w:t>
      </w: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spacing w:line="540" w:lineRule="exact"/>
        <w:jc w:val="center"/>
        <w:rPr>
          <w:rFonts w:hint="default" w:ascii="Times New Roman" w:hAnsi="Times New Roman" w:eastAsia="仿宋_GB2312" w:cs="Times New Roman"/>
          <w:kern w:val="0"/>
          <w:sz w:val="30"/>
          <w:szCs w:val="30"/>
        </w:rPr>
      </w:pPr>
    </w:p>
    <w:p>
      <w:pPr>
        <w:pStyle w:val="13"/>
        <w:rPr>
          <w:rFonts w:hint="default" w:ascii="Times New Roman" w:hAnsi="Times New Roman" w:cs="Times New Roman"/>
        </w:rPr>
      </w:pPr>
    </w:p>
    <w:p>
      <w:pPr>
        <w:spacing w:line="540" w:lineRule="exact"/>
        <w:jc w:val="center"/>
        <w:rPr>
          <w:rFonts w:hint="default" w:ascii="Times New Roman" w:hAnsi="Times New Roman" w:eastAsia="仿宋_GB2312" w:cs="Times New Roman"/>
          <w:kern w:val="0"/>
          <w:sz w:val="30"/>
          <w:szCs w:val="30"/>
        </w:rPr>
      </w:pPr>
    </w:p>
    <w:p>
      <w:pPr>
        <w:spacing w:line="540" w:lineRule="exact"/>
        <w:rPr>
          <w:rFonts w:hint="default" w:ascii="Times New Roman" w:hAnsi="Times New Roman" w:eastAsia="仿宋_GB2312" w:cs="Times New Roman"/>
          <w:kern w:val="0"/>
          <w:sz w:val="30"/>
          <w:szCs w:val="30"/>
        </w:rPr>
      </w:pP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项目名称：城乡义务教育生均公用补助项目</w:t>
      </w:r>
    </w:p>
    <w:p>
      <w:pPr>
        <w:spacing w:line="700" w:lineRule="exact"/>
        <w:ind w:firstLine="640" w:firstLineChars="200"/>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实施单位（公章）：</w:t>
      </w:r>
      <w:r>
        <w:rPr>
          <w:rFonts w:hint="eastAsia" w:eastAsia="仿宋_GB2312"/>
          <w:kern w:val="0"/>
          <w:sz w:val="32"/>
          <w:szCs w:val="32"/>
          <w:lang w:val="en-US" w:eastAsia="zh-CN"/>
        </w:rPr>
        <w:t>特克斯县教育局</w:t>
      </w:r>
    </w:p>
    <w:p>
      <w:pPr>
        <w:spacing w:line="700" w:lineRule="exact"/>
        <w:ind w:firstLine="640" w:firstLineChars="200"/>
        <w:jc w:val="both"/>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主管部门（公章）：</w:t>
      </w:r>
      <w:r>
        <w:rPr>
          <w:rFonts w:hint="eastAsia" w:eastAsia="仿宋_GB2312"/>
          <w:kern w:val="0"/>
          <w:sz w:val="32"/>
          <w:szCs w:val="32"/>
          <w:lang w:val="en-US" w:eastAsia="zh-CN"/>
        </w:rPr>
        <w:t>特克斯县教育局</w:t>
      </w: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阿热依·扎瓦提别克</w:t>
      </w:r>
    </w:p>
    <w:p>
      <w:pPr>
        <w:spacing w:line="700" w:lineRule="exact"/>
        <w:ind w:firstLine="640" w:firstLineChars="200"/>
        <w:jc w:val="left"/>
        <w:rPr>
          <w:rStyle w:val="18"/>
          <w:rFonts w:hint="default" w:ascii="Times New Roman" w:hAnsi="Times New Roman" w:eastAsia="黑体" w:cs="Times New Roman"/>
          <w:b w:val="0"/>
          <w:spacing w:val="-4"/>
          <w:sz w:val="32"/>
          <w:szCs w:val="32"/>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19</w:t>
      </w:r>
      <w:r>
        <w:rPr>
          <w:rFonts w:hint="default" w:ascii="Times New Roman" w:hAnsi="Times New Roman" w:eastAsia="仿宋_GB2312" w:cs="Times New Roman"/>
          <w:kern w:val="0"/>
          <w:sz w:val="32"/>
          <w:szCs w:val="32"/>
        </w:rPr>
        <w:t>日</w:t>
      </w:r>
    </w:p>
    <w:p>
      <w:pPr>
        <w:spacing w:line="540" w:lineRule="exact"/>
        <w:ind w:firstLine="640"/>
        <w:rPr>
          <w:rStyle w:val="18"/>
          <w:rFonts w:hint="default" w:ascii="Times New Roman" w:hAnsi="Times New Roman" w:eastAsia="黑体" w:cs="Times New Roman"/>
          <w:b w:val="0"/>
          <w:spacing w:val="-4"/>
          <w:sz w:val="32"/>
          <w:szCs w:val="32"/>
        </w:rPr>
      </w:pPr>
    </w:p>
    <w:p>
      <w:pPr>
        <w:spacing w:line="540" w:lineRule="exact"/>
        <w:rPr>
          <w:rStyle w:val="18"/>
          <w:rFonts w:hint="default" w:ascii="Times New Roman" w:hAnsi="Times New Roman" w:eastAsia="黑体" w:cs="Times New Roman"/>
          <w:b w:val="0"/>
          <w:spacing w:val="-4"/>
          <w:sz w:val="32"/>
          <w:szCs w:val="32"/>
        </w:rPr>
      </w:pPr>
    </w:p>
    <w:p>
      <w:pPr>
        <w:spacing w:line="560" w:lineRule="exact"/>
        <w:ind w:firstLine="640" w:firstLineChars="200"/>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pStyle w:val="13"/>
        <w:numPr>
          <w:ilvl w:val="0"/>
          <w:numId w:val="0"/>
        </w:numPr>
        <w:spacing w:before="0" w:after="0" w:line="560" w:lineRule="exact"/>
        <w:ind w:firstLine="640" w:firstLineChars="200"/>
        <w:jc w:val="both"/>
        <w:rPr>
          <w:rStyle w:val="18"/>
          <w:rFonts w:hint="default" w:ascii="Times New Roman" w:hAnsi="Times New Roman" w:eastAsia="黑体" w:cs="Times New Roman"/>
          <w:b w:val="0"/>
          <w:bCs/>
          <w:spacing w:val="-4"/>
          <w:sz w:val="32"/>
          <w:szCs w:val="32"/>
          <w:highlight w:val="yellow"/>
        </w:rPr>
      </w:pPr>
      <w:r>
        <w:rPr>
          <w:rFonts w:hint="default" w:ascii="Times New Roman" w:hAnsi="Times New Roman" w:eastAsia="仿宋_GB2312" w:cs="Times New Roman"/>
          <w:b w:val="0"/>
          <w:bCs w:val="0"/>
          <w:kern w:val="2"/>
          <w:sz w:val="32"/>
          <w:szCs w:val="32"/>
          <w:lang w:val="en-US" w:eastAsia="zh-CN" w:bidi="ar-SA"/>
        </w:rPr>
        <w:t>为进一步推进义务教育健康持续发展，切实解决家庭经 济困难学生就学，确保国家资助政策落实到位，提高资金使用效益。认真落实党中央、国务院决策部署，统筹城乡义务教育资源均衡配置，推动义务教育事业持续健康发展，国务院决定，自2016年起进一步完善城乡义务教育经费保障机制。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整合农村义务教育经费保障机制和城市义务教育奖补政策，建立统一的中央和地方分项目、按比例分担的城乡义务教育经费保障机制。</w:t>
      </w:r>
    </w:p>
    <w:p>
      <w:pPr>
        <w:pStyle w:val="13"/>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项目主要内容：</w:t>
      </w:r>
      <w:r>
        <w:rPr>
          <w:rFonts w:hint="default" w:ascii="Times New Roman" w:hAnsi="Times New Roman" w:eastAsia="仿宋_GB2312" w:cs="Times New Roman"/>
          <w:sz w:val="32"/>
          <w:szCs w:val="32"/>
        </w:rPr>
        <w:t>1.义务教育</w:t>
      </w:r>
      <w:r>
        <w:rPr>
          <w:rFonts w:hint="eastAsia" w:ascii="Times New Roman" w:hAnsi="Times New Roman" w:eastAsia="仿宋_GB2312" w:cs="Times New Roman"/>
          <w:sz w:val="32"/>
          <w:szCs w:val="32"/>
          <w:lang w:val="en-US" w:eastAsia="zh-CN"/>
        </w:rPr>
        <w:t>公用经费</w:t>
      </w:r>
      <w:r>
        <w:rPr>
          <w:rFonts w:hint="default" w:ascii="Times New Roman" w:hAnsi="Times New Roman" w:eastAsia="仿宋_GB2312" w:cs="Times New Roman"/>
          <w:sz w:val="32"/>
          <w:szCs w:val="32"/>
        </w:rPr>
        <w:t>县级配套资金</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项目实施情况：该项目于202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执行，及时保障了义务教育阶段学校学生日常消耗品，维修教学设施，保障学校日常运转的水，电，网络，校园责任保险等支出以及义务教育师生在校期间的取暖保障支出，按时完成该项目提升了师生在校期间办学条件，教学保障，师生安全等以及减轻了本县家庭较为困难学生家庭困难，保障了正常开展学校日常教学工作。</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398.99</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398.99</w:t>
      </w:r>
      <w:r>
        <w:rPr>
          <w:rFonts w:hint="default" w:ascii="Times New Roman" w:hAnsi="Times New Roman" w:eastAsia="仿宋_GB2312" w:cs="Times New Roman"/>
          <w:sz w:val="32"/>
          <w:szCs w:val="32"/>
          <w:lang w:val="en-US" w:eastAsia="zh-CN"/>
        </w:rPr>
        <w:t>万元，该项目资金已全部落实到位，资金来源为</w:t>
      </w:r>
      <w:r>
        <w:rPr>
          <w:rFonts w:hint="eastAsia" w:ascii="Times New Roman" w:hAnsi="Times New Roman" w:eastAsia="仿宋_GB2312" w:cs="Times New Roman"/>
          <w:sz w:val="32"/>
          <w:szCs w:val="32"/>
          <w:lang w:val="en-US" w:eastAsia="zh-CN"/>
        </w:rPr>
        <w:t>财政拨款</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该项目年初预算数</w:t>
      </w:r>
      <w:r>
        <w:rPr>
          <w:rFonts w:hint="eastAsia" w:ascii="Times New Roman" w:hAnsi="Times New Roman" w:eastAsia="仿宋_GB2312" w:cs="Times New Roman"/>
          <w:sz w:val="32"/>
          <w:szCs w:val="32"/>
          <w:lang w:val="en-US" w:eastAsia="zh-CN"/>
        </w:rPr>
        <w:t>398.99</w:t>
      </w:r>
      <w:r>
        <w:rPr>
          <w:rFonts w:hint="default" w:ascii="Times New Roman" w:hAnsi="Times New Roman" w:eastAsia="仿宋_GB2312" w:cs="Times New Roman"/>
          <w:sz w:val="32"/>
          <w:szCs w:val="32"/>
          <w:lang w:val="en-US" w:eastAsia="zh-CN"/>
        </w:rPr>
        <w:t>万元，全年预算数</w:t>
      </w:r>
      <w:r>
        <w:rPr>
          <w:rFonts w:hint="eastAsia" w:ascii="Times New Roman" w:hAnsi="Times New Roman" w:eastAsia="仿宋_GB2312" w:cs="Times New Roman"/>
          <w:sz w:val="32"/>
          <w:szCs w:val="32"/>
          <w:lang w:val="en-US" w:eastAsia="zh-CN"/>
        </w:rPr>
        <w:t>398.99</w:t>
      </w:r>
      <w:r>
        <w:rPr>
          <w:rFonts w:hint="default" w:ascii="Times New Roman" w:hAnsi="Times New Roman" w:eastAsia="仿宋_GB2312" w:cs="Times New Roman"/>
          <w:sz w:val="32"/>
          <w:szCs w:val="32"/>
          <w:lang w:val="en-US" w:eastAsia="zh-CN"/>
        </w:rPr>
        <w:t>万元</w:t>
      </w:r>
      <w:r>
        <w:rPr>
          <w:rFonts w:hint="eastAsia" w:ascii="Times New Roman" w:hAnsi="Times New Roman" w:eastAsia="仿宋_GB2312" w:cs="Times New Roman"/>
          <w:sz w:val="32"/>
          <w:szCs w:val="32"/>
          <w:lang w:val="en-US" w:eastAsia="zh-CN"/>
        </w:rPr>
        <w:t>，</w:t>
      </w:r>
      <w:r>
        <w:rPr>
          <w:rFonts w:hint="default" w:ascii="Times New Roman" w:hAnsi="Times New Roman" w:eastAsia="仿宋_GB2312" w:cs="Times New Roman"/>
          <w:sz w:val="32"/>
          <w:szCs w:val="32"/>
          <w:lang w:val="en-US" w:eastAsia="zh-CN"/>
        </w:rPr>
        <w:t>，全年执行数</w:t>
      </w:r>
      <w:r>
        <w:rPr>
          <w:rFonts w:hint="eastAsia" w:ascii="Times New Roman" w:hAnsi="Times New Roman" w:eastAsia="仿宋_GB2312" w:cs="Times New Roman"/>
          <w:sz w:val="32"/>
          <w:szCs w:val="32"/>
          <w:lang w:val="en-US" w:eastAsia="zh-CN"/>
        </w:rPr>
        <w:t>398.99</w:t>
      </w:r>
      <w:r>
        <w:rPr>
          <w:rFonts w:hint="default" w:ascii="Times New Roman" w:hAnsi="Times New Roman" w:eastAsia="仿宋_GB2312" w:cs="Times New Roman"/>
          <w:sz w:val="32"/>
          <w:szCs w:val="32"/>
          <w:lang w:val="en-US" w:eastAsia="zh-CN"/>
        </w:rPr>
        <w:t>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%，主要用于：用于学校教学业务与管理、教师培训、文体活动、水电、取暖、交通差旅、邮电、仪器设备及图书资料等购置，房屋、建筑物及仪器设备的日常维修维护等。</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总体目标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w:t>
      </w:r>
    </w:p>
    <w:p>
      <w:pPr>
        <w:spacing w:line="560" w:lineRule="exact"/>
        <w:ind w:firstLine="640" w:firstLineChars="200"/>
        <w:rPr>
          <w:rFonts w:hint="default" w:ascii="Times New Roman" w:hAnsi="Times New Roman" w:eastAsia="仿宋_GB2312" w:cs="Times New Roman"/>
          <w:color w:val="FF0000"/>
          <w:sz w:val="30"/>
          <w:szCs w:val="30"/>
          <w:highlight w:val="none"/>
          <w:lang w:val="en-US" w:eastAsia="zh-CN"/>
        </w:rPr>
      </w:pPr>
      <w:r>
        <w:rPr>
          <w:rFonts w:hint="default" w:ascii="Times New Roman" w:hAnsi="Times New Roman" w:eastAsia="仿宋_GB2312" w:cs="Times New Roman"/>
          <w:sz w:val="32"/>
          <w:szCs w:val="32"/>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sz w:val="32"/>
          <w:szCs w:val="32"/>
        </w:rPr>
        <w:t>阶段性目标</w:t>
      </w:r>
    </w:p>
    <w:p>
      <w:pPr>
        <w:spacing w:line="560" w:lineRule="exact"/>
        <w:ind w:firstLine="640" w:firstLineChars="200"/>
        <w:rPr>
          <w:rFonts w:hint="default" w:ascii="Times New Roman" w:hAnsi="Times New Roman" w:eastAsia="仿宋_GB2312" w:cs="Times New Roman"/>
          <w:sz w:val="32"/>
          <w:szCs w:val="32"/>
        </w:rPr>
      </w:pPr>
      <w:r>
        <w:rPr>
          <w:rFonts w:hint="eastAsia"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rPr>
        <w:t>统计202</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rPr>
        <w:t>年春季、秋季在校生实际人数，并于事业统计报表进行核对，对在校生、随班就读，送教上门学生变化情况进行核实，最终由各学校、学区形成人数文字说明，确定在校人数。小学教育经费享受人数为</w:t>
      </w:r>
      <w:r>
        <w:rPr>
          <w:rFonts w:hint="eastAsia" w:ascii="Times New Roman" w:hAnsi="Times New Roman" w:eastAsia="仿宋_GB2312" w:cs="Times New Roman"/>
          <w:sz w:val="32"/>
          <w:szCs w:val="32"/>
          <w:lang w:val="en-US" w:eastAsia="zh-CN"/>
        </w:rPr>
        <w:t>18154</w:t>
      </w:r>
      <w:r>
        <w:rPr>
          <w:rFonts w:hint="default" w:ascii="Times New Roman" w:hAnsi="Times New Roman" w:eastAsia="仿宋_GB2312" w:cs="Times New Roman"/>
          <w:sz w:val="32"/>
          <w:szCs w:val="32"/>
        </w:rPr>
        <w:t>人，初中教育经费拨付资金为</w:t>
      </w:r>
      <w:r>
        <w:rPr>
          <w:rFonts w:hint="eastAsia" w:ascii="Times New Roman" w:hAnsi="Times New Roman" w:eastAsia="仿宋_GB2312" w:cs="Times New Roman"/>
          <w:sz w:val="32"/>
          <w:szCs w:val="32"/>
          <w:lang w:val="en-US" w:eastAsia="zh-CN"/>
        </w:rPr>
        <w:t>7941</w:t>
      </w:r>
      <w:r>
        <w:rPr>
          <w:rFonts w:hint="default" w:ascii="Times New Roman" w:hAnsi="Times New Roman" w:eastAsia="仿宋_GB2312" w:cs="Times New Roman"/>
          <w:sz w:val="32"/>
          <w:szCs w:val="32"/>
        </w:rPr>
        <w:t>人。</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1.绩效评价完整性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评价指标体系的构建上，充分考虑了项目的性质、目标以及预期成果，选取了具有代表性和可衡量性的关键指标，涵盖了社会效益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在数据收集与分析环节，采用了多种科学合理的方法，广泛收集了与项目相关的各类数据，并运用</w:t>
      </w:r>
      <w:r>
        <w:rPr>
          <w:rFonts w:hint="eastAsia" w:ascii="Times New Roman" w:hAnsi="Times New Roman" w:eastAsia="仿宋_GB2312" w:cs="Times New Roman"/>
          <w:b w:val="0"/>
          <w:bCs w:val="0"/>
          <w:kern w:val="2"/>
          <w:sz w:val="32"/>
          <w:szCs w:val="32"/>
          <w:lang w:val="en-US" w:eastAsia="zh-CN" w:bidi="ar-SA"/>
        </w:rPr>
        <w:t>数据</w:t>
      </w:r>
      <w:r>
        <w:rPr>
          <w:rFonts w:hint="default" w:ascii="Times New Roman" w:hAnsi="Times New Roman" w:eastAsia="仿宋_GB2312" w:cs="Times New Roman"/>
          <w:b w:val="0"/>
          <w:bCs w:val="0"/>
          <w:kern w:val="2"/>
          <w:sz w:val="32"/>
          <w:szCs w:val="32"/>
          <w:lang w:val="en-US" w:eastAsia="zh-CN" w:bidi="ar-SA"/>
        </w:rPr>
        <w:t>分析工具对数据进行深入挖掘，以确保评价结论的科学性和可靠性。此外，还对数据的质量和完整性进行了严格把控，保证了评价数据的真实性和有效性。</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（1）评估项目实施效果</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通过对项目预算执行情况及各项绩效目标达成程度的系统性分析，全面、客观地评估项目在预定周期内的实施效果，包括社会效益等多维度指标，为项目后续的改进与优化提供科学依据。</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（2）提升资源利用效率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（3）强化项目管理责任</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（4）为决策提供支持</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（5）促进项目持续改进</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kern w:val="2"/>
          <w:sz w:val="32"/>
          <w:szCs w:val="32"/>
          <w:lang w:val="en-US" w:eastAsia="zh-CN" w:bidi="ar-SA"/>
        </w:rPr>
        <w:t>本项目预算绩效评价报告的评价对象是城乡义务教育生均公用补助项目及其预算执行情况。该项目由</w:t>
      </w:r>
      <w:r>
        <w:rPr>
          <w:rFonts w:hint="eastAsia" w:ascii="Times New Roman" w:hAnsi="Times New Roman" w:eastAsia="仿宋_GB2312" w:cs="Times New Roman"/>
          <w:b w:val="0"/>
          <w:bCs w:val="0"/>
          <w:kern w:val="2"/>
          <w:sz w:val="32"/>
          <w:szCs w:val="32"/>
          <w:lang w:val="en-US" w:eastAsia="zh-CN" w:bidi="ar-SA"/>
        </w:rPr>
        <w:t>特克斯县教育局</w:t>
      </w:r>
      <w:r>
        <w:rPr>
          <w:rFonts w:hint="default" w:ascii="Times New Roman" w:hAnsi="Times New Roman" w:eastAsia="仿宋_GB2312" w:cs="Times New Roman"/>
          <w:b w:val="0"/>
          <w:bCs w:val="0"/>
          <w:kern w:val="2"/>
          <w:sz w:val="32"/>
          <w:szCs w:val="32"/>
          <w:lang w:val="en-US" w:eastAsia="zh-CN" w:bidi="ar-SA"/>
        </w:rPr>
        <w:t>负责实施，旨在[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项目预算涵盖从</w:t>
      </w:r>
      <w:r>
        <w:rPr>
          <w:rFonts w:hint="eastAsia" w:ascii="Times New Roman" w:hAnsi="Times New Roman" w:eastAsia="仿宋_GB2312" w:cs="Times New Roman"/>
          <w:b w:val="0"/>
          <w:bCs w:val="0"/>
          <w:kern w:val="2"/>
          <w:sz w:val="32"/>
          <w:szCs w:val="32"/>
          <w:lang w:val="en-US" w:eastAsia="zh-CN" w:bidi="ar-SA"/>
        </w:rPr>
        <w:t>2024年1月1日</w:t>
      </w:r>
      <w:r>
        <w:rPr>
          <w:rFonts w:hint="default" w:ascii="Times New Roman" w:hAnsi="Times New Roman" w:eastAsia="仿宋_GB2312" w:cs="Times New Roman"/>
          <w:b w:val="0"/>
          <w:bCs w:val="0"/>
          <w:kern w:val="2"/>
          <w:sz w:val="32"/>
          <w:szCs w:val="32"/>
          <w:lang w:val="en-US" w:eastAsia="zh-CN" w:bidi="ar-SA"/>
        </w:rPr>
        <w:t>至</w:t>
      </w:r>
      <w:r>
        <w:rPr>
          <w:rFonts w:hint="eastAsia" w:ascii="Times New Roman" w:hAnsi="Times New Roman" w:eastAsia="仿宋_GB2312" w:cs="Times New Roman"/>
          <w:b w:val="0"/>
          <w:bCs w:val="0"/>
          <w:kern w:val="2"/>
          <w:sz w:val="32"/>
          <w:szCs w:val="32"/>
          <w:lang w:val="en-US" w:eastAsia="zh-CN" w:bidi="ar-SA"/>
        </w:rPr>
        <w:t>2024年11月28日</w:t>
      </w:r>
      <w:r>
        <w:rPr>
          <w:rFonts w:hint="default" w:ascii="Times New Roman" w:hAnsi="Times New Roman" w:eastAsia="仿宋_GB2312" w:cs="Times New Roman"/>
          <w:b w:val="0"/>
          <w:bCs w:val="0"/>
          <w:kern w:val="2"/>
          <w:sz w:val="32"/>
          <w:szCs w:val="32"/>
          <w:lang w:val="en-US" w:eastAsia="zh-CN" w:bidi="ar-SA"/>
        </w:rPr>
        <w:t>的全部资金投入与支出，涉及资金总额为398.99万元。</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4.</w:t>
      </w:r>
      <w:r>
        <w:rPr>
          <w:rFonts w:hint="default" w:ascii="Times New Roman" w:hAnsi="Times New Roman" w:eastAsia="仿宋_GB2312" w:cs="Times New Roman"/>
          <w:b w:val="0"/>
          <w:bCs w:val="0"/>
        </w:rPr>
        <w:t>绩效评价的范围</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本项目预算绩效评价报告的评价范围广泛而全面，涵盖了从项目立项至评价时点期间的所有关键预算活动和财务流程。具体而言，评价范围包括但不限于以下几个方面：</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项目预算编制与执行：全面审视项目预算的编制依据、合理性、科学性以及实际执行情况，包括预算调整的原因和效果。</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资金管理：深入分析项目资金的分配、使用和监管情况，确保资金使用的合规性、高效性和透明度。</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项目实施进度与产出：评估项目是否按照既定计划顺利推进，各项任务是否按时完成，以及项目产出的数量、质量和时效性是否符合预期。</w:t>
      </w:r>
    </w:p>
    <w:p>
      <w:pPr>
        <w:pStyle w:val="13"/>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kern w:val="2"/>
          <w:sz w:val="32"/>
          <w:szCs w:val="32"/>
          <w:lang w:val="en-US" w:eastAsia="zh-CN" w:bidi="ar-SA"/>
        </w:rPr>
      </w:pPr>
      <w:r>
        <w:rPr>
          <w:rFonts w:hint="default" w:ascii="Times New Roman" w:hAnsi="Times New Roman" w:eastAsia="仿宋_GB2312" w:cs="Times New Roman"/>
          <w:b w:val="0"/>
          <w:bCs w:val="0"/>
          <w:kern w:val="2"/>
          <w:sz w:val="32"/>
          <w:szCs w:val="32"/>
          <w:lang w:val="en-US" w:eastAsia="zh-CN" w:bidi="ar-SA"/>
        </w:rPr>
        <w:t>社会影响：考察项目对社会</w:t>
      </w:r>
      <w:r>
        <w:rPr>
          <w:rFonts w:hint="eastAsia" w:ascii="Times New Roman" w:hAnsi="Times New Roman" w:eastAsia="仿宋_GB2312" w:cs="Times New Roman"/>
          <w:b w:val="0"/>
          <w:bCs w:val="0"/>
          <w:kern w:val="2"/>
          <w:sz w:val="32"/>
          <w:szCs w:val="32"/>
          <w:lang w:val="en-US" w:eastAsia="zh-CN" w:bidi="ar-SA"/>
        </w:rPr>
        <w:t>效益</w:t>
      </w:r>
      <w:r>
        <w:rPr>
          <w:rFonts w:hint="default" w:ascii="Times New Roman" w:hAnsi="Times New Roman" w:eastAsia="仿宋_GB2312" w:cs="Times New Roman"/>
          <w:b w:val="0"/>
          <w:bCs w:val="0"/>
          <w:kern w:val="2"/>
          <w:sz w:val="32"/>
          <w:szCs w:val="32"/>
          <w:lang w:val="en-US" w:eastAsia="zh-CN" w:bidi="ar-SA"/>
        </w:rPr>
        <w:t>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绩效评价原则</w:t>
      </w:r>
    </w:p>
    <w:p>
      <w:pPr>
        <w:spacing w:line="560" w:lineRule="exact"/>
        <w:ind w:firstLine="640" w:firstLineChars="200"/>
        <w:rPr>
          <w:rFonts w:hint="default" w:ascii="Times New Roman" w:hAnsi="Times New Roman" w:eastAsia="仿宋_GB2312" w:cs="Times New Roman"/>
          <w:color w:val="000000"/>
          <w:sz w:val="32"/>
          <w:szCs w:val="32"/>
        </w:rPr>
      </w:pPr>
      <w:r>
        <w:rPr>
          <w:rFonts w:hint="default" w:ascii="Times New Roman" w:hAnsi="Times New Roman" w:eastAsia="仿宋_GB2312" w:cs="Times New Roman"/>
          <w:color w:val="000000"/>
          <w:sz w:val="32"/>
          <w:szCs w:val="32"/>
        </w:rPr>
        <w:t>本次项目绩效评价遵循以下基本原则：</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（1）科学公正。绩效评价应当运用科学合理的方法，按照规范的程序，对项目绩效进行客观、公正的反映。</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（2）统筹兼顾。单位自评、部门评价和财政评价应职责明确，各有侧重，相互衔接。单位自评应由项目单位自主实施，即“谁支出、谁自评”。部门评价和财政评价应在单位自评的基础上开展。</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（3）激励约束。绩效评价结果应与预算安排、政策调整、改进管理实质性挂钩，体现奖优罚劣和激励相容导向，有效要安排、低效要压减、无效要问责。</w:t>
      </w:r>
    </w:p>
    <w:p>
      <w:pPr>
        <w:pStyle w:val="13"/>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（4）公开透明。绩效评价结果应依法依规公开，并自觉接受社会监督。</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2</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评价指标体系</w:t>
      </w:r>
    </w:p>
    <w:p>
      <w:pPr>
        <w:spacing w:line="560" w:lineRule="exact"/>
        <w:ind w:firstLine="708" w:firstLineChars="200"/>
        <w:rPr>
          <w:rFonts w:hint="default" w:ascii="Times New Roman" w:hAnsi="Times New Roman"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绩效评价框架是开展绩效评价的核心。绩效评价框架包括评价准则、关键评价问题、评价指标、数据来源、数据收集方法等。指标体系建立过程如下：</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（1）确定评价指标</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（2）确定权重</w:t>
      </w:r>
    </w:p>
    <w:p>
      <w:pPr>
        <w:spacing w:line="560" w:lineRule="exact"/>
        <w:ind w:firstLine="708" w:firstLineChars="200"/>
        <w:rPr>
          <w:rFonts w:hint="default" w:ascii="Times New Roman" w:hAnsi="Times New Roman" w:eastAsia="仿宋_GB2312" w:cs="Times New Roman"/>
          <w:color w:val="FF0000"/>
          <w:spacing w:val="17"/>
          <w:sz w:val="32"/>
          <w:szCs w:val="32"/>
          <w:lang w:eastAsia="zh-CN"/>
        </w:rPr>
      </w:pPr>
      <w:r>
        <w:rPr>
          <w:rFonts w:hint="default" w:ascii="Times New Roman" w:hAnsi="Times New Roman" w:eastAsia="仿宋_GB2312" w:cs="Times New Roman"/>
          <w:color w:val="000000"/>
          <w:spacing w:val="17"/>
          <w:sz w:val="32"/>
          <w:szCs w:val="32"/>
        </w:rPr>
        <w:t>确定各个指标相对于项目总体绩效的权重分值。在绩效评价指标体系中，项目决策权重为20分，项目过程权重为20分，项目产出权重为40分，项目效益权重为20分。</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（3）确定指标标准值</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指标标准值是绩效评价指标的尺度，既要反映同类项目的先进水平，又要符合项目的实际绩效水平。具体采用计划标准等确定此次绩效评价指标标准值。</w:t>
      </w:r>
    </w:p>
    <w:p>
      <w:pPr>
        <w:pStyle w:val="13"/>
        <w:spacing w:before="0" w:after="0" w:line="560" w:lineRule="exact"/>
        <w:ind w:firstLine="708" w:firstLineChars="200"/>
        <w:jc w:val="both"/>
        <w:rPr>
          <w:rFonts w:hint="default" w:ascii="Times New Roman" w:hAnsi="Times New Roman" w:eastAsia="仿宋_GB2312" w:cs="Times New Roman"/>
          <w:b w:val="0"/>
          <w:bCs w:val="0"/>
          <w:color w:val="000000"/>
          <w:spacing w:val="17"/>
          <w:kern w:val="2"/>
        </w:rPr>
      </w:pPr>
      <w:r>
        <w:rPr>
          <w:rFonts w:hint="default" w:ascii="Times New Roman" w:hAnsi="Times New Roman" w:eastAsia="仿宋_GB2312" w:cs="Times New Roman"/>
          <w:b w:val="0"/>
          <w:bCs w:val="0"/>
          <w:color w:val="000000"/>
          <w:spacing w:val="17"/>
          <w:kern w:val="2"/>
        </w:rPr>
        <w:t>绩效评价总分值100分，根据综合评分结果，90（含）-100分为优、80（含）-90分为良、60（含）-80分为中、60分以下为差。</w:t>
      </w:r>
    </w:p>
    <w:p>
      <w:pPr>
        <w:pStyle w:val="13"/>
        <w:widowControl w:val="0"/>
        <w:spacing w:before="0" w:after="0" w:line="560" w:lineRule="exact"/>
        <w:ind w:firstLine="708" w:firstLineChars="200"/>
        <w:jc w:val="both"/>
        <w:outlineLvl w:val="9"/>
        <w:rPr>
          <w:rFonts w:hint="default" w:ascii="Times New Roman" w:hAnsi="Times New Roman" w:eastAsia="仿宋_GB2312" w:cs="Times New Roman"/>
          <w:b w:val="0"/>
          <w:bCs w:val="0"/>
          <w:color w:val="000000"/>
          <w:spacing w:val="17"/>
        </w:rPr>
      </w:pPr>
      <w:r>
        <w:rPr>
          <w:rFonts w:hint="default" w:ascii="Times New Roman" w:hAnsi="Times New Roman" w:eastAsia="仿宋_GB2312" w:cs="Times New Roman"/>
          <w:b w:val="0"/>
          <w:bCs w:val="0"/>
          <w:color w:val="000000"/>
          <w:spacing w:val="17"/>
        </w:rPr>
        <w:t>具体评价指标体系详情见附件1</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3</w:t>
      </w:r>
      <w:r>
        <w:rPr>
          <w:rFonts w:hint="default" w:ascii="Times New Roman" w:hAnsi="Times New Roman" w:eastAsia="仿宋_GB2312" w:cs="Times New Roman"/>
          <w:b w:val="0"/>
          <w:bCs w:val="0"/>
          <w:lang w:val="en-US" w:eastAsia="zh-CN"/>
        </w:rPr>
        <w:t>.</w:t>
      </w:r>
      <w:r>
        <w:rPr>
          <w:rFonts w:hint="default" w:ascii="Times New Roman" w:hAnsi="Times New Roman" w:eastAsia="仿宋_GB2312" w:cs="Times New Roman"/>
          <w:b w:val="0"/>
          <w:bCs w:val="0"/>
        </w:rPr>
        <w:t>绩效评价方法</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绩效评价从项目决策、项目过程、项目产出、项目效益四个维度进行评价。评价对象为项目目标实施情况，  评价核心为资金的支出完成情况和项目的产出效益。</w:t>
      </w:r>
    </w:p>
    <w:p>
      <w:pPr>
        <w:spacing w:line="560" w:lineRule="exact"/>
        <w:ind w:firstLine="708" w:firstLineChars="200"/>
        <w:rPr>
          <w:rFonts w:hint="default" w:ascii="Times New Roman" w:hAnsi="Times New Roman" w:eastAsia="仿宋_GB2312" w:cs="Times New Roman"/>
          <w:color w:val="000000"/>
          <w:spacing w:val="17"/>
          <w:sz w:val="32"/>
          <w:szCs w:val="32"/>
        </w:rPr>
      </w:pPr>
      <w:r>
        <w:rPr>
          <w:rFonts w:hint="default" w:ascii="Times New Roman" w:hAnsi="Times New Roman" w:eastAsia="仿宋_GB2312" w:cs="Times New Roman"/>
          <w:color w:val="000000"/>
          <w:spacing w:val="17"/>
          <w:sz w:val="32"/>
          <w:szCs w:val="32"/>
        </w:rPr>
        <w:t>本次评价指标中，既有定性指标又有定量指标，各类指标因考核内容不同和客观标准不同存在较大差异，因此核定具体指标时采用了不同方法，具体评价方法如下：</w:t>
      </w:r>
    </w:p>
    <w:p>
      <w:pPr>
        <w:pStyle w:val="13"/>
        <w:widowControl w:val="0"/>
        <w:spacing w:before="0" w:after="0" w:line="560" w:lineRule="exact"/>
        <w:ind w:firstLine="640" w:firstLineChars="200"/>
        <w:jc w:val="both"/>
        <w:outlineLvl w:val="9"/>
        <w:rPr>
          <w:rFonts w:hint="eastAsia" w:eastAsia="仿宋_GB2312"/>
          <w:color w:val="000000"/>
          <w:spacing w:val="17"/>
          <w:sz w:val="32"/>
          <w:szCs w:val="32"/>
          <w:lang w:eastAsia="zh-CN"/>
        </w:rPr>
      </w:pPr>
      <w:r>
        <w:rPr>
          <w:rFonts w:hint="eastAsia" w:ascii="Times New Roman" w:hAnsi="Times New Roman" w:eastAsia="仿宋_GB2312" w:cs="Times New Roman"/>
          <w:b w:val="0"/>
          <w:bCs w:val="0"/>
        </w:rPr>
        <w:t>本次项目支出绩效自评采用因素分析方法，原因是：</w:t>
      </w:r>
      <w:r>
        <w:rPr>
          <w:rFonts w:hint="eastAsia" w:ascii="Times New Roman" w:hAnsi="Times New Roman" w:eastAsia="仿宋_GB2312" w:cs="Times New Roman"/>
          <w:b w:val="0"/>
          <w:bCs w:val="0"/>
          <w:lang w:val="en-US" w:eastAsia="zh-CN"/>
        </w:rPr>
        <w:t>城</w:t>
      </w:r>
      <w:r>
        <w:rPr>
          <w:rFonts w:hint="default" w:ascii="Times New Roman" w:hAnsi="Times New Roman" w:eastAsia="仿宋_GB2312" w:cs="Times New Roman"/>
          <w:b w:val="0"/>
          <w:bCs w:val="0"/>
        </w:rPr>
        <w:t>乡义务教育生均公用补助项目</w:t>
      </w:r>
      <w:r>
        <w:rPr>
          <w:rFonts w:hint="eastAsia" w:ascii="Times New Roman" w:hAnsi="Times New Roman" w:eastAsia="仿宋_GB2312" w:cs="Times New Roman"/>
          <w:b w:val="0"/>
          <w:bCs w:val="0"/>
        </w:rPr>
        <w:t>在结合实际经验的情况下，绩效评价小组根据该项目资金的性质和特点，选用因素法对项目进行评价，旨在通过综合分析影响绩效目标实现、实施效果的内外部因素，从而评价该项目绩效</w:t>
      </w:r>
      <w:r>
        <w:rPr>
          <w:rFonts w:hint="eastAsia" w:ascii="Times New Roman" w:hAnsi="Times New Roman" w:eastAsia="仿宋_GB2312" w:cs="Times New Roman"/>
          <w:b w:val="0"/>
          <w:bCs w:val="0"/>
          <w:lang w:eastAsia="zh-CN"/>
        </w:rPr>
        <w:t>。</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rPr>
        <w:t>4</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评价标准</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绩效评价标准通常包括计划标准、行业标准、历史标准等，用于对绩效指标完成情况进行比较、分析、评价。本次评价主要采</w:t>
      </w:r>
      <w:r>
        <w:rPr>
          <w:rFonts w:hint="default" w:ascii="Times New Roman" w:hAnsi="Times New Roman" w:eastAsia="仿宋_GB2312" w:cs="Times New Roman"/>
          <w:b w:val="0"/>
          <w:bCs w:val="0"/>
          <w:kern w:val="2"/>
          <w:sz w:val="32"/>
          <w:szCs w:val="32"/>
          <w:lang w:val="en-US" w:eastAsia="zh-CN" w:bidi="ar-SA"/>
        </w:rPr>
        <w:t>用了</w:t>
      </w:r>
      <w:r>
        <w:rPr>
          <w:rFonts w:hint="eastAsia" w:ascii="Times New Roman" w:hAnsi="Times New Roman" w:eastAsia="仿宋_GB2312" w:cs="Times New Roman"/>
          <w:b w:val="0"/>
          <w:bCs w:val="0"/>
          <w:kern w:val="2"/>
          <w:sz w:val="32"/>
          <w:szCs w:val="32"/>
          <w:lang w:val="en-US" w:eastAsia="zh-CN" w:bidi="ar-SA"/>
        </w:rPr>
        <w:t>计划</w:t>
      </w:r>
      <w:r>
        <w:rPr>
          <w:rFonts w:hint="default" w:ascii="Times New Roman" w:hAnsi="Times New Roman" w:eastAsia="仿宋_GB2312" w:cs="Times New Roman"/>
          <w:b w:val="0"/>
          <w:bCs w:val="0"/>
          <w:kern w:val="2"/>
          <w:sz w:val="32"/>
          <w:szCs w:val="32"/>
          <w:lang w:val="en-US" w:eastAsia="zh-CN" w:bidi="ar-SA"/>
        </w:rPr>
        <w:t>标准。</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lang w:val="en-US" w:eastAsia="zh-CN"/>
        </w:rPr>
        <w:t>1</w:t>
      </w:r>
      <w:r>
        <w:rPr>
          <w:rFonts w:hint="default" w:ascii="Times New Roman" w:hAnsi="Times New Roman" w:eastAsia="仿宋_GB2312" w:cs="Times New Roman"/>
          <w:b w:val="0"/>
          <w:bCs w:val="0"/>
          <w:lang w:eastAsia="zh-CN"/>
        </w:rPr>
        <w:t>）</w:t>
      </w:r>
      <w:r>
        <w:rPr>
          <w:rFonts w:hint="default" w:ascii="Times New Roman" w:hAnsi="Times New Roman" w:eastAsia="仿宋_GB2312" w:cs="Times New Roman"/>
          <w:b w:val="0"/>
          <w:bCs w:val="0"/>
        </w:rPr>
        <w:t>计划标准。指以预先制定的目标、计划、预算、定额等作为评价标准。</w:t>
      </w:r>
    </w:p>
    <w:p>
      <w:pPr>
        <w:pStyle w:val="13"/>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1</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前期准备与规划</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eastAsia="zh-CN"/>
        </w:rPr>
        <w:t>）指标体系构建</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依据项目的性质、目标以及预期成果，构建了科学合理的绩效评价指标体系。该指标体系涵盖了</w:t>
      </w:r>
      <w:r>
        <w:rPr>
          <w:rFonts w:hint="default" w:ascii="Times New Roman" w:hAnsi="Times New Roman" w:eastAsia="仿宋_GB2312" w:cs="Times New Roman"/>
          <w:sz w:val="32"/>
          <w:szCs w:val="32"/>
        </w:rPr>
        <w:t>项目决策、项目过程、项目产出、项目效益四个维度</w:t>
      </w:r>
      <w:r>
        <w:rPr>
          <w:rFonts w:hint="default" w:ascii="Times New Roman" w:hAnsi="Times New Roman" w:eastAsia="仿宋_GB2312" w:cs="Times New Roman"/>
          <w:sz w:val="32"/>
          <w:szCs w:val="32"/>
          <w:lang w:eastAsia="zh-CN"/>
        </w:rPr>
        <w:t>，选取了具有代表性和可衡量性的关键指标，并为每个指标设定了明确的评价标准与权重，确保评价结果能够全面、准确地反映项目的绩效状况。</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3</w:t>
      </w:r>
      <w:r>
        <w:rPr>
          <w:rFonts w:hint="default" w:ascii="Times New Roman" w:hAnsi="Times New Roman" w:eastAsia="仿宋_GB2312" w:cs="Times New Roman"/>
          <w:sz w:val="32"/>
          <w:szCs w:val="32"/>
          <w:lang w:eastAsia="zh-CN"/>
        </w:rPr>
        <w:t>）数据收集与整理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eastAsia="zh-CN"/>
        </w:rPr>
        <w:t>）数据分析与评估</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5</w:t>
      </w:r>
      <w:r>
        <w:rPr>
          <w:rFonts w:hint="default" w:ascii="Times New Roman" w:hAnsi="Times New Roman" w:eastAsia="仿宋_GB2312" w:cs="Times New Roman"/>
          <w:sz w:val="32"/>
          <w:szCs w:val="32"/>
          <w:lang w:eastAsia="zh-CN"/>
        </w:rPr>
        <w:t>）报告撰写与反馈</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6</w:t>
      </w:r>
      <w:r>
        <w:rPr>
          <w:rFonts w:hint="default" w:ascii="Times New Roman" w:hAnsi="Times New Roman" w:eastAsia="仿宋_GB2312" w:cs="Times New Roman"/>
          <w:sz w:val="32"/>
          <w:szCs w:val="32"/>
          <w:lang w:eastAsia="zh-CN"/>
        </w:rPr>
        <w:t>）后续跟踪与改进</w:t>
      </w:r>
    </w:p>
    <w:p>
      <w:pPr>
        <w:spacing w:line="560" w:lineRule="exact"/>
        <w:ind w:firstLine="640" w:firstLineChars="200"/>
        <w:rPr>
          <w:rFonts w:hint="default" w:ascii="Times New Roman" w:hAnsi="Times New Roman" w:eastAsia="仿宋_GB2312" w:cs="Times New Roman"/>
          <w:sz w:val="32"/>
          <w:szCs w:val="32"/>
          <w:highlight w:val="green"/>
          <w:lang w:eastAsia="zh-CN"/>
        </w:rPr>
      </w:pPr>
      <w:r>
        <w:rPr>
          <w:rFonts w:hint="default" w:ascii="Times New Roman" w:hAnsi="Times New Roman" w:eastAsia="仿宋_GB2312" w:cs="Times New Roman"/>
          <w:sz w:val="32"/>
          <w:szCs w:val="32"/>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本项目的综合评价基于对项目各方面绩效的深入分析与评估。从项目目标的达成情况来看，城乡义务教育生均公用补助项目在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等方面表现出色，达到了预期的标准与要求。同时，项目也在</w:t>
      </w:r>
      <w:r>
        <w:rPr>
          <w:rFonts w:hint="eastAsia" w:ascii="Times New Roman" w:hAnsi="Times New Roman" w:eastAsia="仿宋_GB2312" w:cs="Times New Roman"/>
          <w:kern w:val="2"/>
          <w:sz w:val="32"/>
          <w:szCs w:val="32"/>
          <w:lang w:val="en-US" w:eastAsia="zh-CN" w:bidi="ar-SA"/>
        </w:rPr>
        <w:t>生均公用经费保障中</w:t>
      </w:r>
      <w:r>
        <w:rPr>
          <w:rFonts w:hint="default" w:ascii="Times New Roman" w:hAnsi="Times New Roman" w:eastAsia="仿宋_GB2312" w:cs="Times New Roman"/>
          <w:kern w:val="2"/>
          <w:sz w:val="32"/>
          <w:szCs w:val="32"/>
          <w:lang w:val="en-US" w:eastAsia="zh-CN" w:bidi="ar-SA"/>
        </w:rPr>
        <w:t>取得了显著的成效，如按期按时拨付</w:t>
      </w:r>
      <w:r>
        <w:rPr>
          <w:rFonts w:hint="eastAsia" w:ascii="Times New Roman" w:hAnsi="Times New Roman" w:eastAsia="仿宋_GB2312" w:cs="Times New Roman"/>
          <w:kern w:val="2"/>
          <w:sz w:val="32"/>
          <w:szCs w:val="32"/>
          <w:lang w:val="en-US" w:eastAsia="zh-CN" w:bidi="ar-SA"/>
        </w:rPr>
        <w:t>城乡义务教育公用</w:t>
      </w:r>
      <w:r>
        <w:rPr>
          <w:rFonts w:hint="default" w:ascii="Times New Roman" w:hAnsi="Times New Roman" w:eastAsia="仿宋_GB2312" w:cs="Times New Roman"/>
          <w:kern w:val="2"/>
          <w:sz w:val="32"/>
          <w:szCs w:val="32"/>
          <w:lang w:val="en-US" w:eastAsia="zh-CN" w:bidi="ar-SA"/>
        </w:rPr>
        <w:t>经费、等。在项目管理方面，</w:t>
      </w:r>
      <w:r>
        <w:rPr>
          <w:rFonts w:hint="eastAsia" w:ascii="Times New Roman" w:hAnsi="Times New Roman" w:eastAsia="仿宋_GB2312" w:cs="Times New Roman"/>
          <w:kern w:val="2"/>
          <w:sz w:val="32"/>
          <w:szCs w:val="32"/>
          <w:lang w:val="en-US" w:eastAsia="zh-CN" w:bidi="ar-SA"/>
        </w:rPr>
        <w:t>特克斯县教育局</w:t>
      </w:r>
      <w:r>
        <w:rPr>
          <w:rFonts w:hint="default" w:ascii="Times New Roman" w:hAnsi="Times New Roman" w:eastAsia="仿宋_GB2312" w:cs="Times New Roman"/>
          <w:kern w:val="2"/>
          <w:sz w:val="32"/>
          <w:szCs w:val="32"/>
          <w:lang w:val="en-US" w:eastAsia="zh-CN" w:bidi="ar-SA"/>
        </w:rPr>
        <w:t>通过有效的规划、组织与协调，项目得以顺利实施，并在预算与时间上保持了良好的控制。</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从项目效益的角度来看，本项目不仅实现了预期的社会效益等方面产生了积极的影响。具体而言，</w:t>
      </w:r>
      <w:r>
        <w:rPr>
          <w:rFonts w:hint="eastAsia" w:ascii="Times New Roman" w:hAnsi="Times New Roman" w:eastAsia="仿宋_GB2312" w:cs="Times New Roman"/>
          <w:kern w:val="2"/>
          <w:sz w:val="32"/>
          <w:szCs w:val="32"/>
          <w:lang w:val="en-US" w:eastAsia="zh-CN" w:bidi="ar-SA"/>
        </w:rPr>
        <w:t>减轻家庭经济学生家庭负担</w:t>
      </w:r>
      <w:r>
        <w:rPr>
          <w:rFonts w:hint="default" w:ascii="Times New Roman" w:hAnsi="Times New Roman" w:eastAsia="仿宋_GB2312" w:cs="Times New Roman"/>
          <w:kern w:val="2"/>
          <w:sz w:val="32"/>
          <w:szCs w:val="32"/>
          <w:lang w:val="en-US" w:eastAsia="zh-CN" w:bidi="ar-SA"/>
        </w:rPr>
        <w:t>等方面的提升，为项目的利益相关者带来了实实在在的利益。</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综上所述，城乡义务教育生均公用补助项目在绩效评价中表现出色，达到了项目的预期目标，并在多个方面取得了显著的成效。</w:t>
      </w:r>
    </w:p>
    <w:p>
      <w:pPr>
        <w:pStyle w:val="13"/>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13"/>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kern w:val="2"/>
          <w:sz w:val="32"/>
          <w:szCs w:val="32"/>
          <w:lang w:val="en-US" w:eastAsia="zh-CN" w:bidi="ar-SA"/>
        </w:rPr>
        <w:t xml:space="preserve">运用绩效评价组制定的评价指标体系以及财政部《项目支出绩效评价管理办法》（财预〔2020〕10号）文件的评分标准，通过数据采集、问卷调查及访谈等方式，对本项目进行客观评价，最终评分结果：总得分为 </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 xml:space="preserve">分，属于“优”。其中，项目决策类指标权重为20分，得分为 </w:t>
      </w:r>
      <w:r>
        <w:rPr>
          <w:rFonts w:hint="eastAsia" w:ascii="Times New Roman" w:hAnsi="Times New Roman" w:eastAsia="仿宋_GB2312" w:cs="Times New Roman"/>
          <w:b w:val="0"/>
          <w:bCs w:val="0"/>
          <w:kern w:val="2"/>
          <w:sz w:val="32"/>
          <w:szCs w:val="32"/>
          <w:lang w:val="en-US" w:eastAsia="zh-CN" w:bidi="ar-SA"/>
        </w:rPr>
        <w:t>20</w:t>
      </w:r>
      <w:r>
        <w:rPr>
          <w:rFonts w:hint="default" w:ascii="Times New Roman" w:hAnsi="Times New Roman" w:eastAsia="仿宋_GB2312" w:cs="Times New Roman"/>
          <w:b w:val="0"/>
          <w:bCs w:val="0"/>
          <w:kern w:val="2"/>
          <w:sz w:val="32"/>
          <w:szCs w:val="32"/>
          <w:lang w:val="en-US"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%。项目过程类指标权重为20分，得分为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default" w:ascii="Times New Roman" w:hAnsi="Times New Roman" w:eastAsia="仿宋_GB2312" w:cs="Times New Roman"/>
          <w:b w:val="0"/>
          <w:bCs w:val="0"/>
          <w:kern w:val="2"/>
          <w:sz w:val="32"/>
          <w:szCs w:val="32"/>
          <w:lang w:val="en-US"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%。项目产出类指标权重为40分，得分为</w:t>
      </w:r>
      <w:r>
        <w:rPr>
          <w:rFonts w:hint="eastAsia" w:ascii="Times New Roman" w:hAnsi="Times New Roman" w:eastAsia="仿宋_GB2312" w:cs="Times New Roman"/>
          <w:b w:val="0"/>
          <w:bCs w:val="0"/>
          <w:kern w:val="2"/>
          <w:sz w:val="32"/>
          <w:szCs w:val="32"/>
          <w:lang w:val="en-US" w:eastAsia="zh-CN" w:bidi="ar-SA"/>
        </w:rPr>
        <w:t>20</w:t>
      </w:r>
      <w:r>
        <w:rPr>
          <w:rFonts w:hint="default" w:ascii="Times New Roman" w:hAnsi="Times New Roman" w:eastAsia="仿宋_GB2312" w:cs="Times New Roman"/>
          <w:b w:val="0"/>
          <w:bCs w:val="0"/>
          <w:kern w:val="2"/>
          <w:sz w:val="32"/>
          <w:szCs w:val="32"/>
          <w:lang w:val="en-US" w:eastAsia="zh-CN" w:bidi="ar-SA"/>
        </w:rPr>
        <w:t xml:space="preserve">分，得分率为 </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%。项目效益类指标权重为20分，得分为</w:t>
      </w:r>
      <w:r>
        <w:rPr>
          <w:rFonts w:hint="eastAsia" w:ascii="Times New Roman" w:hAnsi="Times New Roman" w:eastAsia="仿宋_GB2312" w:cs="Times New Roman"/>
          <w:b w:val="0"/>
          <w:bCs w:val="0"/>
          <w:kern w:val="2"/>
          <w:sz w:val="32"/>
          <w:szCs w:val="32"/>
          <w:lang w:val="en-US" w:eastAsia="zh-CN" w:bidi="ar-SA"/>
        </w:rPr>
        <w:t>20</w:t>
      </w:r>
      <w:r>
        <w:rPr>
          <w:rFonts w:hint="default" w:ascii="Times New Roman" w:hAnsi="Times New Roman" w:eastAsia="仿宋_GB2312" w:cs="Times New Roman"/>
          <w:b w:val="0"/>
          <w:bCs w:val="0"/>
          <w:kern w:val="2"/>
          <w:sz w:val="32"/>
          <w:szCs w:val="32"/>
          <w:lang w:val="en-US" w:eastAsia="zh-CN" w:bidi="ar-SA"/>
        </w:rPr>
        <w:t>分，得分率为</w:t>
      </w:r>
      <w:r>
        <w:rPr>
          <w:rFonts w:hint="eastAsia" w:ascii="Times New Roman" w:hAnsi="Times New Roman" w:eastAsia="仿宋_GB2312" w:cs="Times New Roman"/>
          <w:b w:val="0"/>
          <w:bCs w:val="0"/>
          <w:kern w:val="2"/>
          <w:sz w:val="32"/>
          <w:szCs w:val="32"/>
          <w:lang w:val="en-US" w:eastAsia="zh-CN" w:bidi="ar-SA"/>
        </w:rPr>
        <w:t>100</w:t>
      </w:r>
      <w:r>
        <w:rPr>
          <w:rFonts w:hint="default" w:ascii="Times New Roman" w:hAnsi="Times New Roman" w:eastAsia="仿宋_GB2312" w:cs="Times New Roman"/>
          <w:b w:val="0"/>
          <w:bCs w:val="0"/>
          <w:kern w:val="2"/>
          <w:sz w:val="32"/>
          <w:szCs w:val="32"/>
          <w:lang w:val="en-US" w:eastAsia="zh-CN" w:bidi="ar-SA"/>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13"/>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6"/>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eastAsia="仿宋_GB2312" w:cs="Times New Roman"/>
                <w:color w:val="000000"/>
                <w:sz w:val="21"/>
                <w:szCs w:val="21"/>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eastAsia="仿宋_GB2312" w:cs="Times New Roman"/>
                <w:b/>
                <w:bCs/>
                <w:color w:val="FF0000"/>
                <w:sz w:val="21"/>
                <w:szCs w:val="21"/>
                <w:lang w:val="en-US" w:eastAsia="zh-CN"/>
              </w:rPr>
              <w:t>100</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13"/>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项目决策类指标包括项目立项、绩效目标和资金投入三方面的内容，由6个三级指标构成，权重分值为20分，实际得分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在预算编制过程中，</w:t>
      </w:r>
      <w:r>
        <w:rPr>
          <w:rFonts w:hint="default" w:ascii="Times New Roman" w:hAnsi="Times New Roman" w:eastAsia="仿宋_GB2312" w:cs="Times New Roman"/>
          <w:sz w:val="32"/>
          <w:szCs w:val="32"/>
          <w:lang w:val="en-US" w:eastAsia="zh-CN"/>
        </w:rPr>
        <w:t>还</w:t>
      </w:r>
      <w:r>
        <w:rPr>
          <w:rFonts w:hint="default" w:ascii="Times New Roman" w:hAnsi="Times New Roman" w:eastAsia="仿宋_GB2312" w:cs="Times New Roman"/>
          <w:sz w:val="32"/>
          <w:szCs w:val="32"/>
          <w:lang w:eastAsia="zh-CN"/>
        </w:rPr>
        <w:t>注重了成本控制与效益最大化的原则。通过优化资源配置、提高资金使用效率等措施，确保项目在有限的预算内取得最大的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（2）资金分配合理性</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13"/>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项目过程类指标包括资金管理和组织实施两方面的内容，由5个三级指标构成，权重分值为20分，实际得分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本项目总投资398.99万元，财政资金及时足额到位，到位率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预算编制较为详细，项目资金支出总体能够按照预算执行，预算资金支出398.99万元，预算执行率为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本项目的资金使用严格遵循了国家相关法律法规与财务制度，确保了资金的合规性与安全性。在资金使用过程中，我们建立了完善的财务管理体系，对资金的流动进行了全程监控与记录。</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1"/>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在制度设计上，我们注重了制度的科学性与可操作性，确保制度能够切实指导项目的执行与管理。</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pacing w:line="56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5"/>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ascii="Times New Roman" w:hAnsi="Times New Roman" w:eastAsia="仿宋_GB2312" w:cs="Times New Roman"/>
          <w:sz w:val="32"/>
          <w:szCs w:val="32"/>
          <w:lang w:val="en-US" w:eastAsia="zh-CN"/>
        </w:rPr>
        <w:t>4</w:t>
      </w:r>
      <w:r>
        <w:rPr>
          <w:rFonts w:hint="default" w:ascii="Times New Roman" w:hAnsi="Times New Roman" w:eastAsia="仿宋_GB2312" w:cs="Times New Roman"/>
          <w:sz w:val="32"/>
          <w:szCs w:val="32"/>
          <w:lang w:val="en-US" w:eastAsia="zh-CN"/>
        </w:rPr>
        <w:t>个三级指标构成，权重分为40分，实际得分</w:t>
      </w:r>
      <w:r>
        <w:rPr>
          <w:rFonts w:hint="eastAsia" w:ascii="Times New Roman" w:hAnsi="Times New Roman" w:eastAsia="仿宋_GB2312" w:cs="Times New Roman"/>
          <w:sz w:val="32"/>
          <w:szCs w:val="32"/>
          <w:lang w:val="en-US" w:eastAsia="zh-CN"/>
        </w:rPr>
        <w:t>40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指标1：</w:t>
      </w:r>
      <w:r>
        <w:rPr>
          <w:rFonts w:hint="eastAsia" w:ascii="Times New Roman" w:hAnsi="Times New Roman" w:eastAsia="仿宋_GB2312" w:cs="Times New Roman"/>
          <w:sz w:val="32"/>
          <w:szCs w:val="32"/>
        </w:rPr>
        <w:t>小学人数</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lang w:val="en-US" w:eastAsia="zh-CN"/>
        </w:rPr>
        <w:t>18154人</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18154人</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rPr>
        <w:t>初中人数</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lang w:val="en-US" w:eastAsia="zh-CN"/>
        </w:rPr>
        <w:t>7941人</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7941人</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2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②</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质量指标：</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指标1：</w:t>
      </w:r>
      <w:r>
        <w:rPr>
          <w:rFonts w:hint="eastAsia" w:ascii="Times New Roman" w:hAnsi="Times New Roman" w:eastAsia="仿宋_GB2312" w:cs="Times New Roman"/>
          <w:sz w:val="32"/>
          <w:szCs w:val="32"/>
        </w:rPr>
        <w:t>公用经费享受比例</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3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③</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时效指标：</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指标1：资金发放及时率，指标值：</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fldChar w:fldCharType="begin"/>
      </w:r>
      <w:r>
        <w:rPr>
          <w:rFonts w:hint="default" w:ascii="Times New Roman" w:hAnsi="Times New Roman" w:eastAsia="仿宋_GB2312" w:cs="Times New Roman"/>
          <w:sz w:val="32"/>
          <w:szCs w:val="32"/>
        </w:rPr>
        <w:instrText xml:space="preserve"> = 4 \* GB3 </w:instrText>
      </w:r>
      <w:r>
        <w:rPr>
          <w:rFonts w:hint="default" w:ascii="Times New Roman" w:hAnsi="Times New Roman" w:eastAsia="仿宋_GB2312" w:cs="Times New Roman"/>
          <w:sz w:val="32"/>
          <w:szCs w:val="32"/>
        </w:rPr>
        <w:fldChar w:fldCharType="separate"/>
      </w:r>
      <w:r>
        <w:rPr>
          <w:rFonts w:hint="default" w:ascii="Times New Roman" w:hAnsi="Times New Roman" w:eastAsia="仿宋_GB2312" w:cs="Times New Roman"/>
          <w:sz w:val="32"/>
          <w:szCs w:val="32"/>
        </w:rPr>
        <w:t>④</w:t>
      </w:r>
      <w:r>
        <w:rPr>
          <w:rFonts w:hint="default" w:ascii="Times New Roman" w:hAnsi="Times New Roman" w:eastAsia="仿宋_GB2312" w:cs="Times New Roman"/>
          <w:sz w:val="32"/>
          <w:szCs w:val="32"/>
        </w:rPr>
        <w:fldChar w:fldCharType="end"/>
      </w:r>
      <w:r>
        <w:rPr>
          <w:rFonts w:hint="default" w:ascii="Times New Roman" w:hAnsi="Times New Roman" w:eastAsia="仿宋_GB2312" w:cs="Times New Roman"/>
          <w:sz w:val="32"/>
          <w:szCs w:val="32"/>
        </w:rPr>
        <w:t>成本指标：</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指标1：</w:t>
      </w:r>
      <w:r>
        <w:rPr>
          <w:rFonts w:hint="eastAsia" w:ascii="Times New Roman" w:hAnsi="Times New Roman" w:eastAsia="仿宋_GB2312" w:cs="Times New Roman"/>
          <w:sz w:val="32"/>
          <w:szCs w:val="32"/>
        </w:rPr>
        <w:t>小学生均公用经费补助标准</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lang w:val="en-US" w:eastAsia="zh-CN"/>
        </w:rPr>
        <w:t>138.86元</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138.86元</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spacing w:line="560" w:lineRule="exact"/>
        <w:ind w:firstLine="640" w:firstLineChars="200"/>
        <w:rPr>
          <w:rFonts w:hint="eastAsia"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rPr>
        <w:t>指标</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rPr>
        <w:t>初中生均公用经费标准</w:t>
      </w:r>
      <w:r>
        <w:rPr>
          <w:rFonts w:hint="default" w:ascii="Times New Roman" w:hAnsi="Times New Roman" w:eastAsia="仿宋_GB2312" w:cs="Times New Roman"/>
          <w:sz w:val="32"/>
          <w:szCs w:val="32"/>
        </w:rPr>
        <w:t>，指标值：</w:t>
      </w:r>
      <w:r>
        <w:rPr>
          <w:rFonts w:hint="eastAsia" w:ascii="Times New Roman" w:hAnsi="Times New Roman" w:eastAsia="仿宋_GB2312" w:cs="Times New Roman"/>
          <w:sz w:val="32"/>
          <w:szCs w:val="32"/>
          <w:lang w:val="en-US" w:eastAsia="zh-CN"/>
        </w:rPr>
        <w:t>184.99元</w:t>
      </w:r>
      <w:r>
        <w:rPr>
          <w:rFonts w:hint="default" w:ascii="Times New Roman" w:hAnsi="Times New Roman" w:eastAsia="仿宋_GB2312" w:cs="Times New Roman"/>
          <w:sz w:val="32"/>
          <w:szCs w:val="32"/>
        </w:rPr>
        <w:t>，实际完成值：</w:t>
      </w:r>
      <w:r>
        <w:rPr>
          <w:rFonts w:hint="eastAsia" w:ascii="Times New Roman" w:hAnsi="Times New Roman" w:eastAsia="仿宋_GB2312" w:cs="Times New Roman"/>
          <w:sz w:val="32"/>
          <w:szCs w:val="32"/>
          <w:lang w:val="en-US" w:eastAsia="zh-CN"/>
        </w:rPr>
        <w:t>184.99元</w:t>
      </w:r>
      <w:r>
        <w:rPr>
          <w:rFonts w:hint="default" w:ascii="Times New Roman" w:hAnsi="Times New Roman" w:eastAsia="仿宋_GB2312" w:cs="Times New Roman"/>
          <w:sz w:val="32"/>
          <w:szCs w:val="32"/>
        </w:rPr>
        <w:t>，指标完成率</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eastAsia="zh-CN"/>
        </w:rPr>
        <w:t>。</w:t>
      </w:r>
    </w:p>
    <w:p>
      <w:pPr>
        <w:pStyle w:val="15"/>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pacing w:line="56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lang w:val="en-US" w:eastAsia="zh-CN"/>
        </w:rPr>
        <w:t>个三级指标构成，权重分为20分，实际得分</w:t>
      </w:r>
      <w:r>
        <w:rPr>
          <w:rFonts w:hint="eastAsia" w:ascii="Times New Roman" w:hAnsi="Times New Roman"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分，得分率为</w:t>
      </w:r>
      <w:r>
        <w:rPr>
          <w:rFonts w:hint="eastAsia" w:ascii="Times New Roman" w:hAnsi="Times New Roman" w:eastAsia="仿宋_GB2312" w:cs="Times New Roman"/>
          <w:sz w:val="32"/>
          <w:szCs w:val="32"/>
          <w:lang w:val="en-US" w:eastAsia="zh-CN"/>
        </w:rPr>
        <w:t>100</w:t>
      </w:r>
      <w:r>
        <w:rPr>
          <w:rFonts w:hint="default" w:ascii="Times New Roman" w:hAnsi="Times New Roman" w:eastAsia="仿宋_GB2312" w:cs="Times New Roman"/>
          <w:sz w:val="32"/>
          <w:szCs w:val="32"/>
          <w:lang w:val="en-US" w:eastAsia="zh-CN"/>
        </w:rPr>
        <w:t>%。具体效益指标及满意度指标完成情况如下：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1.实施效益</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pageBreakBefore w:val="0"/>
        <w:widowControl w:val="0"/>
        <w:numPr>
          <w:ilvl w:val="0"/>
          <w:numId w:val="0"/>
        </w:numPr>
        <w:kinsoku/>
        <w:wordWrap/>
        <w:overflowPunct/>
        <w:topLinePunct w:val="0"/>
        <w:autoSpaceDE/>
        <w:autoSpaceDN/>
        <w:bidi w:val="0"/>
        <w:spacing w:line="560" w:lineRule="exact"/>
        <w:ind w:left="0" w:leftChars="0" w:firstLine="640" w:firstLineChars="200"/>
        <w:jc w:val="both"/>
        <w:textAlignment w:val="auto"/>
        <w:rPr>
          <w:rFonts w:hint="eastAsia" w:ascii="仿宋_GB2312" w:hAnsi="仿宋_GB2312" w:eastAsia="仿宋_GB2312" w:cs="仿宋_GB2312"/>
          <w:color w:val="auto"/>
          <w:spacing w:val="20"/>
          <w:w w:val="100"/>
          <w:sz w:val="32"/>
          <w:szCs w:val="32"/>
        </w:rPr>
      </w:pPr>
      <w:r>
        <w:rPr>
          <w:rFonts w:hint="eastAsia" w:ascii="仿宋_GB2312" w:hAnsi="仿宋_GB2312" w:eastAsia="仿宋_GB2312" w:cs="仿宋_GB2312"/>
          <w:color w:val="auto"/>
          <w:sz w:val="32"/>
          <w:szCs w:val="32"/>
        </w:rPr>
        <w:t>指标1：</w:t>
      </w:r>
      <w:r>
        <w:rPr>
          <w:rFonts w:hint="eastAsia" w:ascii="仿宋_GB2312" w:hAnsi="仿宋_GB2312" w:eastAsia="仿宋_GB2312" w:cs="仿宋_GB2312"/>
          <w:color w:val="auto"/>
          <w:sz w:val="32"/>
          <w:szCs w:val="32"/>
          <w:lang w:eastAsia="zh-CN"/>
        </w:rPr>
        <w:tab/>
      </w:r>
      <w:r>
        <w:rPr>
          <w:rFonts w:hint="eastAsia" w:ascii="仿宋_GB2312" w:hAnsi="仿宋_GB2312" w:eastAsia="仿宋_GB2312" w:cs="仿宋_GB2312"/>
          <w:color w:val="auto"/>
          <w:sz w:val="32"/>
          <w:szCs w:val="32"/>
          <w:lang w:eastAsia="zh-CN"/>
        </w:rPr>
        <w:t>学生家庭经济负担</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有效降低</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eastAsia="zh-CN"/>
        </w:rPr>
        <w:t>：</w:t>
      </w:r>
      <w:r>
        <w:rPr>
          <w:rFonts w:hint="eastAsia" w:ascii="仿宋_GB2312" w:hAnsi="仿宋_GB2312" w:eastAsia="仿宋_GB2312" w:cs="仿宋_GB2312"/>
          <w:color w:val="auto"/>
          <w:sz w:val="32"/>
          <w:szCs w:val="32"/>
          <w:lang w:val="en-US" w:eastAsia="zh-CN"/>
        </w:rPr>
        <w:t>有效降低，</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指标1：</w:t>
      </w:r>
      <w:r>
        <w:rPr>
          <w:rFonts w:hint="eastAsia" w:ascii="仿宋_GB2312" w:hAnsi="仿宋_GB2312" w:cs="仿宋_GB2312"/>
          <w:color w:val="auto"/>
          <w:sz w:val="32"/>
          <w:szCs w:val="32"/>
          <w:lang w:val="en-US" w:eastAsia="zh-CN"/>
        </w:rPr>
        <w:t>学生</w:t>
      </w:r>
      <w:r>
        <w:rPr>
          <w:rFonts w:hint="eastAsia" w:ascii="仿宋_GB2312" w:hAnsi="仿宋_GB2312" w:eastAsia="仿宋_GB2312" w:cs="仿宋_GB2312"/>
          <w:color w:val="auto"/>
          <w:sz w:val="32"/>
          <w:szCs w:val="32"/>
          <w:lang w:eastAsia="zh-CN"/>
        </w:rPr>
        <w:t>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560" w:lineRule="exact"/>
        <w:ind w:firstLine="640" w:firstLineChars="200"/>
        <w:rPr>
          <w:rFonts w:hint="eastAsia" w:ascii="仿宋_GB2312" w:hAnsi="仿宋_GB2312" w:eastAsia="仿宋_GB2312" w:cs="仿宋_GB2312"/>
          <w:color w:val="auto"/>
          <w:sz w:val="32"/>
          <w:szCs w:val="32"/>
          <w:lang w:eastAsia="zh-CN"/>
        </w:rPr>
      </w:pPr>
      <w:r>
        <w:rPr>
          <w:rFonts w:hint="eastAsia" w:ascii="仿宋_GB2312" w:hAnsi="仿宋_GB2312" w:eastAsia="仿宋_GB2312" w:cs="仿宋_GB2312"/>
          <w:color w:val="auto"/>
          <w:sz w:val="32"/>
          <w:szCs w:val="32"/>
        </w:rPr>
        <w:t>指标</w:t>
      </w:r>
      <w:r>
        <w:rPr>
          <w:rFonts w:hint="eastAsia" w:ascii="仿宋_GB2312" w:hAnsi="仿宋_GB2312" w:eastAsia="仿宋_GB2312" w:cs="仿宋_GB2312"/>
          <w:color w:val="auto"/>
          <w:sz w:val="32"/>
          <w:szCs w:val="32"/>
          <w:lang w:val="en-US" w:eastAsia="zh-CN"/>
        </w:rPr>
        <w:t>2</w:t>
      </w:r>
      <w:r>
        <w:rPr>
          <w:rFonts w:hint="eastAsia" w:ascii="仿宋_GB2312" w:hAnsi="仿宋_GB2312" w:eastAsia="仿宋_GB2312" w:cs="仿宋_GB2312"/>
          <w:color w:val="auto"/>
          <w:sz w:val="32"/>
          <w:szCs w:val="32"/>
        </w:rPr>
        <w:t>：</w:t>
      </w:r>
      <w:r>
        <w:rPr>
          <w:rFonts w:hint="eastAsia" w:ascii="仿宋_GB2312" w:hAnsi="仿宋_GB2312" w:cs="仿宋_GB2312"/>
          <w:color w:val="auto"/>
          <w:sz w:val="32"/>
          <w:szCs w:val="32"/>
          <w:lang w:val="en-US" w:eastAsia="zh-CN"/>
        </w:rPr>
        <w:t>家长</w:t>
      </w:r>
      <w:r>
        <w:rPr>
          <w:rFonts w:hint="eastAsia" w:ascii="仿宋_GB2312" w:hAnsi="仿宋_GB2312" w:eastAsia="仿宋_GB2312" w:cs="仿宋_GB2312"/>
          <w:color w:val="auto"/>
          <w:sz w:val="32"/>
          <w:szCs w:val="32"/>
          <w:lang w:eastAsia="zh-CN"/>
        </w:rPr>
        <w:t>满意度</w:t>
      </w:r>
      <w:r>
        <w:rPr>
          <w:rFonts w:hint="eastAsia" w:ascii="仿宋_GB2312" w:hAnsi="仿宋_GB2312" w:eastAsia="仿宋_GB2312" w:cs="仿宋_GB2312"/>
          <w:color w:val="auto"/>
          <w:sz w:val="32"/>
          <w:szCs w:val="32"/>
        </w:rPr>
        <w:t>，指标值：≧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，实际完成值</w:t>
      </w:r>
      <w:r>
        <w:rPr>
          <w:rFonts w:hint="eastAsia" w:ascii="仿宋_GB2312" w:hAnsi="仿宋_GB2312" w:eastAsia="仿宋_GB2312" w:cs="仿宋_GB2312"/>
          <w:color w:val="auto"/>
          <w:sz w:val="32"/>
          <w:szCs w:val="32"/>
          <w:lang w:val="en-US" w:eastAsia="zh-CN"/>
        </w:rPr>
        <w:t>95%，</w:t>
      </w:r>
      <w:r>
        <w:rPr>
          <w:rFonts w:hint="eastAsia" w:ascii="仿宋_GB2312" w:hAnsi="仿宋_GB2312" w:eastAsia="仿宋_GB2312" w:cs="仿宋_GB2312"/>
          <w:color w:val="auto"/>
          <w:sz w:val="32"/>
          <w:szCs w:val="32"/>
        </w:rPr>
        <w:t>指标完成率</w:t>
      </w:r>
      <w:r>
        <w:rPr>
          <w:rFonts w:hint="eastAsia" w:ascii="仿宋_GB2312" w:hAnsi="仿宋_GB2312" w:eastAsia="仿宋_GB2312" w:cs="仿宋_GB2312"/>
          <w:color w:val="auto"/>
          <w:sz w:val="32"/>
          <w:szCs w:val="32"/>
          <w:lang w:val="en-US" w:eastAsia="zh-CN"/>
        </w:rPr>
        <w:t>100</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pStyle w:val="21"/>
        <w:spacing w:line="560" w:lineRule="exact"/>
        <w:ind w:firstLine="64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城乡义务教育生均公用补助项目项目年初预算398.99万元，全年预算398.99万元，实际支出398.99万元，预算执行率为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%，项目绩效指标总体完成率为</w:t>
      </w:r>
      <w:r>
        <w:rPr>
          <w:rFonts w:hint="eastAsia" w:ascii="Times New Roman" w:hAnsi="Times New Roman" w:eastAsia="仿宋_GB2312" w:cs="Times New Roman"/>
          <w:kern w:val="2"/>
          <w:sz w:val="32"/>
          <w:szCs w:val="32"/>
          <w:lang w:val="en-US" w:eastAsia="zh-CN" w:bidi="ar-SA"/>
        </w:rPr>
        <w:t>100</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总体</w:t>
      </w:r>
      <w:r>
        <w:rPr>
          <w:rFonts w:hint="default" w:ascii="Times New Roman" w:hAnsi="Times New Roman" w:eastAsia="仿宋_GB2312" w:cs="Times New Roman"/>
          <w:kern w:val="2"/>
          <w:sz w:val="32"/>
          <w:szCs w:val="32"/>
          <w:lang w:val="en-US" w:eastAsia="zh-CN" w:bidi="ar-SA"/>
        </w:rPr>
        <w:t>偏差率为</w:t>
      </w:r>
      <w:r>
        <w:rPr>
          <w:rFonts w:hint="eastAsia" w:ascii="Times New Roman" w:hAnsi="Times New Roman" w:eastAsia="仿宋_GB2312" w:cs="Times New Roman"/>
          <w:kern w:val="2"/>
          <w:sz w:val="32"/>
          <w:szCs w:val="32"/>
          <w:lang w:val="en-US" w:eastAsia="zh-CN" w:bidi="ar-SA"/>
        </w:rPr>
        <w:t>0</w:t>
      </w:r>
      <w:r>
        <w:rPr>
          <w:rFonts w:hint="default" w:ascii="Times New Roman" w:hAnsi="Times New Roman" w:eastAsia="仿宋_GB2312" w:cs="Times New Roman"/>
          <w:kern w:val="2"/>
          <w:sz w:val="32"/>
          <w:szCs w:val="32"/>
          <w:lang w:val="en-US" w:eastAsia="zh-CN" w:bidi="ar-SA"/>
        </w:rPr>
        <w:t>%</w:t>
      </w:r>
      <w:r>
        <w:rPr>
          <w:rFonts w:hint="eastAsia"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偏差</w:t>
      </w:r>
      <w:r>
        <w:rPr>
          <w:rFonts w:hint="default" w:ascii="Times New Roman" w:hAnsi="Times New Roman" w:eastAsia="仿宋_GB2312" w:cs="Times New Roman"/>
          <w:kern w:val="2"/>
          <w:sz w:val="32"/>
          <w:szCs w:val="32"/>
          <w:lang w:val="en-US" w:eastAsia="zh-CN" w:bidi="ar-SA"/>
        </w:rPr>
        <w:t>原因</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r>
        <w:rPr>
          <w:rFonts w:hint="default" w:ascii="Times New Roman" w:hAnsi="Times New Roman" w:eastAsia="仿宋_GB2312" w:cs="Times New Roman"/>
          <w:kern w:val="2"/>
          <w:sz w:val="32"/>
          <w:szCs w:val="32"/>
          <w:lang w:val="en-US" w:eastAsia="zh-Hans" w:bidi="ar-SA"/>
        </w:rPr>
        <w:t>改进</w:t>
      </w:r>
      <w:r>
        <w:rPr>
          <w:rFonts w:hint="default" w:ascii="Times New Roman" w:hAnsi="Times New Roman" w:eastAsia="仿宋_GB2312" w:cs="Times New Roman"/>
          <w:kern w:val="2"/>
          <w:sz w:val="32"/>
          <w:szCs w:val="32"/>
          <w:lang w:val="en-US" w:eastAsia="zh-CN" w:bidi="ar-SA"/>
        </w:rPr>
        <w:t>措施</w:t>
      </w:r>
      <w:r>
        <w:rPr>
          <w:rFonts w:hint="eastAsia" w:ascii="Times New Roman" w:hAnsi="Times New Roman" w:eastAsia="仿宋_GB2312" w:cs="Times New Roman"/>
          <w:kern w:val="2"/>
          <w:sz w:val="32"/>
          <w:szCs w:val="32"/>
          <w:lang w:val="en-US" w:eastAsia="zh-CN" w:bidi="ar-SA"/>
        </w:rPr>
        <w:t>无</w:t>
      </w:r>
      <w:r>
        <w:rPr>
          <w:rFonts w:hint="default" w:ascii="Times New Roman" w:hAnsi="Times New Roman" w:eastAsia="仿宋_GB2312" w:cs="Times New Roman"/>
          <w:kern w:val="2"/>
          <w:sz w:val="32"/>
          <w:szCs w:val="32"/>
          <w:lang w:val="en-US" w:eastAsia="zh-CN" w:bidi="ar-SA"/>
        </w:rPr>
        <w:t>。</w:t>
      </w:r>
    </w:p>
    <w:p>
      <w:pPr>
        <w:spacing w:line="560" w:lineRule="exact"/>
        <w:ind w:firstLine="640" w:firstLineChars="200"/>
        <w:rPr>
          <w:rStyle w:val="20"/>
          <w:rFonts w:hint="default" w:ascii="Times New Roman" w:hAnsi="Times New Roman" w:cs="Times New Roman"/>
          <w:color w:val="auto"/>
        </w:rPr>
      </w:pPr>
      <w:r>
        <w:rPr>
          <w:rFonts w:hint="eastAsia" w:eastAsia="黑体" w:cs="Times New Roman"/>
          <w:sz w:val="32"/>
          <w:szCs w:val="32"/>
          <w:lang w:val="en-US" w:eastAsia="zh-CN"/>
        </w:rPr>
        <w:t>五</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13"/>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keepLines/>
        <w:numPr>
          <w:ilvl w:val="0"/>
          <w:numId w:val="6"/>
        </w:num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0" w:name="page8"/>
      <w:bookmarkEnd w:id="0"/>
      <w:r>
        <w:rPr>
          <w:rFonts w:hint="default" w:ascii="Times New Roman" w:hAnsi="Times New Roman" w:eastAsia="黑体" w:cs="Times New Roman"/>
          <w:sz w:val="32"/>
          <w:szCs w:val="32"/>
        </w:rPr>
        <w:t>明的问题</w:t>
      </w:r>
    </w:p>
    <w:p>
      <w:pPr>
        <w:pStyle w:val="2"/>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2"/>
        <w:spacing w:after="0" w:line="560" w:lineRule="exact"/>
        <w:ind w:left="0" w:leftChars="0" w:firstLine="640"/>
        <w:rPr>
          <w:rFonts w:hint="default" w:ascii="Times New Roman" w:hAnsi="Times New Roman" w:eastAsia="仿宋_GB2312" w:cs="Times New Roman"/>
          <w:sz w:val="32"/>
          <w:szCs w:val="32"/>
        </w:rPr>
      </w:pPr>
    </w:p>
    <w:p>
      <w:pPr>
        <w:pStyle w:val="2"/>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1"/>
        <w:ind w:firstLine="562"/>
        <w:jc w:val="center"/>
        <w:rPr>
          <w:rFonts w:hint="eastAsia" w:ascii="仿宋_GB2312" w:hAnsi="仿宋_GB2312" w:eastAsia="仿宋_GB2312" w:cs="仿宋_GB2312"/>
          <w:sz w:val="28"/>
          <w:szCs w:val="40"/>
        </w:rPr>
      </w:pPr>
      <w:bookmarkStart w:id="1" w:name="_Toc30064_WPSOffice_Level1"/>
      <w:bookmarkStart w:id="2" w:name="_Toc26499_WPSOffice_Level2"/>
      <w:r>
        <w:rPr>
          <w:rFonts w:hint="eastAsia" w:ascii="仿宋_GB2312" w:hAnsi="仿宋_GB2312" w:eastAsia="仿宋_GB2312" w:cs="仿宋_GB2312"/>
          <w:b/>
          <w:bCs/>
          <w:sz w:val="28"/>
          <w:szCs w:val="40"/>
          <w:lang w:val="en-US" w:eastAsia="zh-CN"/>
        </w:rPr>
        <w:t>城乡义务教育生均公用补助项目</w:t>
      </w:r>
      <w:r>
        <w:rPr>
          <w:rFonts w:hint="eastAsia" w:ascii="仿宋_GB2312" w:hAnsi="仿宋_GB2312" w:eastAsia="仿宋_GB2312" w:cs="仿宋_GB2312"/>
          <w:b/>
          <w:bCs/>
          <w:sz w:val="28"/>
          <w:szCs w:val="40"/>
        </w:rPr>
        <w:t>绩效评价指标体系及综合评分表</w:t>
      </w:r>
      <w:bookmarkEnd w:id="1"/>
      <w:bookmarkEnd w:id="2"/>
    </w:p>
    <w:tbl>
      <w:tblPr>
        <w:tblStyle w:val="16"/>
        <w:tblW w:w="4474" w:type="pct"/>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autofit"/>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396"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680"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2055"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2055"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2055" w:type="pct"/>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396" w:type="pct"/>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680"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538" w:type="pct"/>
            <w:shd w:val="clear" w:color="000000"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highlight w:val="none"/>
                <w:lang w:eastAsia="zh-CN"/>
              </w:rPr>
            </w:pPr>
            <w:r>
              <w:rPr>
                <w:rFonts w:hint="eastAsia" w:eastAsia="仿宋_GB2312" w:cs="Times New Roman"/>
                <w:b/>
                <w:bCs/>
                <w:color w:val="000000"/>
                <w:kern w:val="0"/>
                <w:sz w:val="18"/>
                <w:szCs w:val="18"/>
                <w:highlight w:val="none"/>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396" w:type="pct"/>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lang w:val="en-US" w:eastAsia="zh-CN"/>
              </w:rPr>
            </w:pPr>
            <w:r>
              <w:rPr>
                <w:rFonts w:hint="eastAsia" w:eastAsia="仿宋_GB2312" w:cs="Times New Roman"/>
                <w:b/>
                <w:bCs/>
                <w:color w:val="000000"/>
                <w:kern w:val="0"/>
                <w:sz w:val="18"/>
                <w:szCs w:val="18"/>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396"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394" w:type="pct"/>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680" w:type="pct"/>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2055" w:type="pct"/>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512"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396"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394" w:type="pct"/>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422" w:type="pc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680"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2055" w:type="pct"/>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512"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538" w:type="pct"/>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highlight w:val="none"/>
                <w:lang w:val="en-US" w:eastAsia="zh-CN"/>
              </w:rPr>
            </w:pPr>
            <w:r>
              <w:rPr>
                <w:rFonts w:hint="eastAsia" w:eastAsia="仿宋_GB2312" w:cs="Times New Roman"/>
                <w:b/>
                <w:bCs/>
                <w:color w:val="000000"/>
                <w:kern w:val="0"/>
                <w:sz w:val="18"/>
                <w:szCs w:val="18"/>
                <w:highlight w:val="none"/>
                <w:lang w:val="en-US" w:eastAsia="zh-CN"/>
              </w:rPr>
              <w:t>10</w:t>
            </w:r>
          </w:p>
        </w:tc>
      </w:tr>
    </w:tbl>
    <w:p>
      <w:pPr>
        <w:rPr>
          <w:rFonts w:hint="default" w:ascii="Times New Roman" w:hAnsi="Times New Roman" w:cs="Times New Roman"/>
        </w:rPr>
        <w:sectPr>
          <w:pgSz w:w="16838" w:h="11906" w:orient="landscape"/>
          <w:pgMar w:top="1800" w:right="1440" w:bottom="1558" w:left="1440"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6"/>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17"/>
        <w:gridCol w:w="1292"/>
        <w:gridCol w:w="1312"/>
        <w:gridCol w:w="1032"/>
        <w:gridCol w:w="1140"/>
        <w:gridCol w:w="1164"/>
        <w:gridCol w:w="924"/>
        <w:gridCol w:w="837"/>
        <w:gridCol w:w="882"/>
        <w:gridCol w:w="777"/>
        <w:gridCol w:w="1032"/>
        <w:gridCol w:w="830"/>
        <w:gridCol w:w="748"/>
        <w:gridCol w:w="128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项目名称</w:t>
            </w:r>
          </w:p>
        </w:tc>
        <w:tc>
          <w:tcPr>
            <w:tcW w:w="4220" w:type="pct"/>
            <w:gridSpan w:val="1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城乡义务教育生均公用补助项目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主管部门</w:t>
            </w:r>
          </w:p>
        </w:tc>
        <w:tc>
          <w:tcPr>
            <w:tcW w:w="1965"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特克斯教育局</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实施单位</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义务教育阶段各学校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项目资金</w:t>
            </w:r>
            <w:r>
              <w:rPr>
                <w:rFonts w:hint="eastAsia" w:ascii="仿宋_GB2312" w:hAnsi="仿宋_GB2312" w:eastAsia="仿宋_GB2312" w:cs="仿宋_GB2312"/>
                <w:i w:val="0"/>
                <w:iCs w:val="0"/>
                <w:color w:val="000000"/>
                <w:kern w:val="0"/>
                <w:sz w:val="18"/>
                <w:szCs w:val="18"/>
                <w:u w:val="none"/>
                <w:lang w:val="en-US" w:eastAsia="zh-CN" w:bidi="ar"/>
              </w:rPr>
              <w:br w:type="textWrapping"/>
            </w:r>
            <w:r>
              <w:rPr>
                <w:rFonts w:hint="eastAsia" w:ascii="仿宋_GB2312" w:hAnsi="仿宋_GB2312" w:eastAsia="仿宋_GB2312" w:cs="仿宋_GB2312"/>
                <w:i w:val="0"/>
                <w:iCs w:val="0"/>
                <w:color w:val="000000"/>
                <w:kern w:val="0"/>
                <w:sz w:val="18"/>
                <w:szCs w:val="18"/>
                <w:u w:val="none"/>
                <w:lang w:val="en-US" w:eastAsia="zh-CN" w:bidi="ar"/>
              </w:rPr>
              <w:t>（万元）</w:t>
            </w: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资金来源</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年初预算数</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全年预算数</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全年执行数</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分值权重</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执行率</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得分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年度资金总额</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398.99</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398.99</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398.99</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其中：当年财政拨款</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398.99</w:t>
            </w:r>
          </w:p>
        </w:tc>
        <w:tc>
          <w:tcPr>
            <w:tcW w:w="73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398.99</w:t>
            </w:r>
          </w:p>
        </w:tc>
        <w:tc>
          <w:tcPr>
            <w:tcW w:w="60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398.99</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779" w:type="pct"/>
            <w:gridSpan w:val="2"/>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826" w:type="pct"/>
            <w:gridSpan w:val="2"/>
            <w:tcBorders>
              <w:top w:val="single" w:color="000000" w:sz="4" w:space="0"/>
              <w:left w:val="single" w:color="000000" w:sz="4" w:space="0"/>
              <w:bottom w:val="nil"/>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其他资金</w:t>
            </w:r>
          </w:p>
        </w:tc>
        <w:tc>
          <w:tcPr>
            <w:tcW w:w="402"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73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606" w:type="pct"/>
            <w:gridSpan w:val="2"/>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638"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556"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宋体" w:hAnsi="宋体" w:eastAsia="宋体" w:cs="宋体"/>
                <w:i w:val="0"/>
                <w:iCs w:val="0"/>
                <w:color w:val="000000"/>
                <w:kern w:val="0"/>
                <w:sz w:val="20"/>
                <w:szCs w:val="20"/>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年度总体目标</w:t>
            </w: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总体目标完成情况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027" w:type="pct"/>
            <w:gridSpan w:val="8"/>
            <w:tcBorders>
              <w:top w:val="single" w:color="000000" w:sz="4" w:space="0"/>
              <w:left w:val="single" w:color="000000" w:sz="4" w:space="0"/>
              <w:bottom w:val="single" w:color="000000" w:sz="4" w:space="0"/>
              <w:right w:val="single" w:color="000000" w:sz="4" w:space="0"/>
            </w:tcBorders>
            <w:shd w:val="clear" w:color="auto" w:fill="auto"/>
            <w:vAlign w:val="top"/>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进一步入地入地优化教育结构，促进教育公平。全面加强教育经费投入使用管理工作，优化结构，优先保障，深化改革，强化管理，最终提高教育经费使用效益。落实城乡义务教育生均公用经费基准定额，由中央与地方按规定比例予以分担，为义务教育阶段学校正常运转，完成教育教学活动和其他日常工作提供保障。小学教育经费拨付资金为17368人，小学公用经费标准为720元；初中教育经费拨付资金为8468人，初中公用经费标准为940元。</w:t>
            </w:r>
          </w:p>
        </w:tc>
        <w:tc>
          <w:tcPr>
            <w:tcW w:w="1648" w:type="pct"/>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按照生均公用经费标准，完成398.99万元支付。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323"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绩效指标</w:t>
            </w: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一级指标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二级指标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三级指标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指标值设置依据</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上年完成值</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指标分值权重</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指标赋分规则</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佐证资料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指标实际完成值</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完成率</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指标得分</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偏差原因分析及改进措施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产出指标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nil"/>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小学人数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18154人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18154人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数量指标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初中人数</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7941人</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7941人</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Times New Roman" w:hAnsi="Times New Roman" w:eastAsia="宋体" w:cs="Times New Roman"/>
                <w:kern w:val="2"/>
                <w:sz w:val="21"/>
                <w:szCs w:val="24"/>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质量指标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公用经费享受比例</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时效指标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资金发放及时率</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100%</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100%</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b/>
                <w:bCs/>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成本指标</w:t>
            </w:r>
          </w:p>
        </w:tc>
        <w:tc>
          <w:tcPr>
            <w:tcW w:w="462" w:type="pct"/>
            <w:tcBorders>
              <w:top w:val="single" w:color="000000" w:sz="4" w:space="0"/>
              <w:left w:val="single" w:color="000000" w:sz="4" w:space="0"/>
              <w:bottom w:val="nil"/>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highlight w:val="red"/>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小学生均公用经费补助标准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138.86元</w:t>
            </w:r>
          </w:p>
        </w:tc>
        <w:tc>
          <w:tcPr>
            <w:tcW w:w="410"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nil"/>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138.86元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highlight w:val="none"/>
                <w:u w:val="none"/>
                <w:lang w:val="en-US" w:eastAsia="zh-CN" w:bidi="ar"/>
              </w:rPr>
              <w:t>经济成本指标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初中生均公用经费标准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184.99元</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预算支出标准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10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按照完成比例赋分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原始凭证</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184.99元</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10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效益指标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经济效益指标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社会效益指标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学生家庭经济负担</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有效降低</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20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评判等级赋分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有效降低</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20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生态效益指标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restart"/>
            <w:tcBorders>
              <w:top w:val="single" w:color="000000" w:sz="4" w:space="0"/>
              <w:left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学生满意度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323"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仿宋_GB2312" w:eastAsia="仿宋_GB2312" w:cs="仿宋_GB2312"/>
                <w:i w:val="0"/>
                <w:iCs w:val="0"/>
                <w:color w:val="000000"/>
                <w:sz w:val="18"/>
                <w:szCs w:val="18"/>
                <w:u w:val="none"/>
              </w:rPr>
            </w:pPr>
          </w:p>
        </w:tc>
        <w:tc>
          <w:tcPr>
            <w:tcW w:w="455" w:type="pct"/>
            <w:vMerge w:val="continue"/>
            <w:tcBorders>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p>
        </w:tc>
        <w:tc>
          <w:tcPr>
            <w:tcW w:w="462" w:type="pc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18"/>
                <w:szCs w:val="18"/>
                <w:u w:val="none"/>
                <w:lang w:val="en-US" w:eastAsia="zh-CN" w:bidi="ar"/>
              </w:rPr>
            </w:pPr>
            <w:r>
              <w:rPr>
                <w:rFonts w:hint="eastAsia" w:ascii="仿宋_GB2312" w:hAnsi="仿宋_GB2312" w:eastAsia="仿宋_GB2312" w:cs="仿宋_GB2312"/>
                <w:i w:val="0"/>
                <w:iCs w:val="0"/>
                <w:color w:val="000000"/>
                <w:kern w:val="0"/>
                <w:sz w:val="18"/>
                <w:szCs w:val="18"/>
                <w:u w:val="none"/>
                <w:lang w:val="en-US" w:eastAsia="zh-CN" w:bidi="ar"/>
              </w:rPr>
              <w:t>满意度指标</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left"/>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家长满意度</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&gt;=95%</w:t>
            </w:r>
          </w:p>
        </w:tc>
        <w:tc>
          <w:tcPr>
            <w:tcW w:w="410"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计划标准</w:t>
            </w: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无</w:t>
            </w: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5</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满意度赋分</w:t>
            </w: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rPr>
              <w:t>工作资料</w:t>
            </w: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rPr>
              <w:t>&gt;=95%</w:t>
            </w: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sz w:val="18"/>
                <w:szCs w:val="18"/>
                <w:u w:val="none"/>
                <w:lang w:val="en-US" w:eastAsia="zh-CN"/>
              </w:rPr>
              <w:t>100%</w:t>
            </w: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kern w:val="2"/>
                <w:sz w:val="18"/>
                <w:szCs w:val="18"/>
                <w:u w:val="none"/>
                <w:lang w:val="en-US" w:eastAsia="zh-CN" w:bidi="ar-SA"/>
              </w:rPr>
            </w:pPr>
            <w:r>
              <w:rPr>
                <w:rFonts w:hint="eastAsia" w:ascii="仿宋_GB2312" w:hAnsi="仿宋_GB2312" w:eastAsia="仿宋_GB2312" w:cs="仿宋_GB2312"/>
                <w:i w:val="0"/>
                <w:iCs w:val="0"/>
                <w:color w:val="000000"/>
                <w:sz w:val="18"/>
                <w:szCs w:val="18"/>
                <w:u w:val="none"/>
                <w:lang w:val="en-US" w:eastAsia="zh-CN"/>
              </w:rPr>
              <w:t>5</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8" w:hRule="atLeast"/>
        </w:trPr>
        <w:tc>
          <w:tcPr>
            <w:tcW w:w="1606" w:type="pct"/>
            <w:gridSpan w:val="4"/>
            <w:tcBorders>
              <w:top w:val="single" w:color="000000" w:sz="4" w:space="0"/>
              <w:left w:val="single" w:color="000000" w:sz="4" w:space="0"/>
              <w:bottom w:val="single" w:color="000000" w:sz="4" w:space="0"/>
              <w:right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18"/>
                <w:szCs w:val="18"/>
                <w:u w:val="none"/>
              </w:rPr>
            </w:pPr>
            <w:r>
              <w:rPr>
                <w:rFonts w:hint="eastAsia" w:ascii="仿宋_GB2312" w:hAnsi="仿宋_GB2312" w:eastAsia="仿宋_GB2312" w:cs="仿宋_GB2312"/>
                <w:i w:val="0"/>
                <w:iCs w:val="0"/>
                <w:color w:val="000000"/>
                <w:kern w:val="0"/>
                <w:sz w:val="18"/>
                <w:szCs w:val="18"/>
                <w:u w:val="none"/>
                <w:lang w:val="en-US" w:eastAsia="zh-CN" w:bidi="ar"/>
              </w:rPr>
              <w:t>总分</w:t>
            </w:r>
          </w:p>
        </w:tc>
        <w:tc>
          <w:tcPr>
            <w:tcW w:w="402"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410" w:type="pct"/>
            <w:tcBorders>
              <w:top w:val="single" w:color="000000" w:sz="4" w:space="0"/>
              <w:left w:val="nil"/>
              <w:bottom w:val="single" w:color="000000" w:sz="4" w:space="0"/>
              <w:right w:val="single" w:color="000000" w:sz="4" w:space="0"/>
            </w:tcBorders>
            <w:shd w:val="clear" w:color="auto" w:fill="auto"/>
            <w:vAlign w:val="center"/>
          </w:tcPr>
          <w:p>
            <w:pPr>
              <w:rPr>
                <w:rFonts w:hint="eastAsia" w:ascii="仿宋_GB2312" w:hAnsi="仿宋_GB2312" w:eastAsia="仿宋_GB2312" w:cs="仿宋_GB2312"/>
                <w:b/>
                <w:bCs/>
                <w:i w:val="0"/>
                <w:iCs w:val="0"/>
                <w:color w:val="000000"/>
                <w:sz w:val="18"/>
                <w:szCs w:val="18"/>
                <w:u w:val="none"/>
              </w:rPr>
            </w:pPr>
          </w:p>
        </w:tc>
        <w:tc>
          <w:tcPr>
            <w:tcW w:w="32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95"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311"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i w:val="0"/>
                <w:iCs w:val="0"/>
                <w:color w:val="000000"/>
                <w:sz w:val="18"/>
                <w:szCs w:val="18"/>
                <w:u w:val="none"/>
              </w:rPr>
            </w:pPr>
          </w:p>
        </w:tc>
        <w:tc>
          <w:tcPr>
            <w:tcW w:w="27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36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92"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c>
          <w:tcPr>
            <w:tcW w:w="263" w:type="pct"/>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default" w:ascii="仿宋_GB2312" w:hAnsi="仿宋_GB2312" w:eastAsia="仿宋_GB2312" w:cs="仿宋_GB2312"/>
                <w:i w:val="0"/>
                <w:iCs w:val="0"/>
                <w:color w:val="000000"/>
                <w:sz w:val="18"/>
                <w:szCs w:val="18"/>
                <w:u w:val="none"/>
                <w:lang w:val="en-US" w:eastAsia="zh-CN"/>
              </w:rPr>
            </w:pPr>
            <w:r>
              <w:rPr>
                <w:rFonts w:hint="eastAsia" w:ascii="仿宋_GB2312" w:hAnsi="仿宋_GB2312" w:eastAsia="仿宋_GB2312" w:cs="仿宋_GB2312"/>
                <w:i w:val="0"/>
                <w:iCs w:val="0"/>
                <w:color w:val="000000"/>
                <w:sz w:val="18"/>
                <w:szCs w:val="18"/>
                <w:u w:val="none"/>
                <w:lang w:val="en-US" w:eastAsia="zh-CN"/>
              </w:rPr>
              <w:t>90</w:t>
            </w:r>
          </w:p>
        </w:tc>
        <w:tc>
          <w:tcPr>
            <w:tcW w:w="454" w:type="pct"/>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eastAsia" w:ascii="仿宋_GB2312" w:hAnsi="仿宋_GB2312" w:eastAsia="仿宋_GB2312" w:cs="仿宋_GB2312"/>
                <w:i w:val="0"/>
                <w:iCs w:val="0"/>
                <w:color w:val="000000"/>
                <w:sz w:val="18"/>
                <w:szCs w:val="18"/>
                <w:u w:val="none"/>
              </w:rPr>
            </w:pPr>
          </w:p>
        </w:tc>
      </w:tr>
    </w:tbl>
    <w:p>
      <w:pPr>
        <w:rPr>
          <w:rFonts w:hint="default" w:ascii="Times New Roman" w:hAnsi="Times New Roman" w:cs="Times New Roman"/>
        </w:rPr>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3000509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10"/>
          <w:jc w:val="center"/>
        </w:pPr>
        <w:r>
          <w:fldChar w:fldCharType="begin"/>
        </w:r>
        <w:r>
          <w:instrText xml:space="preserve">PAGE   \* MERGEFORMAT</w:instrText>
        </w:r>
        <w:r>
          <w:fldChar w:fldCharType="separate"/>
        </w:r>
        <w:r>
          <w:rPr>
            <w:lang w:val="zh-CN"/>
          </w:rPr>
          <w:t>13</w:t>
        </w:r>
        <w:r>
          <w:fldChar w:fldCharType="end"/>
        </w:r>
      </w:p>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4CD2B0F"/>
    <w:multiLevelType w:val="singleLevel"/>
    <w:tmpl w:val="F4CD2B0F"/>
    <w:lvl w:ilvl="0" w:tentative="0">
      <w:start w:val="1"/>
      <w:numFmt w:val="decimal"/>
      <w:suff w:val="nothing"/>
      <w:lvlText w:val="（%1）"/>
      <w:lvlJc w:val="left"/>
    </w:lvl>
  </w:abstractNum>
  <w:abstractNum w:abstractNumId="1">
    <w:nsid w:val="FF9379A8"/>
    <w:multiLevelType w:val="singleLevel"/>
    <w:tmpl w:val="FF9379A8"/>
    <w:lvl w:ilvl="0" w:tentative="0">
      <w:start w:val="2"/>
      <w:numFmt w:val="chineseCounting"/>
      <w:suff w:val="nothing"/>
      <w:lvlText w:val="（%1）"/>
      <w:lvlJc w:val="left"/>
      <w:rPr>
        <w:rFonts w:hint="eastAsia"/>
      </w:rPr>
    </w:lvl>
  </w:abstractNum>
  <w:abstractNum w:abstractNumId="2">
    <w:nsid w:val="116B29BF"/>
    <w:multiLevelType w:val="singleLevel"/>
    <w:tmpl w:val="116B29BF"/>
    <w:lvl w:ilvl="0" w:tentative="0">
      <w:start w:val="3"/>
      <w:numFmt w:val="chineseCounting"/>
      <w:suff w:val="nothing"/>
      <w:lvlText w:val="%1、"/>
      <w:lvlJc w:val="left"/>
      <w:rPr>
        <w:rFonts w:hint="eastAsia"/>
      </w:rPr>
    </w:lvl>
  </w:abstractNum>
  <w:abstractNum w:abstractNumId="3">
    <w:nsid w:val="27813159"/>
    <w:multiLevelType w:val="singleLevel"/>
    <w:tmpl w:val="27813159"/>
    <w:lvl w:ilvl="0" w:tentative="0">
      <w:start w:val="3"/>
      <w:numFmt w:val="chineseCounting"/>
      <w:suff w:val="nothing"/>
      <w:lvlText w:val="（%1）"/>
      <w:lvlJc w:val="left"/>
      <w:rPr>
        <w:rFonts w:hint="eastAsia"/>
      </w:rPr>
    </w:lvl>
  </w:abstractNum>
  <w:abstractNum w:abstractNumId="4">
    <w:nsid w:val="630838B2"/>
    <w:multiLevelType w:val="singleLevel"/>
    <w:tmpl w:val="630838B2"/>
    <w:lvl w:ilvl="0" w:tentative="0">
      <w:start w:val="1"/>
      <w:numFmt w:val="decimal"/>
      <w:pStyle w:val="5"/>
      <w:lvlText w:val="%1."/>
      <w:lvlJc w:val="left"/>
      <w:pPr>
        <w:tabs>
          <w:tab w:val="left" w:pos="2040"/>
        </w:tabs>
        <w:ind w:left="2040" w:hanging="360"/>
      </w:pPr>
    </w:lvl>
  </w:abstractNum>
  <w:abstractNum w:abstractNumId="5">
    <w:nsid w:val="6FAA0AB1"/>
    <w:multiLevelType w:val="singleLevel"/>
    <w:tmpl w:val="6FAA0AB1"/>
    <w:lvl w:ilvl="0" w:tentative="0">
      <w:start w:val="2"/>
      <w:numFmt w:val="chineseCounting"/>
      <w:suff w:val="nothing"/>
      <w:lvlText w:val="（%1）"/>
      <w:lvlJc w:val="left"/>
      <w:rPr>
        <w:rFonts w:hint="eastAsia"/>
      </w:rPr>
    </w:lvl>
  </w:abstractNum>
  <w:num w:numId="1">
    <w:abstractNumId w:val="4"/>
  </w:num>
  <w:num w:numId="2">
    <w:abstractNumId w:val="0"/>
  </w:num>
  <w:num w:numId="3">
    <w:abstractNumId w:val="3"/>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37D56E7"/>
    <w:rsid w:val="03EC461B"/>
    <w:rsid w:val="04D13182"/>
    <w:rsid w:val="072770BA"/>
    <w:rsid w:val="07397B77"/>
    <w:rsid w:val="0AD007F3"/>
    <w:rsid w:val="0E3C619F"/>
    <w:rsid w:val="100F38EC"/>
    <w:rsid w:val="11170296"/>
    <w:rsid w:val="12C66037"/>
    <w:rsid w:val="12CD1ABC"/>
    <w:rsid w:val="13471461"/>
    <w:rsid w:val="13B90F01"/>
    <w:rsid w:val="155E4C4D"/>
    <w:rsid w:val="181066D2"/>
    <w:rsid w:val="1C671E73"/>
    <w:rsid w:val="1CFD0B75"/>
    <w:rsid w:val="1D210A3A"/>
    <w:rsid w:val="1D322C47"/>
    <w:rsid w:val="1EF2003C"/>
    <w:rsid w:val="23616034"/>
    <w:rsid w:val="23696C97"/>
    <w:rsid w:val="24480FA2"/>
    <w:rsid w:val="25227A45"/>
    <w:rsid w:val="26AC3A6A"/>
    <w:rsid w:val="2B9D7E25"/>
    <w:rsid w:val="2C436BAC"/>
    <w:rsid w:val="2C7C7A3B"/>
    <w:rsid w:val="2F364819"/>
    <w:rsid w:val="2FD63906"/>
    <w:rsid w:val="37215DAE"/>
    <w:rsid w:val="38CA40DD"/>
    <w:rsid w:val="395F2B56"/>
    <w:rsid w:val="3BBA0580"/>
    <w:rsid w:val="3BECE841"/>
    <w:rsid w:val="3CDE204C"/>
    <w:rsid w:val="3D363C36"/>
    <w:rsid w:val="3E9C3F6D"/>
    <w:rsid w:val="3FF7797D"/>
    <w:rsid w:val="46690BD8"/>
    <w:rsid w:val="49F70BF1"/>
    <w:rsid w:val="4B4340EE"/>
    <w:rsid w:val="4DF27344"/>
    <w:rsid w:val="4DFC4A28"/>
    <w:rsid w:val="503D507A"/>
    <w:rsid w:val="51FA74D0"/>
    <w:rsid w:val="52AA4A52"/>
    <w:rsid w:val="52FC76C7"/>
    <w:rsid w:val="54713815"/>
    <w:rsid w:val="59943D66"/>
    <w:rsid w:val="59A15A20"/>
    <w:rsid w:val="59E051FD"/>
    <w:rsid w:val="59E6355E"/>
    <w:rsid w:val="5B821531"/>
    <w:rsid w:val="5BFF6039"/>
    <w:rsid w:val="5D76A616"/>
    <w:rsid w:val="5D7F20B9"/>
    <w:rsid w:val="5DAC7D0E"/>
    <w:rsid w:val="5F98B5AF"/>
    <w:rsid w:val="5FE11D50"/>
    <w:rsid w:val="5FFE8511"/>
    <w:rsid w:val="5FFEACE2"/>
    <w:rsid w:val="609D5BF6"/>
    <w:rsid w:val="61073070"/>
    <w:rsid w:val="61B9080E"/>
    <w:rsid w:val="61DF3FED"/>
    <w:rsid w:val="642B176B"/>
    <w:rsid w:val="643EE26D"/>
    <w:rsid w:val="656019A0"/>
    <w:rsid w:val="65F242EE"/>
    <w:rsid w:val="666D7E19"/>
    <w:rsid w:val="68376930"/>
    <w:rsid w:val="68F91E38"/>
    <w:rsid w:val="6B3158B9"/>
    <w:rsid w:val="6BA02A3F"/>
    <w:rsid w:val="6C1E5A53"/>
    <w:rsid w:val="6F5C41AC"/>
    <w:rsid w:val="6FAF6C78"/>
    <w:rsid w:val="716167CC"/>
    <w:rsid w:val="718A7AD1"/>
    <w:rsid w:val="72A44BC2"/>
    <w:rsid w:val="7317C656"/>
    <w:rsid w:val="734ED73F"/>
    <w:rsid w:val="73C82B32"/>
    <w:rsid w:val="73F94DAE"/>
    <w:rsid w:val="74220495"/>
    <w:rsid w:val="747D1B6F"/>
    <w:rsid w:val="748A4C0F"/>
    <w:rsid w:val="749E5641"/>
    <w:rsid w:val="76271066"/>
    <w:rsid w:val="77FD8BE9"/>
    <w:rsid w:val="78000AED"/>
    <w:rsid w:val="79A9BD3F"/>
    <w:rsid w:val="7B776F12"/>
    <w:rsid w:val="7BFFFDD0"/>
    <w:rsid w:val="7C336E5F"/>
    <w:rsid w:val="7C8D4919"/>
    <w:rsid w:val="7D7A5F86"/>
    <w:rsid w:val="7E4B683A"/>
    <w:rsid w:val="7E5E656D"/>
    <w:rsid w:val="7E784748"/>
    <w:rsid w:val="7E8F2BCB"/>
    <w:rsid w:val="7F37BB4E"/>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6">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next w:val="4"/>
    <w:qFormat/>
    <w:uiPriority w:val="0"/>
    <w:pPr>
      <w:ind w:firstLine="420" w:firstLineChars="200"/>
    </w:pPr>
  </w:style>
  <w:style w:type="paragraph" w:styleId="3">
    <w:name w:val="Body Text Indent"/>
    <w:basedOn w:val="1"/>
    <w:next w:val="2"/>
    <w:qFormat/>
    <w:uiPriority w:val="0"/>
    <w:pPr>
      <w:spacing w:after="120"/>
      <w:ind w:left="420" w:leftChars="200"/>
    </w:pPr>
    <w:rPr>
      <w:rFonts w:ascii="Calibri" w:hAnsi="Calibri"/>
    </w:rPr>
  </w:style>
  <w:style w:type="paragraph" w:styleId="4">
    <w:name w:val="Plain Text"/>
    <w:basedOn w:val="1"/>
    <w:next w:val="5"/>
    <w:qFormat/>
    <w:uiPriority w:val="0"/>
    <w:rPr>
      <w:rFonts w:ascii="宋体" w:hAnsi="Courier New"/>
    </w:rPr>
  </w:style>
  <w:style w:type="paragraph" w:styleId="5">
    <w:name w:val="List Number 5"/>
    <w:basedOn w:val="1"/>
    <w:qFormat/>
    <w:uiPriority w:val="0"/>
    <w:pPr>
      <w:numPr>
        <w:ilvl w:val="0"/>
        <w:numId w:val="1"/>
      </w:numPr>
    </w:pPr>
  </w:style>
  <w:style w:type="paragraph" w:styleId="7">
    <w:name w:val="annotation text"/>
    <w:basedOn w:val="1"/>
    <w:link w:val="24"/>
    <w:qFormat/>
    <w:uiPriority w:val="0"/>
    <w:pPr>
      <w:jc w:val="left"/>
    </w:pPr>
  </w:style>
  <w:style w:type="paragraph" w:styleId="8">
    <w:name w:val="Body Text"/>
    <w:basedOn w:val="1"/>
    <w:qFormat/>
    <w:uiPriority w:val="0"/>
    <w:pPr>
      <w:spacing w:after="120"/>
    </w:pPr>
  </w:style>
  <w:style w:type="paragraph" w:styleId="9">
    <w:name w:val="Balloon Text"/>
    <w:basedOn w:val="1"/>
    <w:link w:val="22"/>
    <w:qFormat/>
    <w:uiPriority w:val="0"/>
    <w:rPr>
      <w:sz w:val="18"/>
      <w:szCs w:val="18"/>
    </w:rPr>
  </w:style>
  <w:style w:type="paragraph" w:styleId="10">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1">
    <w:name w:val="header"/>
    <w:basedOn w:val="1"/>
    <w:link w:val="23"/>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4">
    <w:name w:val="annotation subject"/>
    <w:basedOn w:val="7"/>
    <w:next w:val="7"/>
    <w:link w:val="25"/>
    <w:qFormat/>
    <w:uiPriority w:val="0"/>
    <w:rPr>
      <w:b/>
      <w:bCs/>
    </w:rPr>
  </w:style>
  <w:style w:type="paragraph" w:styleId="15">
    <w:name w:val="Body Text First Indent"/>
    <w:basedOn w:val="8"/>
    <w:qFormat/>
    <w:uiPriority w:val="0"/>
    <w:pPr>
      <w:spacing w:after="0"/>
      <w:ind w:firstLine="200" w:firstLineChars="200"/>
    </w:pPr>
  </w:style>
  <w:style w:type="character" w:styleId="18">
    <w:name w:val="Strong"/>
    <w:basedOn w:val="17"/>
    <w:qFormat/>
    <w:uiPriority w:val="0"/>
    <w:rPr>
      <w:b/>
      <w:bCs/>
    </w:rPr>
  </w:style>
  <w:style w:type="character" w:styleId="19">
    <w:name w:val="annotation reference"/>
    <w:basedOn w:val="17"/>
    <w:qFormat/>
    <w:uiPriority w:val="0"/>
    <w:rPr>
      <w:sz w:val="21"/>
      <w:szCs w:val="21"/>
    </w:rPr>
  </w:style>
  <w:style w:type="character" w:customStyle="1" w:styleId="20">
    <w:name w:val="fontstyle01"/>
    <w:qFormat/>
    <w:uiPriority w:val="0"/>
    <w:rPr>
      <w:rFonts w:ascii="仿宋_GB2312" w:hAnsi="仿宋_GB2312" w:eastAsia="仿宋_GB2312" w:cs="仿宋_GB2312"/>
      <w:color w:val="000000"/>
      <w:sz w:val="32"/>
      <w:szCs w:val="32"/>
    </w:rPr>
  </w:style>
  <w:style w:type="paragraph" w:customStyle="1" w:styleId="21">
    <w:name w:val="闻政-正文段落文字"/>
    <w:basedOn w:val="1"/>
    <w:qFormat/>
    <w:uiPriority w:val="3"/>
    <w:pPr>
      <w:spacing w:line="500" w:lineRule="exact"/>
      <w:ind w:firstLine="200"/>
    </w:pPr>
    <w:rPr>
      <w:kern w:val="0"/>
      <w:szCs w:val="28"/>
    </w:rPr>
  </w:style>
  <w:style w:type="character" w:customStyle="1" w:styleId="22">
    <w:name w:val="批注框文本 字符"/>
    <w:basedOn w:val="17"/>
    <w:link w:val="9"/>
    <w:qFormat/>
    <w:uiPriority w:val="0"/>
    <w:rPr>
      <w:rFonts w:ascii="Times New Roman" w:hAnsi="Times New Roman" w:eastAsia="宋体" w:cs="Times New Roman"/>
      <w:kern w:val="2"/>
      <w:sz w:val="18"/>
      <w:szCs w:val="18"/>
    </w:rPr>
  </w:style>
  <w:style w:type="character" w:customStyle="1" w:styleId="23">
    <w:name w:val="页眉 字符"/>
    <w:basedOn w:val="17"/>
    <w:link w:val="11"/>
    <w:qFormat/>
    <w:uiPriority w:val="0"/>
    <w:rPr>
      <w:rFonts w:ascii="Times New Roman" w:hAnsi="Times New Roman" w:eastAsia="宋体" w:cs="Times New Roman"/>
      <w:kern w:val="2"/>
      <w:sz w:val="18"/>
      <w:szCs w:val="18"/>
    </w:rPr>
  </w:style>
  <w:style w:type="character" w:customStyle="1" w:styleId="24">
    <w:name w:val="批注文字 字符"/>
    <w:basedOn w:val="17"/>
    <w:link w:val="7"/>
    <w:qFormat/>
    <w:uiPriority w:val="0"/>
    <w:rPr>
      <w:rFonts w:ascii="Times New Roman" w:hAnsi="Times New Roman" w:eastAsia="宋体" w:cs="Times New Roman"/>
      <w:kern w:val="2"/>
      <w:sz w:val="21"/>
      <w:szCs w:val="24"/>
    </w:rPr>
  </w:style>
  <w:style w:type="character" w:customStyle="1" w:styleId="25">
    <w:name w:val="批注主题 字符"/>
    <w:basedOn w:val="24"/>
    <w:link w:val="14"/>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28</Pages>
  <Words>9970</Words>
  <Characters>10277</Characters>
  <Lines>58</Lines>
  <Paragraphs>16</Paragraphs>
  <TotalTime>33</TotalTime>
  <ScaleCrop>false</ScaleCrop>
  <LinksUpToDate>false</LinksUpToDate>
  <CharactersWithSpaces>10287</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2025-07-21T08:37:04Z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eyJoZGlkIjoiZmU2NmQ5ZmE0YzkzOTZjNzIzY2EyOGMyMzA1NjEzZmEiLCJ1c2VySWQiOiIyMDcyMDQ1NzAifQ==</vt:lpwstr>
  </property>
</Properties>
</file>