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根据党的基本理论、基本路线、基本纲领和工运方针，以及县委的工作部署和要求，围绕党和国家的工作大局，按照自治州党委和自治州总工会的要求，贯彻执行自治州工会确定的目标、任务和作出的决议。</w:t>
      </w:r>
    </w:p>
    <w:p>
      <w:pPr>
        <w:spacing w:line="580" w:lineRule="exact"/>
        <w:ind w:firstLine="640"/>
        <w:jc w:val="both"/>
      </w:pPr>
      <w:r>
        <w:rPr>
          <w:rFonts w:ascii="仿宋_GB2312" w:hAnsi="仿宋_GB2312" w:eastAsia="仿宋_GB2312"/>
          <w:sz w:val="32"/>
        </w:rPr>
        <w:t>（二）依照有关法律和《中国工会章程》，组织和指导全县各级工会的工作，进一步突出和履行维护职能，维护职工的合法权益，协助政府做好劳模的推荐评选和管理工作，负责“五一”劳动奖章、奖状获得者、劳模和先进工作者的推荐评选和管理工作。</w:t>
      </w:r>
    </w:p>
    <w:p>
      <w:pPr>
        <w:spacing w:line="580" w:lineRule="exact"/>
        <w:ind w:firstLine="640"/>
        <w:jc w:val="both"/>
      </w:pPr>
      <w:r>
        <w:rPr>
          <w:rFonts w:ascii="仿宋_GB2312" w:hAnsi="仿宋_GB2312" w:eastAsia="仿宋_GB2312"/>
          <w:sz w:val="32"/>
        </w:rPr>
        <w:t>（三）进一步加强对涉及职工合法权益的重大问题的调查研究，向县委、县人民政府反映职工群众的思想、愿望和要求，提出意见和建议；参与涉及职工切身利益的政策、法规、制度的拟定工作；对侵犯职工合法权益的重大事件进行调查并提出处理意见；参与职工重大伤亡事故的调查处理。</w:t>
      </w:r>
    </w:p>
    <w:p>
      <w:pPr>
        <w:spacing w:line="580" w:lineRule="exact"/>
        <w:ind w:firstLine="640"/>
        <w:jc w:val="both"/>
      </w:pPr>
      <w:r>
        <w:rPr>
          <w:rFonts w:ascii="仿宋_GB2312" w:hAnsi="仿宋_GB2312" w:eastAsia="仿宋_GB2312"/>
          <w:sz w:val="32"/>
        </w:rPr>
        <w:t>（四）监督检查《中华人民共和国工会法》、《中国工会章程》、《中华人民共和国劳动合同法》《自治区非公有制工会条例》的贯彻执行情况，指导基层工会组织开展以职工代表大会为基本制度的民主决策、民主选举、民主管理和民主监督工作。</w:t>
      </w:r>
    </w:p>
    <w:p>
      <w:pPr>
        <w:spacing w:line="580" w:lineRule="exact"/>
        <w:ind w:firstLine="640"/>
        <w:jc w:val="both"/>
      </w:pPr>
      <w:r>
        <w:rPr>
          <w:rFonts w:ascii="仿宋_GB2312" w:hAnsi="仿宋_GB2312" w:eastAsia="仿宋_GB2312"/>
          <w:sz w:val="32"/>
        </w:rPr>
        <w:t>（五）负责全县工会经费的收缴上解和工会资产管理、审查、审计工作。</w:t>
      </w:r>
    </w:p>
    <w:p>
      <w:pPr>
        <w:spacing w:line="580" w:lineRule="exact"/>
        <w:ind w:firstLine="640"/>
        <w:jc w:val="both"/>
      </w:pPr>
      <w:r>
        <w:rPr>
          <w:rFonts w:ascii="仿宋_GB2312" w:hAnsi="仿宋_GB2312" w:eastAsia="仿宋_GB2312"/>
          <w:sz w:val="32"/>
        </w:rPr>
        <w:t>（六）承担县委、县人民政府和自治州总工会交办的其他事项。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特克斯县总工会2024年度，实有人数14人，其中：在职人员7人，减少1人；离休人员0人，增加0人；退休人员7人,增加0人。</w:t>
      </w:r>
    </w:p>
    <w:p>
      <w:pPr>
        <w:spacing w:line="580" w:lineRule="exact"/>
        <w:ind w:firstLine="640"/>
        <w:jc w:val="both"/>
      </w:pPr>
      <w:r>
        <w:rPr>
          <w:rFonts w:ascii="仿宋_GB2312" w:hAnsi="仿宋_GB2312" w:eastAsia="仿宋_GB2312"/>
          <w:sz w:val="32"/>
        </w:rPr>
        <w:t>单位无下属预算单位，下设6个科室，分别是：办公室、组宣室、维权室、财务室、帮扶中心、工会职工文化活动中心。。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2024年度收入总计138.96万元，</w:t>
      </w:r>
      <w:r>
        <w:rPr>
          <w:rFonts w:ascii="仿宋_GB2312" w:hAnsi="仿宋_GB2312" w:eastAsia="仿宋_GB2312"/>
          <w:b w:val="0"/>
          <w:sz w:val="32"/>
        </w:rPr>
        <w:t>其中：本年收入合计138.96万元，使用非财政拨款结余（含专用结余）0.00万元，年初结转和结余0.00万元。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2024年度支出总计138.96万元，</w:t>
      </w:r>
      <w:r>
        <w:rPr>
          <w:rFonts w:ascii="仿宋_GB2312" w:hAnsi="仿宋_GB2312" w:eastAsia="仿宋_GB2312"/>
          <w:b w:val="0"/>
          <w:sz w:val="32"/>
        </w:rPr>
        <w:t>其中：本年支出合计138.96万元，结余分配0.00万元，年末结转和结余0.00万元。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增加12.61万元，增长9.98%，主要原因是：在职人员工资调增、社保、公积金基数调增，人员经费增加。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本年收入138.96万元，</w:t>
      </w:r>
      <w:r>
        <w:rPr>
          <w:rFonts w:ascii="仿宋_GB2312" w:hAnsi="仿宋_GB2312" w:eastAsia="仿宋_GB2312"/>
          <w:b w:val="0"/>
          <w:sz w:val="32"/>
        </w:rPr>
        <w:t>其中：财政拨款收入138.96万元，占100.00%；上级补助收入0.00万元，占0.00%；事业收入0.00万元，占0.00%；经营收入0.00万元，占0.00%；附属单位上缴收入0.00万元，占0.00%；其他收入0.00万元，占0.00%。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本年支出138.96万元，</w:t>
      </w:r>
      <w:r>
        <w:rPr>
          <w:rFonts w:ascii="仿宋_GB2312" w:hAnsi="仿宋_GB2312" w:eastAsia="仿宋_GB2312"/>
          <w:b w:val="0"/>
          <w:sz w:val="32"/>
        </w:rPr>
        <w:t>其中：基本支出138.96万元，占100.00%；项目支出0.00万元，占0.00%；上缴上级支出0.00万元，占0.00%；经营支出0.00万元，占0.00%；对附属单位补助支出0.00万元，占0.00%。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2024年度财政拨款收入总计138.96万元，</w:t>
      </w:r>
      <w:r>
        <w:rPr>
          <w:rFonts w:ascii="仿宋_GB2312" w:hAnsi="仿宋_GB2312" w:eastAsia="仿宋_GB2312"/>
          <w:b w:val="0"/>
          <w:sz w:val="32"/>
        </w:rPr>
        <w:t>其中：年初财政拨款结转和结余0.00万元，本年财政拨款收入138.96万元。</w:t>
      </w:r>
      <w:r>
        <w:rPr>
          <w:rFonts w:ascii="仿宋_GB2312" w:hAnsi="仿宋_GB2312" w:eastAsia="仿宋_GB2312"/>
          <w:b/>
          <w:sz w:val="32"/>
        </w:rPr>
        <w:t>财政拨款支出总计138.96万元，</w:t>
      </w:r>
      <w:r>
        <w:rPr>
          <w:rFonts w:ascii="仿宋_GB2312" w:hAnsi="仿宋_GB2312" w:eastAsia="仿宋_GB2312"/>
          <w:b w:val="0"/>
          <w:sz w:val="32"/>
        </w:rPr>
        <w:t>其中：年末财政拨款结转和结余0.00万元，本年财政拨款支出138.96万元。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增加12.61万元，增长9.98%，主要原因是：本年在职人员工资调增、社保、公积金基数调增，人员经费增加。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年初预算数136.95万元，决算数138.96万元，预决算差异率1.47%，主要原因是：年中追加人员工资、社保、公积金基数调增部分资金，导致预决算存在差异。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2024年度一般公共预算财政拨款支出138.96万元，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增加12.61万元，增长9.98%，主要原因是：本年在职人员工资调增、社保、公积金基数调增，人员经费增加。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年初预算数136.95万元，决算数138.96万元，预决算差异率1.47%，主要原因是：年中追加人员工资、社保、公积金基数调增部分资金，导致预决算存在差异。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1.一般公共服务支出(类)109.85万元,占79.05%。</w:t>
      </w:r>
    </w:p>
    <w:p>
      <w:pPr>
        <w:spacing w:line="580" w:lineRule="exact"/>
        <w:ind w:firstLine="640"/>
        <w:jc w:val="both"/>
      </w:pPr>
      <w:r>
        <w:rPr>
          <w:rFonts w:ascii="仿宋_GB2312" w:hAnsi="仿宋_GB2312" w:eastAsia="仿宋_GB2312"/>
          <w:b w:val="0"/>
          <w:sz w:val="32"/>
        </w:rPr>
        <w:t>2.社会保障和就业支出(类)13.44万元,占9.67%。</w:t>
      </w:r>
    </w:p>
    <w:p>
      <w:pPr>
        <w:spacing w:line="580" w:lineRule="exact"/>
        <w:ind w:firstLine="640"/>
        <w:jc w:val="both"/>
      </w:pPr>
      <w:r>
        <w:rPr>
          <w:rFonts w:ascii="仿宋_GB2312" w:hAnsi="仿宋_GB2312" w:eastAsia="仿宋_GB2312"/>
          <w:b w:val="0"/>
          <w:sz w:val="32"/>
        </w:rPr>
        <w:t>3.卫生健康支出(类)5.52万元,占3.97%。</w:t>
      </w:r>
    </w:p>
    <w:p>
      <w:pPr>
        <w:spacing w:line="580" w:lineRule="exact"/>
        <w:ind w:firstLine="640"/>
        <w:jc w:val="both"/>
      </w:pPr>
      <w:r>
        <w:rPr>
          <w:rFonts w:ascii="仿宋_GB2312" w:hAnsi="仿宋_GB2312" w:eastAsia="仿宋_GB2312"/>
          <w:b w:val="0"/>
          <w:sz w:val="32"/>
        </w:rPr>
        <w:t>4.住房保障支出(类)10.15万元,占7.30%。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1.一般公共服务支出(类)群众团体事务(款)行政运行(项):支出决算数为109.85万元，比上年决算增加10.87万元，增长10.98%,主要原因是：本年在职人员工资调增，人员经费增加。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13.44万元，比上年决算增加1.57万元，增长13.23%,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3.卫生健康支出(类)行政事业单位医疗(款)行政单位医疗(项):支出决算数为5.36万元，比上年决算减少0.24万元，下降4.29%,主要原因是：2024年辞职1人，医疗保险缴费较上年减少。</w:t>
      </w:r>
    </w:p>
    <w:p>
      <w:pPr>
        <w:spacing w:line="580" w:lineRule="exact"/>
        <w:ind w:firstLine="640"/>
        <w:jc w:val="both"/>
      </w:pPr>
      <w:r>
        <w:rPr>
          <w:rFonts w:ascii="仿宋_GB2312" w:hAnsi="仿宋_GB2312" w:eastAsia="仿宋_GB2312"/>
          <w:b w:val="0"/>
          <w:sz w:val="32"/>
        </w:rPr>
        <w:t>4.卫生健康支出(类)行政事业单位医疗(款)公务员医疗补助(项):支出决算数为0.07万元，比上年决算增加0.00万元，增长0.00%,主要原因是：公务员医疗补助较上年无变化。</w:t>
      </w:r>
    </w:p>
    <w:p>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5.卫生健康支出(类)行政事业单位医疗(款)其他行政事业单位医疗支出(项):支出决算数为0.09万元，比上年决算减少0.08万元，下降47.06%,主要原因是：本年在职人员减少，其他行政事业单位医疗支出较上年减少。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6.住房保障支出(类)住房改革支出(款)住房公积金(项):支出决算数为10.15万元，比上年决算增加0.49万元，增长5.07%,主要原因是：本年在职人员工资基数调增，公积金缴费基数上涨，相应支出增加。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2024年度一般公共预算财政拨款基本支出138.96万元，其中：</w:t>
      </w:r>
      <w:r>
        <w:rPr>
          <w:rFonts w:ascii="仿宋_GB2312" w:hAnsi="仿宋_GB2312" w:eastAsia="仿宋_GB2312"/>
          <w:b/>
          <w:sz w:val="32"/>
        </w:rPr>
        <w:t>人员经费134.70万元，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公用经费4.25万元，</w:t>
      </w:r>
      <w:r>
        <w:rPr>
          <w:rFonts w:ascii="仿宋_GB2312" w:hAnsi="仿宋_GB2312" w:eastAsia="仿宋_GB2312"/>
          <w:b w:val="0"/>
          <w:sz w:val="32"/>
        </w:rPr>
        <w:t>包括：办公费、水费、取暖费、工会经费、公务用车运行维护费。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2024年度财政拨款“三公”经费支出0.20万元，</w:t>
      </w:r>
      <w:r>
        <w:rPr>
          <w:rFonts w:ascii="仿宋_GB2312" w:hAnsi="仿宋_GB2312" w:eastAsia="仿宋_GB2312"/>
          <w:b w:val="0"/>
          <w:sz w:val="32"/>
        </w:rPr>
        <w:t>比上年增加0.00万元，增长0.00%，主要原因是：我单位“三公”经费与上年一致无变化。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公务用车购置及运行维护费支出0.20万元，占100.00%，比上年增加0.00万元，增长0.00%，主要原因是：我单位公务用车运行维护费与上年一致无变化。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0.20万元，其中：公务用车购置费0.00万元，公务用车运行维护费0.20万元。公务用车运行维护费开支内容包括车辆保险费支出。公务用车购置数0辆，公务用车保有量1辆。国有资产占用情况中固定资产车辆0辆，与公务用车保有量差异原因是：一般公务用车未在国有资产系统录入，属于工会资产。</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0.20万元，决算数0.20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0.20万元，决算数0.20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总工会（行政单位和参照公务员法管理事业单位）机关运行经费支出4.25万元，比上年增加2.43万元，增长133.52%，主要原因是：本年更新、维护补充办公用品，导致机关运行经费/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2024年度政府采购支出总额0.40万元，其中：政府采购货物支出0.00万元、政府采购工程支出0.00万元、政府采购服务支出0.40万元。</w:t>
      </w:r>
    </w:p>
    <w:p>
      <w:pPr>
        <w:spacing w:line="580" w:lineRule="exact"/>
        <w:ind w:firstLine="640"/>
        <w:jc w:val="both"/>
      </w:pPr>
      <w:r>
        <w:rPr>
          <w:rFonts w:ascii="仿宋_GB2312" w:hAnsi="仿宋_GB2312" w:eastAsia="仿宋_GB2312"/>
          <w:b w:val="0"/>
          <w:sz w:val="32"/>
        </w:rPr>
        <w:t>授予中小企业合同金额0.10万元，占政府采购支出总额的25.00%，其中：授予小微企业合同金额0.10万元，占政府采购支出总额的25.00%。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138.96万元，实际执行总额138.96万元；预算绩效评价项目0个，全年预算数0.00万元，全年执行数0.00万元。预算绩效管理取得的成效：本单位无预算绩效项目。发现的问题及原因：本单位无预算绩效项目。下一步改进措施：本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特克斯县总工会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138.96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总工会将坚持问题导向，创新思路举措，巩固主题教育成果，深化“县级工会加强年”专项行动，采取部门协同、上下联动，深入开展“工会助力‘人文特克斯’主题活动月”活动，推动“月月有重点”激活工会工作一盘棋，即：1月为送温暖月，2月为工会干部素质提升月，3月为巾帼服务月，4月为劳动和技能竞赛月，5月为劳模精神弘扬月，6月为线上会员服务月，7月为户外劳动者关爱月，8月为“县级工会加强年”巩固深化月，9月为职工文体活动月，10月为职工技术创新月，11月为服务阵地“惠”会员，12月为和谐劳动关系促进月，通过“主题活动月”等系列活动，进一步提升工会组织的影响力、吸引力、凝聚力，在全县各有工会营造积极作为、创新争先的良好氛围，推动工会在助推特克斯县高质量发展建设展现新作为、展示新面貌。</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（一）强化思想引领，凝聚思想共识</w:t>
              <w:br/>
              <w:br/>
              <w:t>一是深入开展以铸牢中华民族共同体意识主题宣讲活动60场次。二是打造“劳模工匠宣讲党的创新理论”品牌,开展劳模宣讲活动4场次。三是践行“四下基层”优良传统，组织干部常态化下沉基层工会一线，解决职工急难愁盼问题，走访基层工会146家。四是充分发挥自身宣传优势，踊跃向各级媒体平台投送宣传稿件，向各平台投稿总计92条。</w:t>
              <w:br/>
              <w:br/>
              <w:t>（二）建强基层组织，夯实工作基础</w:t>
              <w:br/>
              <w:br/>
              <w:t>一是持续做好“两新组织”、新就业形态劳动者、社会组织建会专项行动，新组建基层工会5家，新发展工会会员161人。二是管好用好社会化工作者和专职集体协商指导员两支队伍，解决基层工会力量薄弱问题。</w:t>
              <w:br/>
              <w:br/>
              <w:t>（三）强化阵地建设，打造服务职工新平台</w:t>
              <w:br/>
              <w:br/>
              <w:t>一是完善县职工服务中心各功能室基础设施，通过“健康职工”线上预约平台分批有序向辖区职工开放。二是县工人文化宫综合体育馆（扩建）项目完成审图工作，待招投标后适时开工建设。三是积极发挥阵地作用，在全县范围（含乡镇）的工会驿站、健康小屋、职工小家、职工书屋均免费向职工开放，共服务职工及群众13000余人次。四是对已建30家工会驿站统一工会驿站名称及标识。新打造3家工会驿站，完成3家工会驿站的提升改造，打造完成24小时驿站9家，提升驿站均配备书架、报刊、书籍、血压仪、充电设备、雨伞等设施。新打造智能化驿站1家，配备监控，安装刷脸门禁、远程医疗设备等智能化设备。五是打造1家州级劳模和工匠人才创新工作室。此工作室以喀拉达拉镇库木吐别克村原村党支部书记张桂彬为核心引领，紧密围绕乡村发展需求，扎实开展各类技术培训与实践指导活动。致力于培育一批有知识、懂技术、善经营的新型农民，为乡村振兴事业注入强劲动力。六是申报朱新春劳模和工匠人才创新工作室为2024年自治区劳模和工匠人才创新工作室扶持对象。</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开展好“四季送”温服活动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特克斯县总工会2024年度工作要点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tab/>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干部素质提升培训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特克斯县总工会2024年度工作要点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劳动和技能竞赛</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特克斯县总工会2024年度工作要点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工会户外劳动者服务站点建设</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特克斯县总工会2024年度工作要点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开展各类宣讲活动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特克斯县总工会2024年度工作要点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