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1.贯彻执行国家、自治区、自治州有关工商行政管理、质量技术监督、食品药品监督管理等方面的法律、法规和政策；拟订相关规范性文件和政策、措施，经批准后监督实施。</w:t>
      </w:r>
    </w:p>
    <w:p>
      <w:pPr>
        <w:spacing w:line="580" w:lineRule="exact"/>
        <w:ind w:firstLine="640"/>
        <w:jc w:val="both"/>
      </w:pPr>
      <w:r>
        <w:rPr>
          <w:rFonts w:ascii="仿宋_GB2312" w:hAnsi="仿宋_GB2312" w:eastAsia="仿宋_GB2312"/>
          <w:sz w:val="32"/>
        </w:rPr>
        <w:t>2.拟订并组织实施市场监督管理事业发展规划、技术机构建设规划、质量技术监督事业发展规划及食品药品安全规划；组织推进质量发展工作；组织实施商标战略和名牌战略；指导广告业发展；参与制定商品交易市场发展规划。</w:t>
      </w:r>
    </w:p>
    <w:p>
      <w:pPr>
        <w:spacing w:line="580" w:lineRule="exact"/>
        <w:ind w:firstLine="640"/>
        <w:jc w:val="both"/>
      </w:pPr>
      <w:r>
        <w:rPr>
          <w:rFonts w:ascii="仿宋_GB2312" w:hAnsi="仿宋_GB2312" w:eastAsia="仿宋_GB2312"/>
          <w:sz w:val="32"/>
        </w:rPr>
        <w:t>3.负责涉及工商行政管理、质量技术监督、食品药品监督管理的各类行政审批和行政许可并监督管理。</w:t>
      </w:r>
    </w:p>
    <w:p>
      <w:pPr>
        <w:spacing w:line="580" w:lineRule="exact"/>
        <w:ind w:firstLine="640"/>
        <w:jc w:val="both"/>
      </w:pPr>
      <w:r>
        <w:rPr>
          <w:rFonts w:ascii="仿宋_GB2312" w:hAnsi="仿宋_GB2312" w:eastAsia="仿宋_GB2312"/>
          <w:sz w:val="32"/>
        </w:rPr>
        <w:t>4.组织指导查处违反工商行政、质量技术、食品药品监督管理法律、法规、规章的行为。承担县食品安全委员会的日常工作；承担食品安全综合协调工作，健全协调联动机制；开展食品安全宣传、教育培训；负责实施食品安全信息统一发布制度，依法发布重大食品安全信息；督促检查县有关部门和乡镇（场）人民政府履行食品安全监督管理职责并负责考核评价；组织拟定本行政区域的食品安全事故应急预案；组织查处食品安全重大事故。依法承担食品、食品添加剂及食品相关产品生产、食品流通及餐饮服务的安全监督管理职责；承担保健食品、化妆品卫生监督管理责任；会同有关部门拟订食品安全风险监测方案，根据食品安全风险监测方案开展食品安全有关风险监测工作。</w:t>
      </w:r>
    </w:p>
    <w:p>
      <w:pPr>
        <w:spacing w:line="580" w:lineRule="exact"/>
        <w:ind w:firstLine="640"/>
        <w:jc w:val="both"/>
      </w:pPr>
      <w:r>
        <w:rPr>
          <w:rFonts w:ascii="仿宋_GB2312" w:hAnsi="仿宋_GB2312" w:eastAsia="仿宋_GB2312"/>
          <w:sz w:val="32"/>
        </w:rPr>
        <w:t>5.承担药品、医疗器械行政监督和技术监督的责任；监督药品、医疗器械生产、流通、使用及医疗机构制剂生产的质量管理规范实施；监督实施国家药品、医疗器械标准，组织监测药品不良反应、医疗器械不良事件和药物滥用；建立健全药品安全应急体系；监督实施处方药和非处方药分类管理制度；配合有关部门实施国家基本药物制度；组织实施中药质量管理规范及中药品种保护制度；监督实施中药材生产质量管理规范、中药饮片炮制规范。监督管理放射性药品、麻醉药品、毒性药品、精神药品；承担药品、医疗器械、保健食品质量监督、化妆品卫生监督的抽检工作；收集和上报药品、医疗器械质量安全信息；监测保健食品、药品和医疗器械广告；监督食品、药品、医疗器械、保健食品、化妆品从业人员职业资格准入制度实施。</w:t>
      </w:r>
    </w:p>
    <w:p>
      <w:pPr>
        <w:spacing w:line="580" w:lineRule="exact"/>
        <w:ind w:firstLine="640"/>
        <w:jc w:val="both"/>
      </w:pPr>
      <w:r>
        <w:rPr>
          <w:rFonts w:ascii="仿宋_GB2312" w:hAnsi="仿宋_GB2312" w:eastAsia="仿宋_GB2312"/>
          <w:sz w:val="32"/>
        </w:rPr>
        <w:t>6.负责全县各类工商企业和从事经营活动的单位、个人等市场主体的登记注册；组织开展企业信用体系建设，推进政府、企业和行业信用建设，实施信用分类管理和信息公示工作；负责全县各类市场主体的日常监督管理，引导各类市场主体规范经营、健康发展；承担依法查处取缔无照经营行为的职责。组织对全县市场主体经营活动的监督检查；负责对不正当竞争、侵犯知识产权、制售假冒伪劣商品、非法传销、违反登记法律法规案件的查处；负责市场交易行为和网络交易行为及有关服务行为的监督管理职责；依法监督管理直销企业和直销人员及其直销行为，依法查处违法直销案件。</w:t>
      </w:r>
    </w:p>
    <w:p>
      <w:pPr>
        <w:spacing w:line="580" w:lineRule="exact"/>
        <w:ind w:firstLine="640"/>
        <w:jc w:val="both"/>
      </w:pPr>
      <w:r>
        <w:rPr>
          <w:rFonts w:ascii="仿宋_GB2312" w:hAnsi="仿宋_GB2312" w:eastAsia="仿宋_GB2312"/>
          <w:sz w:val="32"/>
        </w:rPr>
        <w:t>7.监督管理各类消费品市场、生产资料市场；参与监督管理文化、期货、典当、拍卖市场以及金融、劳动力、房地产、技术、信息、建筑等各类生产要素市场；组织各类市场登记和统计工作；依法监督管理经纪人、经纪机构及经纪活动。</w:t>
      </w:r>
    </w:p>
    <w:p>
      <w:pPr>
        <w:spacing w:line="580" w:lineRule="exact"/>
        <w:ind w:firstLine="640"/>
        <w:jc w:val="both"/>
      </w:pPr>
      <w:r>
        <w:rPr>
          <w:rFonts w:ascii="仿宋_GB2312" w:hAnsi="仿宋_GB2312" w:eastAsia="仿宋_GB2312"/>
          <w:sz w:val="32"/>
        </w:rPr>
        <w:t>8.依法对商标使用进行监督管理；查处商标侵权行为，保护商标专用权；开展驰名商标、著名商标和知名商标审核、申报和保护工作；依法保护特殊标志和官方标志；负责地理标志产品日常监督管理工作；组织实施对广告经营活动的监督管理，依法查处广告违法违章行为。依法实施合同行政监督管理，规范合同行为，组织实施合同格式条款备案，查处利用合同进行违法违章活动；组织管理动产抵押登记，监督管理拍卖行为；组织开展企业信用监督管理工作。</w:t>
      </w:r>
    </w:p>
    <w:p>
      <w:pPr>
        <w:spacing w:line="580" w:lineRule="exact"/>
        <w:ind w:firstLine="640"/>
        <w:jc w:val="both"/>
      </w:pPr>
      <w:r>
        <w:rPr>
          <w:rFonts w:ascii="仿宋_GB2312" w:hAnsi="仿宋_GB2312" w:eastAsia="仿宋_GB2312"/>
          <w:sz w:val="32"/>
        </w:rPr>
        <w:t>9.依法承担消费者权益保护责任，建立消费者权益保护体系，组织指导消费维权工作；负责处理涉及工商行政管理、质量技术监督、食品药品监督管理的投诉和举报。综合管理和指导全县质量工作，并做好质量监督工作。参与重大产品质量事故的调查；对实行生产许可证制度产品进行质量监督；负责产品防伪的监督管理工作；推荐全县名牌产品、政府质量奖企业；拟定上报产品质量监督检查计划，组织对产品质量实施监督检查并按规定处理；组织实施质量奖励制度和缺陷产品（商品）召回制度。</w:t>
      </w:r>
    </w:p>
    <w:p>
      <w:pPr>
        <w:spacing w:line="580" w:lineRule="exact"/>
        <w:ind w:firstLine="640"/>
        <w:jc w:val="both"/>
      </w:pPr>
      <w:r>
        <w:rPr>
          <w:rFonts w:ascii="仿宋_GB2312" w:hAnsi="仿宋_GB2312" w:eastAsia="仿宋_GB2312"/>
          <w:sz w:val="32"/>
        </w:rPr>
        <w:t>10.统一管理标准化和计量工作；依法组织和监督标准的贯彻实施；推进采用国际标准、国外先进标准；管理企业标准备案；管理全县商品编码工作；推行法定计量单位，监督国家计量制度在全县的执行，依法管理计量器具工作；协助实施监督量值传递和计量器具强制检定工作；规范市场计量行为，组织计量仲裁检定；组织实施对商品计量的监督；指导企业计量工作。协调和指导行业和专业的质量技术监督工作；综合管理特种设备质量监督和安全监察工作；协助上级部门开展特种设备开工告知、使用登记和作业人员考核工作；组织依法查处违反质量、标准、计量、特种设备安全法律、法规的行为；监督检查高耗能特种设备节能标准的执行情况；根据授权，组织实施有关专项打假活动。</w:t>
      </w:r>
    </w:p>
    <w:p>
      <w:pPr>
        <w:spacing w:line="580" w:lineRule="exact"/>
        <w:ind w:firstLine="640"/>
        <w:jc w:val="both"/>
      </w:pPr>
      <w:r>
        <w:rPr>
          <w:rFonts w:ascii="仿宋_GB2312" w:hAnsi="仿宋_GB2312" w:eastAsia="仿宋_GB2312"/>
          <w:sz w:val="32"/>
        </w:rPr>
        <w:t>11.负责全县认证认可的监督管理。依法负责检验机构及其检验服务活动的监督管理工作；规范和监督认证市场行为。负责能效标识的监督管理，推进实施国家相关产业政策。负责全县市场监管、食品药品领域安全事故应急体系和隐患排查治理机制建设，组织重大突发事件应对处置和调查处理工作，组织查处相关违法行为，监督事故查处落实情况。承担县委、县政府及县食品安全委员会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特克斯县市场监督管理局2024年度，实有人数105人，其中：在职人员45人，减少2人；离休人员0人，增加0人；退休人员60人,增加2人。</w:t>
      </w:r>
    </w:p>
    <w:p>
      <w:pPr>
        <w:spacing w:line="580" w:lineRule="exact"/>
        <w:ind w:firstLine="640"/>
        <w:jc w:val="both"/>
      </w:pPr>
      <w:r>
        <w:rPr>
          <w:rFonts w:ascii="仿宋_GB2312" w:hAnsi="仿宋_GB2312" w:eastAsia="仿宋_GB2312"/>
          <w:sz w:val="32"/>
        </w:rPr>
        <w:t>单位无下属预算单位，下设9个科室，分别是：办公室、法规科、登记注册科、市场监管科、质量标准科、食品监管科、药化监管科、市场监管综合行政执法队、质量与计量检测所。。</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2024年度收入总计859.21万元，</w:t>
      </w:r>
      <w:r>
        <w:rPr>
          <w:rFonts w:ascii="仿宋_GB2312" w:hAnsi="仿宋_GB2312" w:eastAsia="仿宋_GB2312"/>
          <w:b w:val="0"/>
          <w:sz w:val="32"/>
        </w:rPr>
        <w:t>其中：本年收入合计859.21万元，使用非财政拨款结余（含专用结余）0.00万元，年初结转和结余0.00万元。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2024年度支出总计859.21万元，</w:t>
      </w:r>
      <w:r>
        <w:rPr>
          <w:rFonts w:ascii="仿宋_GB2312" w:hAnsi="仿宋_GB2312" w:eastAsia="仿宋_GB2312"/>
          <w:b w:val="0"/>
          <w:sz w:val="32"/>
        </w:rPr>
        <w:t>其中：本年支出合计859.21万元，结余分配0.00万元，年末结转和结余0.00万元。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增加27.30万元，增长3.28%，主要原因是：本年在职人员工资调增，社保、公积金基数调增，人员经费增加。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本年收入859.21万元，</w:t>
      </w:r>
      <w:r>
        <w:rPr>
          <w:rFonts w:ascii="仿宋_GB2312" w:hAnsi="仿宋_GB2312" w:eastAsia="仿宋_GB2312"/>
          <w:b w:val="0"/>
          <w:sz w:val="32"/>
        </w:rPr>
        <w:t>其中：财政拨款收入859.16万元，占99.99%；上级补助收入0.00万元，占0.00%；事业收入0.00万元，占0.00%；经营收入0.00万元，占0.00%；附属单位上缴收入0.00万元，占0.00%；其他收入0.05万元，占0.006%。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本年支出859.21万元，</w:t>
      </w:r>
      <w:r>
        <w:rPr>
          <w:rFonts w:ascii="仿宋_GB2312" w:hAnsi="仿宋_GB2312" w:eastAsia="仿宋_GB2312"/>
          <w:b w:val="0"/>
          <w:sz w:val="32"/>
        </w:rPr>
        <w:t>其中：基本支出826.01万元，占96.14%；项目支出33.21万元，占3.87%；上缴上级支出0.00万元，占0.00%；经营支出0.00万元，占0.00%；对附属单位补助支出0.00万元，占0.00%。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2024年度财政拨款收入总计859.16万元，</w:t>
      </w:r>
      <w:r>
        <w:rPr>
          <w:rFonts w:ascii="仿宋_GB2312" w:hAnsi="仿宋_GB2312" w:eastAsia="仿宋_GB2312"/>
          <w:b w:val="0"/>
          <w:sz w:val="32"/>
        </w:rPr>
        <w:t>其中：年初财政拨款结转和结余0.00万元，本年财政拨款收入859.16万元。</w:t>
      </w:r>
      <w:r>
        <w:rPr>
          <w:rFonts w:ascii="仿宋_GB2312" w:hAnsi="仿宋_GB2312" w:eastAsia="仿宋_GB2312"/>
          <w:b/>
          <w:sz w:val="32"/>
        </w:rPr>
        <w:t>财政拨款支出总计859.16万元，</w:t>
      </w:r>
      <w:r>
        <w:rPr>
          <w:rFonts w:ascii="仿宋_GB2312" w:hAnsi="仿宋_GB2312" w:eastAsia="仿宋_GB2312"/>
          <w:b w:val="0"/>
          <w:sz w:val="32"/>
        </w:rPr>
        <w:t>其中：年末财政拨款结转和结余0.00万元，本年财政拨款支出859.16万元。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增加27.57万元，增长3.32%，主要原因是：本年在职人员工资调增，社保、公积金基数调增，人员经费增加。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年初预算数789.73万元，决算数859.16万元，预决算差异率8.79%，主要原因是：年中追加人员工资、社保、公积金基数调增部分资金，导致预决算存在差异。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2024年度一般公共预算财政拨款支出859.16万元，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增加27.57万元，增长3.32%，主要原因是：本年在职人员工资调增，社保、公积金基数调增，人员经费增加。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年初预算数789.73万元，决算数859.16万元，预决算差异率8.79%，主要原因是：年中追加人员工资、社保、公积金基数调增部分资金，导致预决算存在差异。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1.一般公共服务支出(类)606.67万元,占70.61%。</w:t>
      </w:r>
    </w:p>
    <w:p>
      <w:pPr>
        <w:spacing w:line="580" w:lineRule="exact"/>
        <w:ind w:firstLine="640"/>
        <w:jc w:val="both"/>
      </w:pPr>
      <w:r>
        <w:rPr>
          <w:rFonts w:ascii="仿宋_GB2312" w:hAnsi="仿宋_GB2312" w:eastAsia="仿宋_GB2312"/>
          <w:b w:val="0"/>
          <w:sz w:val="32"/>
        </w:rPr>
        <w:t>2.社会保障和就业支出(类)130.80万元,占15.22%。</w:t>
      </w:r>
    </w:p>
    <w:p>
      <w:pPr>
        <w:spacing w:line="580" w:lineRule="exact"/>
        <w:ind w:firstLine="640"/>
        <w:jc w:val="both"/>
      </w:pPr>
      <w:r>
        <w:rPr>
          <w:rFonts w:ascii="仿宋_GB2312" w:hAnsi="仿宋_GB2312" w:eastAsia="仿宋_GB2312"/>
          <w:b w:val="0"/>
          <w:sz w:val="32"/>
        </w:rPr>
        <w:t>3.卫生健康支出(类)32.27万元,占3.76%。</w:t>
      </w:r>
    </w:p>
    <w:p>
      <w:pPr>
        <w:spacing w:line="580" w:lineRule="exact"/>
        <w:ind w:firstLine="640"/>
        <w:jc w:val="both"/>
      </w:pPr>
      <w:r>
        <w:rPr>
          <w:rFonts w:ascii="仿宋_GB2312" w:hAnsi="仿宋_GB2312" w:eastAsia="仿宋_GB2312"/>
          <w:b w:val="0"/>
          <w:sz w:val="32"/>
        </w:rPr>
        <w:t>4.农林水支出(类)31.00万元,占3.61%。</w:t>
      </w:r>
    </w:p>
    <w:p>
      <w:pPr>
        <w:spacing w:line="580" w:lineRule="exact"/>
        <w:ind w:firstLine="640"/>
        <w:jc w:val="both"/>
      </w:pPr>
      <w:r>
        <w:rPr>
          <w:rFonts w:ascii="仿宋_GB2312" w:hAnsi="仿宋_GB2312" w:eastAsia="仿宋_GB2312"/>
          <w:b w:val="0"/>
          <w:sz w:val="32"/>
        </w:rPr>
        <w:t>5.住房保障支出(类)58.43万元,占6.80%。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1.一般公共服务支出(类)市场监督管理事务(款)行政运行(项):支出决算数为604.46万元，比上年决算增加33.72万元，增长5.91%,主要原因是：本年在职人员工资调增，导致相关人员经费较上年有所增加。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一般公共服务支出(类)市场监督管理事务(款)质量安全监管(项):支出决算数为0.00万元，比上年决算减少4.54万元，下降100.00%,主要原因是：本年减少产品质量监督抽查及强制检定公用计量设备购置项目，导致质量安全监管减少。</w:t>
      </w:r>
    </w:p>
    <w:p>
      <w:pPr>
        <w:spacing w:line="580" w:lineRule="exact"/>
        <w:ind w:firstLine="640"/>
        <w:jc w:val="both"/>
      </w:pPr>
      <w:r>
        <w:rPr>
          <w:rFonts w:ascii="仿宋_GB2312" w:hAnsi="仿宋_GB2312" w:eastAsia="仿宋_GB2312"/>
          <w:b w:val="0"/>
          <w:sz w:val="32"/>
        </w:rPr>
        <w:t>3.一般公共服务支出(类)市场监督管理事务(款)食品安全监管(项):支出决算数为0.00万元，比上年决算减少10.88万元，下降100.00%,主要原因是：本年功能科目调整，将食用农产品抽检费用、市场监管专项检查及执法办案调整至主科目，导致食品安全监管减少。</w:t>
      </w:r>
    </w:p>
    <w:p>
      <w:pPr>
        <w:spacing w:line="580" w:lineRule="exact"/>
        <w:ind w:firstLine="640"/>
        <w:jc w:val="both"/>
      </w:pPr>
      <w:r>
        <w:rPr>
          <w:rFonts w:ascii="仿宋_GB2312" w:hAnsi="仿宋_GB2312" w:eastAsia="仿宋_GB2312"/>
          <w:b w:val="0"/>
          <w:sz w:val="32"/>
        </w:rPr>
        <w:t>4.一般公共服务支出(类)市场监督管理事务(款)其他市场监督管理事务(项):支出决算数为2.21万元，比上年决算增加2.21万元，增长100.00%,主要原因是：本年增加中央食品药品监管补助资金，相应支出增加。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73.01万元，比上年决算增加5.54万元，增长8.21%,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6.社会保障和就业支出(类)行政事业单位养老支出(款)机关事业单位职业年金缴费支出(项):支出决算数为21.54万元，比上年决算增加9.20万元，增长74.55%,主要原因是：本年新增退休人员，职业年金缴费支出增加。</w:t>
      </w:r>
    </w:p>
    <w:p>
      <w:pPr>
        <w:spacing w:line="580" w:lineRule="exact"/>
        <w:ind w:firstLine="640"/>
        <w:jc w:val="both"/>
      </w:pPr>
      <w:r>
        <w:rPr>
          <w:rFonts w:ascii="仿宋_GB2312" w:hAnsi="仿宋_GB2312" w:eastAsia="仿宋_GB2312"/>
          <w:b w:val="0"/>
          <w:sz w:val="32"/>
        </w:rPr>
        <w:t>7.社会保障和就业支出(类)抚恤(款)死亡抚恤(项):支出决算数为36.25万元，比上年决算减少44.03万元，下降54.85%,主要原因是：本年新增去世人员较上年减少，死亡抚恤支出较上年减少。</w:t>
      </w:r>
    </w:p>
    <w:p>
      <w:pPr>
        <w:spacing w:line="580" w:lineRule="exact"/>
        <w:ind w:firstLine="640"/>
        <w:jc w:val="both"/>
      </w:pPr>
      <w:r>
        <w:rPr>
          <w:rFonts w:ascii="仿宋_GB2312" w:hAnsi="仿宋_GB2312" w:eastAsia="仿宋_GB2312"/>
          <w:b w:val="0"/>
          <w:sz w:val="32"/>
        </w:rPr>
        <w:t>8.卫生健康支出(类)行政事业单位医疗(款)行政单位医疗(项):支出决算数为31.00万元，比上年决算增加0.63万元，增长2.07%,主要原因是：本年在职人员工资基数调增，医疗缴费基数上涨，相应支出增加。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0.71万元，比上年决算减少0.02万元，下降2.74%,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0.56万元，比上年决算减少0.64万元，下降53.33%,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11.农林水支出(类)巩固脱贫攻坚成果衔接乡村振兴(款)其他巩固脱贫攻坚成果衔接乡村振兴支出(项):支出决算数为31.00万元，比上年决算增加31.00万元，增长100.00%,主要原因是：本年新增推动产业帮扶精准到户促进农民持续增收补助项目中为脱贫户、监测户发放自主创业一次性补助，导致其他巩固脱贫攻坚成果衔接乡村振兴较上年增加。</w:t>
      </w:r>
    </w:p>
    <w:p>
      <w:pPr>
        <w:spacing w:line="580" w:lineRule="exact"/>
        <w:ind w:firstLine="640"/>
        <w:jc w:val="both"/>
      </w:pPr>
      <w:r>
        <w:rPr>
          <w:rFonts w:ascii="仿宋_GB2312" w:hAnsi="仿宋_GB2312" w:eastAsia="仿宋_GB2312"/>
          <w:b w:val="0"/>
          <w:sz w:val="32"/>
        </w:rPr>
        <w:t>12.住房保障支出(类)住房改革支出(款)住房公积金(项):支出决算数为58.43万元，比上年决算增加5.39万元，增长10.16%,主要原因是：本年在职人员工资基数调增，公积金缴费基数上涨，相应支出增加。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2024年度一般公共预算财政拨款基本支出825.96万元，其中：</w:t>
      </w:r>
      <w:r>
        <w:rPr>
          <w:rFonts w:ascii="仿宋_GB2312" w:hAnsi="仿宋_GB2312" w:eastAsia="仿宋_GB2312"/>
          <w:b/>
          <w:sz w:val="32"/>
        </w:rPr>
        <w:t>人员经费807.16万元，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公用经费18.80万元，</w:t>
      </w:r>
      <w:r>
        <w:rPr>
          <w:rFonts w:ascii="仿宋_GB2312" w:hAnsi="仿宋_GB2312" w:eastAsia="仿宋_GB2312"/>
          <w:b w:val="0"/>
          <w:sz w:val="32"/>
        </w:rPr>
        <w:t>包括：办公费、水费、邮电费、差旅费、工会经费、公务用车运行维护费。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2024年度财政拨款“三公”经费支出2.40万元，</w:t>
      </w:r>
      <w:r>
        <w:rPr>
          <w:rFonts w:ascii="仿宋_GB2312" w:hAnsi="仿宋_GB2312" w:eastAsia="仿宋_GB2312"/>
          <w:b w:val="0"/>
          <w:sz w:val="32"/>
        </w:rPr>
        <w:t>比上年增加0.80万元，增长50.00%，主要原因是：本年因业务需求，用车次数增加，燃油费增加，导致公务用车运行维护费较上年增加。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公务用车购置及运行维护费支出2.40万元，占100.00%，比上年增加0.80万元，增长50.00%，主要原因是：本年因业务需求，用车次数增加，燃油费增加，导致公务用车运行维护费较上年增加。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2.40万元，其中：公务用车购置费0.00万元，公务用车运行维护费2.40万元。公务用车运行维护费开支内容包括车辆加油费、维修费、保险费、审车费、过路费等。公务用车购置数0辆，公务用车保有量6辆。国有资产占用情况中固定资产车辆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2.40万元，决算数2.40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2.40万元，决算数2.40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2024年度特克斯县市场监督管理局（行政单位和参照公务员法管理事业单位）机关运行经费支出18.80万元，比上年减少7.53万元，下降28.60%，主要原因是：严格控制公用经费，合理节约办公用品，减少不必要开支。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2024年度政府采购支出总额2.65万元，其中：政府采购货物支出1.71万元、政府采购工程支出0.00万元、政府采购服务支出0.94万元。</w:t>
      </w:r>
    </w:p>
    <w:p>
      <w:pPr>
        <w:spacing w:line="580" w:lineRule="exact"/>
        <w:ind w:firstLine="640"/>
        <w:jc w:val="both"/>
      </w:pPr>
      <w:r>
        <w:rPr>
          <w:rFonts w:ascii="仿宋_GB2312" w:hAnsi="仿宋_GB2312" w:eastAsia="仿宋_GB2312"/>
          <w:b w:val="0"/>
          <w:sz w:val="32"/>
        </w:rPr>
        <w:t>授予中小企业合同金额1.99万元，占政府采购支出总额的75.09%，其中：授予小微企业合同金额1.99万元，占政府采购支出总额的75.09%。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3,301.96平方米，价值874.34万元。车辆6辆，价值127.67万元，其中：副部（省）级及以上领导用车0辆、主要负责人用车0辆、机要通信用车0辆、应急保障用车0辆、执法执勤用车3辆、特种专业技术用车1辆、离退休干部服务用车0辆、其他用车2辆，其他用车主要是：用于开展市场监管的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859.21万元，实际执行总额859.21万元；预算绩效评价项目2个，全年预算数2.25万元，全年执行数2.25万元。预算绩效管理取得的成效：目前的预算管理在编制和实施中还存在编制不细、预算调整较多、追加预算比重较大等现象，因此项目预算执行的准确性还有待加强，同时分析手段和技术水平上还有待完善。加强与县财政局的紧密配合，开展好整体支出及项目资金绩效管理工作，运用好绩效评价的结果，不断提升预算管理水平。发现的问题及原因：绩效管理和预算管理工作没有结合起来，预算管理年初预算数与全年执行数有差距，预算调整较多，对绩效管理认识不足，绩效管理不够细化明确，对绩效监控组织、管理、实施方式等思路了解不够深入，不透彻。下一步改进措施：一是加强新行政单位会计制度和新预算法学习培训、规范账务处理，加强新《预算法》《行政单位会计制度》 《会计法》 《行政单位财务规则》等学习培训，规范部门预算收支核算。二是落实预算执行分析，及时了解预算执行差异，合理调整、纠正预算执行偏差，切实提高部门预算收支管理水平，尽可能地做到决算与预算相衔接。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765.03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765.03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859.21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859.21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764.73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764.73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859.16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859.16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全面加强市场监管和贯彻新发展理念，加快构建新发展格局，着力推动高质量发展，持续优化营商环境，更大力度支持市场主体发展，提高工作人员法治思维和依法行政能力，政务服务审批实现“最多跑一次”“证照分离”目标，严格落实“四个最严”要求，加强对食品、药品医疗器械、标准计量特种设备监管，坚决守住食品企业产品、特种设备安全底线，提振市场信心，稳定市场预期，努力提高市场监管现代化水平，服务经济实现质的有效提升和量的合理增长。均衡推进食品抽检监测，开展食品安全监督抽检监测，及时稳妥公布食品抽检结果信息。</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加强全县市场监管，持续优化营商环境，更大力度支持市场主体发展，食品安全监督抽检252批次，营业执照网办率达到99.83%，特种设备使用单位监管数94家，药品、医疗器械经营企业监管数76家，学校食堂食品安全监管数71家。</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食品安全监督抽检数量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252批次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2024年地县局食品安全抽检任务分配表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252批次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营业执照网办率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特种设备使用单位监管数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药品、医疗器械经营企业监管数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76家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76家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学校食堂食品安全监管数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伊州财行[2024]16号2024年中央食品药品监管补助资金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积极开展“两品一械”生产经营企业日常监督检查，全力保障公众用药用械用妆安全；加强培训，提高监管人员专业水平和综合素质。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项目已完成，监督检查新开办、变更药品生产经营企业数57家；药品、化妆品、医疗器械监管对象培训人数120人；药品、医疗器械、化妆品生产企业检查覆盖率达到100%；“两品一械”培训人员覆盖率达到95%；培训成本在200元/人/天；通过项目实施提高全县“两品一械”总体安全水平，提高人民群众“两品一械”安全科普知识水平；积极开展“两品一械”生产经营企业日常监督检查，全力保障公众用药用械用妆安全，加强培训，化解排查药品安全风险隐患。</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监督检查药品生产经营企业数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药品、化妆品、医疗器械监管对象培训人数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147</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药品、医疗器械、化妆品生产经营企业检查覆盖率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“两品一械”培训人员覆盖率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任务完成时间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“两品一械”监管人员培训成本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“两品一械”总体安全水平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人民群众“两品一械”安全科普知识水平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公众对药品、医疗器械、化妆品监管满意度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培训对象对培训工作的满意度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药品经营企业满意度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慰问困难党员经费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特克斯县市场监督管理局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在元旦春节期间开展走访慰问生活困难党员、老党员、老干部活动，了解他们的思想动态和诉求，有针对性地帮助解决实际困难。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认真贯彻落实从严治党要求，强化基层组织建设，元旦春节期间特克斯县“小个专”综合党委开展走访慰问生活困难党员、老党员、老干部活动，为1名困难党员送去慰问金500元，使党员在听党话、感党恩、跟党走和坚定坚决落实总目标方面发挥模范带头作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慰问困难党员数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偏差原因：年初设置目标值偏低，实际工作中超出设置的目标值；改进措施：年初设置目标值偏低，实际工作中超出设置的目标值，下一步需精准数据填报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走访慰问对象覆盖率（%）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走访慰问工作完成及时率（%）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慰问每名困难党员金额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私个协党支部党员工作成效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走访慰问对象满意度（%）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偏差原因：年初设置目标值偏低，实际工作中超出设置的目标值，下一步需精准数据填报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