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特克斯县喀拉达拉镇寄宿制初级中学2024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1、宣传贯彻党的路线、方针、政策、坚持正确的办学方向。</w:t>
      </w:r>
    </w:p>
    <w:p>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pPr>
        <w:spacing w:line="580" w:lineRule="exact"/>
        <w:ind w:firstLine="640"/>
        <w:jc w:val="both"/>
      </w:pPr>
      <w:r>
        <w:rPr>
          <w:rFonts w:ascii="仿宋_GB2312" w:hAnsi="仿宋_GB2312" w:eastAsia="仿宋_GB2312"/>
          <w:sz w:val="32"/>
        </w:rPr>
        <w:t>3、编制学校教学计划，管理、协调教育活动，开展教学研究。</w:t>
      </w:r>
    </w:p>
    <w:p>
      <w:pPr>
        <w:spacing w:line="580" w:lineRule="exact"/>
        <w:ind w:firstLine="640"/>
        <w:jc w:val="both"/>
      </w:pPr>
      <w:r>
        <w:rPr>
          <w:rFonts w:ascii="仿宋_GB2312" w:hAnsi="仿宋_GB2312" w:eastAsia="仿宋_GB2312"/>
          <w:sz w:val="32"/>
        </w:rPr>
        <w:t>4、完成学校交办的其他工作。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特克斯县喀拉达拉镇寄宿制初级中学2024年度，实有人数487人，其中：在职人员356人，减少38人；离休人员0人，增加0人；退休人员131人,增加8人。</w:t>
      </w:r>
    </w:p>
    <w:p>
      <w:pPr>
        <w:spacing w:line="580" w:lineRule="exact"/>
        <w:ind w:firstLine="640"/>
        <w:jc w:val="both"/>
      </w:pPr>
      <w:r>
        <w:rPr>
          <w:rFonts w:ascii="仿宋_GB2312" w:hAnsi="仿宋_GB2312" w:eastAsia="仿宋_GB2312"/>
          <w:sz w:val="32"/>
        </w:rPr>
        <w:t>单位无下属预算单位，下设7个科室，分别是：办公室、教务处、教研室、党建办、总务处、德育处、工会。。</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2024年度收入总计6,905.40万元，</w:t>
      </w:r>
      <w:r>
        <w:rPr>
          <w:rFonts w:ascii="仿宋_GB2312" w:hAnsi="仿宋_GB2312" w:eastAsia="仿宋_GB2312"/>
          <w:b w:val="0"/>
          <w:sz w:val="32"/>
        </w:rPr>
        <w:t>其中：本年收入合计6,905.40万元，使用非财政拨款结余（含专用结余）0.00万元，年初结转和结余0.00万元。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2024年度支出总计6,905.40万元，</w:t>
      </w:r>
      <w:r>
        <w:rPr>
          <w:rFonts w:ascii="仿宋_GB2312" w:hAnsi="仿宋_GB2312" w:eastAsia="仿宋_GB2312"/>
          <w:b w:val="0"/>
          <w:sz w:val="32"/>
        </w:rPr>
        <w:t>其中：本年支出合计6,905.40万元，结余分配0.00万元，年末结转和结余0.00万元。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减少51.84万元，下降0.75%，主要原因是：本年在职人员减少38人，相关人员经费较上年减少。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本年收入6,905.40万元，</w:t>
      </w:r>
      <w:r>
        <w:rPr>
          <w:rFonts w:ascii="仿宋_GB2312" w:hAnsi="仿宋_GB2312" w:eastAsia="仿宋_GB2312"/>
          <w:b w:val="0"/>
          <w:sz w:val="32"/>
        </w:rPr>
        <w:t>其中：财政拨款收入6,791.71万元，占98.35%；上级补助收入0.00万元，占0.00%；事业收入0.00万元，占0.00%；经营收入0.00万元，占0.00%；附属单位上缴收入0.00万元，占0.00%；其他收入113.69万元，占1.65%。</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本年支出6,905.40万元，</w:t>
      </w:r>
      <w:r>
        <w:rPr>
          <w:rFonts w:ascii="仿宋_GB2312" w:hAnsi="仿宋_GB2312" w:eastAsia="仿宋_GB2312"/>
          <w:b w:val="0"/>
          <w:sz w:val="32"/>
        </w:rPr>
        <w:t>其中：基本支出6,905.40万元，占100.00%；项目支出0.00万元，占0.00%；上缴上级支出0.00万元，占0.00%；经营支出0.00万元，占0.00%；对附属单位补助支出0.00万元，占0.00%。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2024年度财政拨款收入总计6,791.71万元，</w:t>
      </w:r>
      <w:r>
        <w:rPr>
          <w:rFonts w:ascii="仿宋_GB2312" w:hAnsi="仿宋_GB2312" w:eastAsia="仿宋_GB2312"/>
          <w:b w:val="0"/>
          <w:sz w:val="32"/>
        </w:rPr>
        <w:t>其中：年初财政拨款结转和结余0.00万元，本年财政拨款收入6,791.71万元。</w:t>
      </w:r>
      <w:r>
        <w:rPr>
          <w:rFonts w:ascii="仿宋_GB2312" w:hAnsi="仿宋_GB2312" w:eastAsia="仿宋_GB2312"/>
          <w:b/>
          <w:sz w:val="32"/>
        </w:rPr>
        <w:t>财政拨款支出总计6,791.71万元，</w:t>
      </w:r>
      <w:r>
        <w:rPr>
          <w:rFonts w:ascii="仿宋_GB2312" w:hAnsi="仿宋_GB2312" w:eastAsia="仿宋_GB2312"/>
          <w:b w:val="0"/>
          <w:sz w:val="32"/>
        </w:rPr>
        <w:t>其中：年末财政拨款结转和结余0.00万元，本年财政拨款支出6,791.71万元。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减少57.79万元，下降0.84%，主要原因是：本年在职人员减少38人，相关人员经费较上年减少。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年初预算数6,293.54万元，决算数6,791.71万元，预决算差异率7.92%，主要原因是：年中追加人员工资、社保、公积金基数调增部分资金，导致预决算存在差异。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2024年度一般公共预算财政拨款支出6,791.71万元，</w:t>
      </w:r>
      <w:r>
        <w:rPr>
          <w:rFonts w:ascii="仿宋_GB2312" w:hAnsi="仿宋_GB2312" w:eastAsia="仿宋_GB2312"/>
          <w:b w:val="0"/>
          <w:sz w:val="32"/>
        </w:rPr>
        <w:t>占本年支出合计的98.35%。</w:t>
      </w:r>
      <w:r>
        <w:rPr>
          <w:rFonts w:ascii="仿宋_GB2312" w:hAnsi="仿宋_GB2312" w:eastAsia="仿宋_GB2312"/>
          <w:b/>
          <w:sz w:val="32"/>
        </w:rPr>
        <w:t>与上年相比，</w:t>
      </w:r>
      <w:r>
        <w:rPr>
          <w:rFonts w:ascii="仿宋_GB2312" w:hAnsi="仿宋_GB2312" w:eastAsia="仿宋_GB2312"/>
          <w:b w:val="0"/>
          <w:sz w:val="32"/>
        </w:rPr>
        <w:t>减少57.79万元，下降0.84%，主要原因是：本年在职人员减少38人，相关人员经费较上年减少。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年初预算数6,293.54万元，决算数6,791.71万元，预决算差异率7.92%，主要原因是：年中追加人员工资、社保、公积金基数调增部分资金，导致预决算存在差异。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1.教育支出(类)5,743.79万元,占84.57%。</w:t>
      </w:r>
    </w:p>
    <w:p>
      <w:pPr>
        <w:spacing w:line="580" w:lineRule="exact"/>
        <w:ind w:firstLine="640"/>
        <w:jc w:val="both"/>
      </w:pPr>
      <w:r>
        <w:rPr>
          <w:rFonts w:ascii="仿宋_GB2312" w:hAnsi="仿宋_GB2312" w:eastAsia="仿宋_GB2312"/>
          <w:b w:val="0"/>
          <w:sz w:val="32"/>
        </w:rPr>
        <w:t>2.社会保障和就业支出(类)511.20万元,占7.53%。</w:t>
      </w:r>
    </w:p>
    <w:p>
      <w:pPr>
        <w:spacing w:line="580" w:lineRule="exact"/>
        <w:ind w:firstLine="640"/>
        <w:jc w:val="both"/>
      </w:pPr>
      <w:r>
        <w:rPr>
          <w:rFonts w:ascii="仿宋_GB2312" w:hAnsi="仿宋_GB2312" w:eastAsia="仿宋_GB2312"/>
          <w:b w:val="0"/>
          <w:sz w:val="32"/>
        </w:rPr>
        <w:t>3.卫生健康支出(类)61.71万元,占0.91%。</w:t>
      </w:r>
    </w:p>
    <w:p>
      <w:pPr>
        <w:spacing w:line="580" w:lineRule="exact"/>
        <w:ind w:firstLine="640"/>
        <w:jc w:val="both"/>
      </w:pPr>
      <w:r>
        <w:rPr>
          <w:rFonts w:ascii="仿宋_GB2312" w:hAnsi="仿宋_GB2312" w:eastAsia="仿宋_GB2312"/>
          <w:b w:val="0"/>
          <w:sz w:val="32"/>
        </w:rPr>
        <w:t>4.住房保障支出(类)475.01万元,占6.99%。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1.教育支出(类)普通教育(款)学前教育(项):支出决算数为1,055.06万元，比上年决算增加161.05万元，增长18.01%,主要原因是：人员基本工资调标增资，补发2024年7-12月基本工资调标增资。</w:t>
      </w:r>
    </w:p>
    <w:p>
      <w:pPr>
        <w:spacing w:line="580" w:lineRule="exact"/>
        <w:ind w:firstLine="640"/>
        <w:jc w:val="both"/>
      </w:pPr>
      <w:r>
        <w:rPr>
          <w:rFonts w:ascii="仿宋_GB2312" w:hAnsi="仿宋_GB2312" w:eastAsia="仿宋_GB2312"/>
          <w:b w:val="0"/>
          <w:sz w:val="32"/>
        </w:rPr>
        <w:t>2.教育支出(类)普通教育(款)小学教育(项):支出决算数为2,713.58万元，比上年决算减少381.96万元，下降12.34%,主要原因是：本年在职人员减少38人，相关人员经费较上年减少。</w:t>
      </w:r>
    </w:p>
    <w:p>
      <w:pPr>
        <w:spacing w:line="580" w:lineRule="exact"/>
        <w:ind w:firstLine="640"/>
        <w:jc w:val="both"/>
      </w:pPr>
      <w:r>
        <w:rPr>
          <w:rFonts w:ascii="仿宋_GB2312" w:hAnsi="仿宋_GB2312" w:eastAsia="仿宋_GB2312"/>
          <w:b w:val="0"/>
          <w:sz w:val="32"/>
        </w:rPr>
        <w:t>3.教育支出(类)普通教育(款)初中教育(项):支出决算数为1,975.15万元，比上年决算增加42.84万元，增长2.22%,主要原因是：人员基本工资调标增资，补发2024年7-12月基本工资调标增资。</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410.30万元，比上年决算减少62.81万元，下降13.28%,主要原因是：本年在职人员减少38人，机关事业单位基本养老保险缴费支出减少。</w:t>
      </w:r>
    </w:p>
    <w:p>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5.社会保障和就业支出(类)行政事业单位养老支出(款)机关事业单位职业年金缴费支出(项):支出决算数为85.31万元，比上年决算增加35.54万元，增长71.41%,主要原因是：退休人员增加，职业年金坐实资金增加。</w:t>
      </w:r>
    </w:p>
    <w:p>
      <w:pPr>
        <w:spacing w:line="580" w:lineRule="exact"/>
        <w:ind w:firstLine="640"/>
        <w:jc w:val="both"/>
      </w:pPr>
      <w:r>
        <w:rPr>
          <w:rFonts w:ascii="仿宋_GB2312" w:hAnsi="仿宋_GB2312" w:eastAsia="仿宋_GB2312"/>
          <w:b w:val="0"/>
          <w:sz w:val="32"/>
        </w:rPr>
        <w:t>6.社会保障和就业支出(类)抚恤(款)死亡抚恤(项):支出决算数为15.59万元，比上年决算减少13.67万元，下降46.72%,主要原因是：本年新增死亡人员较上年减少，死亡抚恤支出较上年减少。</w:t>
      </w:r>
    </w:p>
    <w:p>
      <w:pPr>
        <w:spacing w:line="580" w:lineRule="exact"/>
        <w:ind w:firstLine="640"/>
        <w:jc w:val="both"/>
      </w:pPr>
      <w:r>
        <w:rPr>
          <w:rFonts w:ascii="仿宋_GB2312" w:hAnsi="仿宋_GB2312" w:eastAsia="仿宋_GB2312"/>
          <w:b w:val="0"/>
          <w:sz w:val="32"/>
        </w:rPr>
        <w:t>7.卫生健康支出(类)行政事业单位医疗(款)事业单位医疗(项):支出决算数为60.64万元，比上年决算增加60.64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1.07万元，比上年决算增加1.07万元，增长100.00%,主要原因是：本年功能科目调整，其他行政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9.住房保障支出(类)住房改革支出(款)住房公积金(项):支出决算数为475.01万元，比上年决算增加99.51万元，增长26.50%,主要原因是：本年在职人员工资基数调增，公积金缴费基数上涨，相应支出增加。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2024年度一般公共预算财政拨款基本支出6,791.71万元，其中：</w:t>
      </w:r>
      <w:r>
        <w:rPr>
          <w:rFonts w:ascii="仿宋_GB2312" w:hAnsi="仿宋_GB2312" w:eastAsia="仿宋_GB2312"/>
          <w:b/>
          <w:sz w:val="32"/>
        </w:rPr>
        <w:t>人员经费6,462.69万元，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包括：基本工资、津贴补贴、奖金、绩效工资、机关事业单位基本养老保险缴费、职业年金缴费、职工基本医疗保险缴费、其他社会保障缴费、住房公积金、退休费、抚恤金、生活补助、助学金。</w:t>
      </w:r>
    </w:p>
    <w:p>
      <w:pPr>
        <w:spacing w:line="580" w:lineRule="exact"/>
        <w:ind w:firstLine="640"/>
        <w:jc w:val="both"/>
      </w:pPr>
      <w:r>
        <w:rPr>
          <w:rFonts w:ascii="仿宋_GB2312" w:hAnsi="仿宋_GB2312" w:eastAsia="仿宋_GB2312"/>
          <w:b/>
          <w:sz w:val="32"/>
        </w:rPr>
        <w:t>公用经费329.02万元，</w:t>
      </w:r>
      <w:r>
        <w:rPr>
          <w:rFonts w:ascii="仿宋_GB2312" w:hAnsi="仿宋_GB2312" w:eastAsia="仿宋_GB2312"/>
          <w:b w:val="0"/>
          <w:sz w:val="32"/>
        </w:rPr>
        <w:t>包括：办公费、印刷费、水费、电费、邮电费、取暖费、物业管理费、维修（护）费、培训费、专用燃料费、工会经费、其他交通费用、其他商品和服务支出。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2024年度特克斯县喀拉达拉镇寄宿制初级中学（事业单位）公用经费支出329.02万元，比上年减少183.45万元，下降35.80%，主要原因是：学生人数减少，公用经费支出减少。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2024年度政府采购支出总额3.44万元，其中：政府采购货物支出2.74万元、政府采购工程支出0.00万元、政府采购服务支出0.70万元。</w:t>
      </w:r>
    </w:p>
    <w:p>
      <w:pPr>
        <w:spacing w:line="580" w:lineRule="exact"/>
        <w:ind w:firstLine="640"/>
        <w:jc w:val="both"/>
      </w:pPr>
      <w:r>
        <w:rPr>
          <w:rFonts w:ascii="仿宋_GB2312" w:hAnsi="仿宋_GB2312" w:eastAsia="仿宋_GB2312"/>
          <w:b w:val="0"/>
          <w:sz w:val="32"/>
        </w:rPr>
        <w:t>授予中小企业合同金额3.44万元，占政府采购支出总额的100.00%，其中：授予小微企业合同金额3.44万元，占政府采购支出总额的100.00%。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27,808.67平方米，价值2,164.45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6,905.40万元，实际执行总额6,905.40万元；预算绩效评价项目0个，全年预算数0.00万元，全年执行数0.00万元。预算绩效管理取得的成效：本单位无绩效自评项目。发现的问题及原因：本单位无绩效自评项目。下一步改进措施：本单位无绩效自评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特克斯县喀拉达拉镇寄宿制初级中学</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6,249.54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6,249.54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6,905.40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6,905.40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6,249.54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6,249.54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6,905.40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6,905.40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紧紧围绕县教育局的工作部署，以“高质量发展”为主旋律,以稳中求进为主基调，落实立德树人根本任务，继续推进学校教育改革试点工作，优化队伍建设，优化教育管理，优化作风建设，全面推进素质教育，全面提高办学水平，凝心聚力、务实奋进，努力开创学校教育发展新局面。</w:t>
              <w:br/>
              <w:br/>
              <w:t>一、党建工作有新作为。</w:t>
              <w:br/>
              <w:br/>
              <w:t>二、文化环境有新面貌。</w:t>
              <w:br/>
              <w:br/>
              <w:t>三、精细管理有新亮点。</w:t>
              <w:br/>
              <w:br/>
              <w:t>四、干部作风有新提升。</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消除义务教育大班额</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义务教育巩固率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实现信息化教学覆盖率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创建平安校园活动举办次数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义务教育优质均衡率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国家通用语言文字教育教学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