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特克斯县商务和工业信息化局2024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（一）贯彻执行上级有关商务流通、工业信息化、招商引资方面的法律、法规和方针政策；制定实施符合特克斯县实际的商务流通、工业信息化、招商引资计划。</w:t>
      </w:r>
    </w:p>
    <w:p>
      <w:pPr>
        <w:spacing w:line="580" w:lineRule="exact"/>
        <w:ind w:firstLine="640"/>
        <w:jc w:val="both"/>
      </w:pPr>
      <w:r>
        <w:rPr>
          <w:rFonts w:ascii="仿宋_GB2312" w:hAnsi="仿宋_GB2312" w:eastAsia="仿宋_GB2312"/>
          <w:sz w:val="32"/>
        </w:rPr>
        <w:t>（二）监测分析特克斯县工业经济运行态势；统计并发布相关信息，进行预测预警和信息指导；协调解决工业经济运行中的重大问题并提出政策建议；负责协调生产要素供应保障等重大问题；协调落实寄递行业安全管理相关政策法规措施；负责产业安全有关工作。</w:t>
      </w:r>
    </w:p>
    <w:p>
      <w:pPr>
        <w:spacing w:line="580" w:lineRule="exact"/>
        <w:ind w:firstLine="640"/>
        <w:jc w:val="both"/>
      </w:pPr>
      <w:r>
        <w:rPr>
          <w:rFonts w:ascii="仿宋_GB2312" w:hAnsi="仿宋_GB2312" w:eastAsia="仿宋_GB2312"/>
          <w:sz w:val="32"/>
        </w:rPr>
        <w:t>（三）贯彻上级行业专项规划、行业法规、技术规范和标准；负责盐业行业管理；负责企业园区建设管理工作；负责冶金、有色金属、黄金、稀土、轻工、纺织、机电、建材等行业管理。</w:t>
      </w:r>
    </w:p>
    <w:p>
      <w:pPr>
        <w:spacing w:line="580" w:lineRule="exact"/>
        <w:ind w:firstLine="640"/>
        <w:jc w:val="both"/>
      </w:pPr>
      <w:r>
        <w:rPr>
          <w:rFonts w:ascii="仿宋_GB2312" w:hAnsi="仿宋_GB2312" w:eastAsia="仿宋_GB2312"/>
          <w:sz w:val="32"/>
        </w:rPr>
        <w:t>（四）负责组织、协调招商引资活动；完善招商引资服务体系；负责招商引资信息的收集、分析、发布等工作；负责招商引资统计工作；组织和服务企业参加各类会展。</w:t>
      </w:r>
    </w:p>
    <w:p>
      <w:pPr>
        <w:spacing w:line="580" w:lineRule="exact"/>
        <w:ind w:firstLine="640"/>
        <w:jc w:val="both"/>
      </w:pPr>
      <w:r>
        <w:rPr>
          <w:rFonts w:ascii="仿宋_GB2312" w:hAnsi="仿宋_GB2312" w:eastAsia="仿宋_GB2312"/>
          <w:sz w:val="32"/>
        </w:rPr>
        <w:t>（五）贯彻上级有关工业和信息化技术改造投资的政策措施；研究和规划技术改造项目投资方向和布局；负责推进信息化工作，负责企业信息化和信息技术的推广应用工作，推进企业信息化和工业化深度融合；统筹指导智慧城市、服务业信息化、电子商务、物联网产业发展管理工作。</w:t>
      </w:r>
    </w:p>
    <w:p>
      <w:pPr>
        <w:spacing w:line="580" w:lineRule="exact"/>
        <w:ind w:firstLine="640"/>
        <w:jc w:val="both"/>
      </w:pPr>
      <w:r>
        <w:rPr>
          <w:rFonts w:ascii="仿宋_GB2312" w:hAnsi="仿宋_GB2312" w:eastAsia="仿宋_GB2312"/>
          <w:sz w:val="32"/>
        </w:rPr>
        <w:t>（六）指导工业和信息化领域体制改革和管理创新；拟定促进中小企业发展的相关政策措施；负责对中小企业的宏观指导和服务，指导中小企业改革与发展，建立健全服务体系；负责工业和信息化领域人员的培训；负责组织协调减轻企业负担工作。</w:t>
      </w:r>
    </w:p>
    <w:p>
      <w:pPr>
        <w:spacing w:line="580" w:lineRule="exact"/>
        <w:ind w:firstLine="640"/>
        <w:jc w:val="both"/>
      </w:pPr>
      <w:r>
        <w:rPr>
          <w:rFonts w:ascii="仿宋_GB2312" w:hAnsi="仿宋_GB2312" w:eastAsia="仿宋_GB2312"/>
          <w:sz w:val="32"/>
        </w:rPr>
        <w:t>（七）贯彻落实工业领域绿色发展、能源节约和综合利用相关政策；指导工业节能减排协调和监督管理工作，协助做好工业节能执法监察、能效管理工作；负责工业领域节能降耗专项资金申报。</w:t>
      </w:r>
    </w:p>
    <w:p>
      <w:pPr>
        <w:spacing w:line="580" w:lineRule="exact"/>
        <w:ind w:firstLine="640"/>
        <w:jc w:val="both"/>
      </w:pPr>
      <w:r>
        <w:rPr>
          <w:rFonts w:ascii="仿宋_GB2312" w:hAnsi="仿宋_GB2312" w:eastAsia="仿宋_GB2312"/>
          <w:sz w:val="32"/>
        </w:rPr>
        <w:t>（八）配合公安、应急等部门对民爆行业及民用爆炸物品生产、销售进行依法监督管理；指导监督工业领域安全生产工作。</w:t>
      </w:r>
    </w:p>
    <w:p>
      <w:pPr>
        <w:spacing w:line="580" w:lineRule="exact"/>
        <w:ind w:firstLine="640"/>
        <w:jc w:val="both"/>
      </w:pPr>
      <w:r>
        <w:rPr>
          <w:rFonts w:ascii="仿宋_GB2312" w:hAnsi="仿宋_GB2312" w:eastAsia="仿宋_GB2312"/>
          <w:sz w:val="32"/>
        </w:rPr>
        <w:t>（九）组织执行国家电力行业技术规范和标准；负责制定年度电力行业运行调控目标；组织协调解决电力生产、运营和供应中的重大问题；监管电力调度工作。</w:t>
      </w:r>
    </w:p>
    <w:p>
      <w:pPr>
        <w:spacing w:line="580" w:lineRule="exact"/>
        <w:ind w:firstLine="640"/>
        <w:jc w:val="both"/>
      </w:pPr>
      <w:r>
        <w:rPr>
          <w:rFonts w:ascii="仿宋_GB2312" w:hAnsi="仿宋_GB2312" w:eastAsia="仿宋_GB2312"/>
          <w:sz w:val="32"/>
        </w:rPr>
        <w:t>（十）负责重要消费品市场调控和重要生产资料流通管理；参与建立健全生活必需品市场供应应急管理；参与监测分析市场运行、商品供求状况，并进行预测预警和市场调控；监管成品油零售环节。</w:t>
      </w:r>
    </w:p>
    <w:p>
      <w:pPr>
        <w:spacing w:line="580" w:lineRule="exact"/>
        <w:ind w:firstLine="640"/>
        <w:jc w:val="both"/>
      </w:pPr>
      <w:r>
        <w:rPr>
          <w:rFonts w:ascii="仿宋_GB2312" w:hAnsi="仿宋_GB2312" w:eastAsia="仿宋_GB2312"/>
          <w:sz w:val="32"/>
        </w:rPr>
        <w:t>（十一）贯彻执行规范市场运行、流通秩序的政策，推动商务领域信用建设；按有关规定对特殊流通行业进行监督管理。</w:t>
      </w:r>
    </w:p>
    <w:p>
      <w:pPr>
        <w:spacing w:line="580" w:lineRule="exact"/>
        <w:ind w:firstLine="640"/>
        <w:jc w:val="both"/>
      </w:pPr>
      <w:r>
        <w:rPr>
          <w:rFonts w:ascii="仿宋_GB2312" w:hAnsi="仿宋_GB2312" w:eastAsia="仿宋_GB2312"/>
          <w:sz w:val="32"/>
        </w:rPr>
        <w:t>（十二）按有关规定对汽车、二手车流通行业进行监督管理，对报废汽车回收（含拆解）活动进行指导、监督。</w:t>
      </w:r>
    </w:p>
    <w:p>
      <w:pPr>
        <w:spacing w:line="580" w:lineRule="exact"/>
        <w:ind w:firstLine="640"/>
        <w:jc w:val="both"/>
      </w:pPr>
      <w:r>
        <w:rPr>
          <w:rFonts w:ascii="仿宋_GB2312" w:hAnsi="仿宋_GB2312" w:eastAsia="仿宋_GB2312"/>
          <w:sz w:val="32"/>
        </w:rPr>
        <w:t>（十三）负责对外经济合作工作；依法参与实施对外贸易调查和产业损害调查；配合相关部门指导协调产业安全应对工作。</w:t>
      </w:r>
    </w:p>
    <w:p>
      <w:pPr>
        <w:spacing w:line="580" w:lineRule="exact"/>
        <w:ind w:firstLine="640"/>
        <w:jc w:val="both"/>
      </w:pPr>
      <w:r>
        <w:rPr>
          <w:rFonts w:ascii="仿宋_GB2312" w:hAnsi="仿宋_GB2312" w:eastAsia="仿宋_GB2312"/>
          <w:sz w:val="32"/>
        </w:rPr>
        <w:t>（十四）贯彻落实国家关于鼓励发展城镇经济和少数民族特需用品生产的政策法规；指导监督少数民族特需用品生产企业依法经营。</w:t>
      </w:r>
    </w:p>
    <w:p>
      <w:pPr>
        <w:spacing w:line="580" w:lineRule="exact"/>
        <w:ind w:firstLine="640"/>
        <w:jc w:val="both"/>
      </w:pPr>
      <w:r>
        <w:rPr>
          <w:rFonts w:ascii="仿宋_GB2312" w:hAnsi="仿宋_GB2312" w:eastAsia="仿宋_GB2312"/>
          <w:sz w:val="32"/>
        </w:rPr>
        <w:t>（十五）完成自治州工业信息化局和自治州商务局以及特克斯县委、特克斯县人民政府交办的其他任务。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特克斯县商务和工业信息化局2024年度，实有人数54人，其中：在职人员27人，增加4人；离休人员0人，增加0人；退休人员27人,增加1人。</w:t>
      </w:r>
    </w:p>
    <w:p>
      <w:pPr>
        <w:spacing w:line="580" w:lineRule="exact"/>
        <w:ind w:firstLine="640"/>
        <w:jc w:val="both"/>
      </w:pPr>
      <w:r>
        <w:rPr>
          <w:rFonts w:ascii="仿宋_GB2312" w:hAnsi="仿宋_GB2312" w:eastAsia="仿宋_GB2312"/>
          <w:sz w:val="32"/>
        </w:rPr>
        <w:t>单位无下属预算单位，下设2个科室，分别是：办公室、综合业务科。。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2024年度收入总计488.97万元，</w:t>
      </w:r>
      <w:r>
        <w:rPr>
          <w:rFonts w:ascii="仿宋_GB2312" w:hAnsi="仿宋_GB2312" w:eastAsia="仿宋_GB2312"/>
          <w:b w:val="0"/>
          <w:sz w:val="32"/>
        </w:rPr>
        <w:t>其中：本年收入合计488.97万元，使用非财政拨款结余（含专用结余）0.00万元，年初结转和结余0.00万元。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2024年度支出总计488.97万元，</w:t>
      </w:r>
      <w:r>
        <w:rPr>
          <w:rFonts w:ascii="仿宋_GB2312" w:hAnsi="仿宋_GB2312" w:eastAsia="仿宋_GB2312"/>
          <w:b w:val="0"/>
          <w:sz w:val="32"/>
        </w:rPr>
        <w:t>其中：本年支出合计488.97万元，结余分配0.00万元，年末结转和结余0.00万元。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减少309.07万元，下降38.73%，主要原因是：本年对外贸易管理支出、非财政拨款招商引资项目、现代农牧业优势资源综合开发示范园项目等项目资金较上年减少。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本年收入488.97万元，</w:t>
      </w:r>
      <w:r>
        <w:rPr>
          <w:rFonts w:ascii="仿宋_GB2312" w:hAnsi="仿宋_GB2312" w:eastAsia="仿宋_GB2312"/>
          <w:b w:val="0"/>
          <w:sz w:val="32"/>
        </w:rPr>
        <w:t>其中：财政拨款收入428.94万元，占87.72%；上级补助收入0.00万元，占0.00%；事业收入0.00万元，占0.00%；经营收入0.00万元，占0.00%；附属单位上缴收入0.00万元，占0.00%；其他收入60.03万元，占12.28%。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本年支出488.97万元，</w:t>
      </w:r>
      <w:r>
        <w:rPr>
          <w:rFonts w:ascii="仿宋_GB2312" w:hAnsi="仿宋_GB2312" w:eastAsia="仿宋_GB2312"/>
          <w:b w:val="0"/>
          <w:sz w:val="32"/>
        </w:rPr>
        <w:t>其中：基本支出428.97万元，占87.73%；项目支出60.00万元，占12.27%；上缴上级支出0.00万元，占0.00%；经营支出0.00万元，占0.00%；对附属单位补助支出0.00万元，占0.00%。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2024年度财政拨款收入总计428.94万元，</w:t>
      </w:r>
      <w:r>
        <w:rPr>
          <w:rFonts w:ascii="仿宋_GB2312" w:hAnsi="仿宋_GB2312" w:eastAsia="仿宋_GB2312"/>
          <w:b w:val="0"/>
          <w:sz w:val="32"/>
        </w:rPr>
        <w:t>其中：年初财政拨款结转和结余0.00万元，本年财政拨款收入428.94万元。</w:t>
      </w:r>
      <w:r>
        <w:rPr>
          <w:rFonts w:ascii="仿宋_GB2312" w:hAnsi="仿宋_GB2312" w:eastAsia="仿宋_GB2312"/>
          <w:b/>
          <w:sz w:val="32"/>
        </w:rPr>
        <w:t>财政拨款支出总计428.94万元，</w:t>
      </w:r>
      <w:r>
        <w:rPr>
          <w:rFonts w:ascii="仿宋_GB2312" w:hAnsi="仿宋_GB2312" w:eastAsia="仿宋_GB2312"/>
          <w:b w:val="0"/>
          <w:sz w:val="32"/>
        </w:rPr>
        <w:t>其中：年末财政拨款结转和结余0.00万元，本年财政拨款支出428.94万元。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减少369.10万元，下降46.25%，主要原因是：本年对现代农牧业优势资源综合开发示范园项目等项目资金较上年减少。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年初预算数373.09万元，决算数428.94万元，预决算差异率14.97%，主要原因是：本年在职人员增加，年中追加人员经费及人员工资、社保、公积金基数调增部分资金，导致预决算存在差异。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2024年度一般公共预算财政拨款支出428.94万元，</w:t>
      </w:r>
      <w:r>
        <w:rPr>
          <w:rFonts w:ascii="仿宋_GB2312" w:hAnsi="仿宋_GB2312" w:eastAsia="仿宋_GB2312"/>
          <w:b w:val="0"/>
          <w:sz w:val="32"/>
        </w:rPr>
        <w:t>占本年支出合计的87.72%。</w:t>
      </w:r>
      <w:r>
        <w:rPr>
          <w:rFonts w:ascii="仿宋_GB2312" w:hAnsi="仿宋_GB2312" w:eastAsia="仿宋_GB2312"/>
          <w:b/>
          <w:sz w:val="32"/>
        </w:rPr>
        <w:t>与上年相比，</w:t>
      </w:r>
      <w:r>
        <w:rPr>
          <w:rFonts w:ascii="仿宋_GB2312" w:hAnsi="仿宋_GB2312" w:eastAsia="仿宋_GB2312"/>
          <w:b w:val="0"/>
          <w:sz w:val="32"/>
        </w:rPr>
        <w:t>减少369.10万元，下降46.25%，主要原因是：本年对现代农牧业优势资源综合开发示范园项目等项目资金较上年减少。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年初预算数373.09万元，决算数428.94万元，预决算差异率14.97%，主要原因是：本年在职人员增加，年中追加人员经费及人员工资、社保、公积金基数调增部分资金，导致预决算存在差异。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1.一般公共服务支出(类)302.82万元,占70.60%。</w:t>
      </w:r>
    </w:p>
    <w:p>
      <w:pPr>
        <w:spacing w:line="580" w:lineRule="exact"/>
        <w:ind w:firstLine="640"/>
        <w:jc w:val="both"/>
      </w:pPr>
      <w:r>
        <w:rPr>
          <w:rFonts w:ascii="仿宋_GB2312" w:hAnsi="仿宋_GB2312" w:eastAsia="仿宋_GB2312"/>
          <w:b w:val="0"/>
          <w:sz w:val="32"/>
        </w:rPr>
        <w:t>2.社会保障和就业支出(类)79.27万元,占18.48%。</w:t>
      </w:r>
    </w:p>
    <w:p>
      <w:pPr>
        <w:spacing w:line="580" w:lineRule="exact"/>
        <w:ind w:firstLine="640"/>
        <w:jc w:val="both"/>
      </w:pPr>
      <w:r>
        <w:rPr>
          <w:rFonts w:ascii="仿宋_GB2312" w:hAnsi="仿宋_GB2312" w:eastAsia="仿宋_GB2312"/>
          <w:b w:val="0"/>
          <w:sz w:val="32"/>
        </w:rPr>
        <w:t>3.卫生健康支出(类)16.81万元,占3.92%。</w:t>
      </w:r>
    </w:p>
    <w:p>
      <w:pPr>
        <w:spacing w:line="580" w:lineRule="exact"/>
        <w:ind w:firstLine="640"/>
        <w:jc w:val="both"/>
      </w:pPr>
      <w:r>
        <w:rPr>
          <w:rFonts w:ascii="仿宋_GB2312" w:hAnsi="仿宋_GB2312" w:eastAsia="仿宋_GB2312"/>
          <w:b w:val="0"/>
          <w:sz w:val="32"/>
        </w:rPr>
        <w:t>4.住房保障支出(类)30.04万元,占7.00%。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1.一般公共服务支出(类)商贸事务(款)行政运行(项):支出决算数为302.82万元，比上年决算增加37.83万元，增长14.28%,主要原因是：本年新增在职人员，人员经费增加，导致经费较上年有所增加。</w:t>
      </w:r>
    </w:p>
    <w:p>
      <w:pPr>
        <w:spacing w:line="580" w:lineRule="exact"/>
        <w:ind w:firstLine="640"/>
        <w:jc w:val="both"/>
      </w:pPr>
      <w:r>
        <w:rPr>
          <w:rFonts w:ascii="仿宋_GB2312" w:hAnsi="仿宋_GB2312" w:eastAsia="仿宋_GB2312"/>
          <w:b w:val="0"/>
          <w:sz w:val="32"/>
        </w:rPr>
        <w:t>2.一般公共服务支出(类)商贸事务(款)对外贸易管理(项):支出决算数为0.00万元，比上年决算减少10.00万元，下降100.00%,主要原因是：因工作安排，对外贸易管理举办亚欧博览会和哈洽会项目支出减少。</w:t>
      </w:r>
    </w:p>
    <w:p>
      <w:pPr>
        <w:spacing w:line="580" w:lineRule="exact"/>
        <w:ind w:firstLine="640"/>
        <w:jc w:val="both"/>
      </w:pPr>
      <w:r>
        <w:rPr>
          <w:rFonts w:ascii="仿宋_GB2312" w:hAnsi="仿宋_GB2312" w:eastAsia="仿宋_GB2312"/>
          <w:b w:val="0"/>
          <w:sz w:val="32"/>
        </w:rPr>
        <w:t>3.一般公共服务支出(类)商贸事务(款)招商引资(项):支出决算数为0.00万元，比上年决算减少60.00万元，下降100.00%,主要原因是：本年未安排招商引资活动项目。</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38.81万元，比上年决算增加6.41万元，增长19.78%,主要原因是：因工作安排，本年在职人员增加，养老保险缴费较上年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5.社会保障和就业支出(类)行政事业单位养老支出(款)机关事业单位职业年金缴费支出(项):支出决算数为15.87万元，比上年决算增加10.12万元，增长176.00%,主要原因是：本年新增退休人员，职业年金缴费支出增加。</w:t>
      </w:r>
    </w:p>
    <w:p>
      <w:pPr>
        <w:spacing w:line="580" w:lineRule="exact"/>
        <w:ind w:firstLine="640"/>
        <w:jc w:val="both"/>
      </w:pPr>
      <w:r>
        <w:rPr>
          <w:rFonts w:ascii="仿宋_GB2312" w:hAnsi="仿宋_GB2312" w:eastAsia="仿宋_GB2312"/>
          <w:b w:val="0"/>
          <w:sz w:val="32"/>
        </w:rPr>
        <w:t>6.社会保障和就业支出(类)抚恤(款)死亡抚恤(项):支出决算数为24.59万元，比上年决算增加3.71万元，增长17.77%,主要原因是：本年新增死亡人员较上年增加，死亡抚恤支出增加。</w:t>
      </w:r>
    </w:p>
    <w:p>
      <w:pPr>
        <w:spacing w:line="580" w:lineRule="exact"/>
        <w:ind w:firstLine="640"/>
        <w:jc w:val="both"/>
      </w:pPr>
      <w:r>
        <w:rPr>
          <w:rFonts w:ascii="仿宋_GB2312" w:hAnsi="仿宋_GB2312" w:eastAsia="仿宋_GB2312"/>
          <w:b w:val="0"/>
          <w:sz w:val="32"/>
        </w:rPr>
        <w:t>7.卫生健康支出(类)行政事业单位医疗(款)行政单位医疗(项):支出决算数为10.33万元，比上年决算减少1.62万元，下降13.56%,主要原因是：本年在职人员调入调出，人员职级不同，缴费基数不同，导致行政单位医疗较上年减少。</w:t>
      </w:r>
    </w:p>
    <w:p>
      <w:pPr>
        <w:spacing w:line="580" w:lineRule="exact"/>
        <w:ind w:firstLine="640"/>
        <w:jc w:val="both"/>
      </w:pPr>
      <w:r>
        <w:rPr>
          <w:rFonts w:ascii="仿宋_GB2312" w:hAnsi="仿宋_GB2312" w:eastAsia="仿宋_GB2312"/>
          <w:b w:val="0"/>
          <w:sz w:val="32"/>
        </w:rPr>
        <w:t>8.卫生健康支出(类)行政事业单位医疗(款)事业单位医疗(项):支出决算数为5.88万元，比上年决算增加1.80万元，增长44.12%,主要原因是：因工作安排，本年在职人员增加，事业单位医疗支出较上年增加。</w:t>
      </w:r>
    </w:p>
    <w:p>
      <w:pPr>
        <w:spacing w:line="580" w:lineRule="exact"/>
        <w:ind w:firstLine="640"/>
        <w:jc w:val="both"/>
      </w:pPr>
      <w:r>
        <w:rPr>
          <w:rFonts w:ascii="仿宋_GB2312" w:hAnsi="仿宋_GB2312" w:eastAsia="仿宋_GB2312"/>
          <w:b w:val="0"/>
          <w:sz w:val="32"/>
        </w:rPr>
        <w:t>9.卫生健康支出(类)行政事业单位医疗(款)公务员医疗补助(项):支出决算数为0.32万元，比上年决算减少0.18万元，下降36.00%,主要原因是：本年在职人员调入调出，人员职级不同，缴费基数不同，导致公务员医疗补助较上年减少。</w:t>
      </w:r>
    </w:p>
    <w:p>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0.29万元，比上年决算减少0.10万元，下降25.64%,主要原因是：本年在职人员调入调出，人员职级不同，缴费基数不同，导致其他行政事业单位医疗较上年减少。</w:t>
      </w:r>
    </w:p>
    <w:p>
      <w:pPr>
        <w:spacing w:line="580" w:lineRule="exact"/>
        <w:ind w:firstLine="640"/>
        <w:jc w:val="both"/>
      </w:pPr>
      <w:r>
        <w:rPr>
          <w:rFonts w:ascii="仿宋_GB2312" w:hAnsi="仿宋_GB2312" w:eastAsia="仿宋_GB2312"/>
          <w:b w:val="0"/>
          <w:sz w:val="32"/>
        </w:rPr>
        <w:t>11.节能环保支出(类)自然生态保护(款)其他自然生态保护支出(项):支出决算数为0.00万元，比上年决算减少42.20万元，下降100.00%,主要原因是：本年减少现代农牧业优势资源综合开发示范园项目资金支出。</w:t>
      </w:r>
    </w:p>
    <w:p>
      <w:pPr>
        <w:spacing w:line="580" w:lineRule="exact"/>
        <w:ind w:firstLine="640"/>
        <w:jc w:val="both"/>
      </w:pPr>
      <w:r>
        <w:rPr>
          <w:rFonts w:ascii="仿宋_GB2312" w:hAnsi="仿宋_GB2312" w:eastAsia="仿宋_GB2312"/>
          <w:b w:val="0"/>
          <w:sz w:val="32"/>
        </w:rPr>
        <w:t>12.农林水支出(类)巩固脱贫攻坚成果衔接乡村振兴(款)生产发展(项):支出决算数为0.00万元，比上年决算减少199.10万元，下降100.00%,主要原因是：本年因工作安排，减少农副产品加工园一期项目资金支出。</w:t>
      </w:r>
    </w:p>
    <w:p>
      <w:pPr>
        <w:spacing w:line="580" w:lineRule="exact"/>
        <w:ind w:firstLine="640"/>
        <w:jc w:val="both"/>
      </w:pPr>
      <w:r>
        <w:rPr>
          <w:rFonts w:ascii="仿宋_GB2312" w:hAnsi="仿宋_GB2312" w:eastAsia="仿宋_GB2312"/>
          <w:b w:val="0"/>
          <w:sz w:val="32"/>
        </w:rPr>
        <w:t>13.资源勘探工业信息等支出(类)工业和信息产业监管(款)产业发展(项):支出决算数为0.00万元，比上年决算减少47.50万元，下降100.00%,主要原因是：本年因工作安排，减少有色金属产业园项目支出。</w:t>
      </w:r>
    </w:p>
    <w:p>
      <w:pPr>
        <w:spacing w:line="580" w:lineRule="exact"/>
        <w:ind w:firstLine="640"/>
        <w:jc w:val="both"/>
      </w:pPr>
      <w:r>
        <w:rPr>
          <w:rFonts w:ascii="仿宋_GB2312" w:hAnsi="仿宋_GB2312" w:eastAsia="仿宋_GB2312"/>
          <w:b w:val="0"/>
          <w:sz w:val="32"/>
        </w:rPr>
        <w:t>14.商业服务业等支出(类)涉外发展服务支出(款)其他涉外发展服务支出(项):支出决算数为0.00万元，比上年决算减少72.85万元，下降100.00%,主要原因是：本年因工作安排，减少州级商贸服务产业发展专项资金支出。</w:t>
      </w:r>
    </w:p>
    <w:p>
      <w:pPr>
        <w:spacing w:line="580" w:lineRule="exact"/>
        <w:ind w:firstLine="640"/>
        <w:jc w:val="both"/>
      </w:pPr>
      <w:r>
        <w:rPr>
          <w:rFonts w:ascii="仿宋_GB2312" w:hAnsi="仿宋_GB2312" w:eastAsia="仿宋_GB2312"/>
          <w:b w:val="0"/>
          <w:sz w:val="32"/>
        </w:rPr>
        <w:t>15.住房保障支出(类)住房改革支出(款)住房公积金(项):支出决算数为30.04万元，比上年决算增加4.61万元，增长18.13%,主要原因是：本年在职人员增加，住房公积金支出较上年增加。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2024年度一般公共预算财政拨款基本支出428.94万元，其中：</w:t>
      </w:r>
      <w:r>
        <w:rPr>
          <w:rFonts w:ascii="仿宋_GB2312" w:hAnsi="仿宋_GB2312" w:eastAsia="仿宋_GB2312"/>
          <w:b/>
          <w:sz w:val="32"/>
        </w:rPr>
        <w:t>人员经费424.60万元，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pPr>
        <w:spacing w:line="580" w:lineRule="exact"/>
        <w:ind w:firstLine="640"/>
        <w:jc w:val="both"/>
      </w:pPr>
      <w:r>
        <w:rPr>
          <w:rFonts w:ascii="仿宋_GB2312" w:hAnsi="仿宋_GB2312" w:eastAsia="仿宋_GB2312"/>
          <w:b/>
          <w:sz w:val="32"/>
        </w:rPr>
        <w:t>公用经费4.34万元，</w:t>
      </w:r>
      <w:r>
        <w:rPr>
          <w:rFonts w:ascii="仿宋_GB2312" w:hAnsi="仿宋_GB2312" w:eastAsia="仿宋_GB2312"/>
          <w:b w:val="0"/>
          <w:sz w:val="32"/>
        </w:rPr>
        <w:t>包括：办公费、邮电费、差旅费、工会经费、公务用车运行维护费。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2024年度财政拨款“三公”经费支出0.80万元，</w:t>
      </w:r>
      <w:r>
        <w:rPr>
          <w:rFonts w:ascii="仿宋_GB2312" w:hAnsi="仿宋_GB2312" w:eastAsia="仿宋_GB2312"/>
          <w:b w:val="0"/>
          <w:sz w:val="32"/>
        </w:rPr>
        <w:t>比上年增加0.00万元，增长0.00%，主要原因是：我单位“三公”经费与上年一致无变化。</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公务用车购置及运行维护费支出0.80万元，占100.00%，比上年增加0.00万元，增长0.00%，主要原因是：我单位公务用车运行维护费与上年一致无变化。</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0.80万元，决算数0.80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商务和工业信息化局（行政单位和参照公务员法管理事业单位）机关运行经费支出4.34万元，比上年减少0.22万元，下降4.82%，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2024年度政府采购支出总额200.94万元，其中：政府采购货物支出25.70万元、政府采购工程支出0.00万元、政府采购服务支出175.23万元。</w:t>
      </w:r>
    </w:p>
    <w:p>
      <w:pPr>
        <w:spacing w:line="580" w:lineRule="exact"/>
        <w:ind w:firstLine="640"/>
        <w:jc w:val="both"/>
      </w:pPr>
      <w:r>
        <w:rPr>
          <w:rFonts w:ascii="仿宋_GB2312" w:hAnsi="仿宋_GB2312" w:eastAsia="仿宋_GB2312"/>
          <w:b w:val="0"/>
          <w:sz w:val="32"/>
        </w:rPr>
        <w:t>授予中小企业合同金额128.64万元，占政府采购支出总额的64.02%，其中：授予小微企业合同金额128.64万元，占政府采购支出总额的64.02%。</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3辆，价值66.19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488.97万元，实际执行总额488.97万元；预算绩效评价项目4个，全年预算数201.40万元，全年执行数201.40万元。预算绩效管理取得的成效：一是哈斯克斯坦——中国商品展览会是商务部、自治区人民政府、兵团共同举办的展会。自2004年起已连续举办18届，规模不断扩大，内容日益丰富，在中亚地区已具有较高知名度，逐渐成为中国特别是新疆同哈萨克斯坦乃至中亚其他国家经贸合作的重要对话交流平台；二是项目的建设，对促进社会经济发展起着较大的推动作用，社会效益显著；三是项目服务的满意程度已成为广大就业者和企业最关心最直接最现实的利益问题。该项目实施后，对于优化伊犁州经济结构、增加就业岗位、扩大就业规模，推动新疆各族群众稳定就业、加快推进新型城镇化进程，促进新疆社会稳定和长治久安具有重要意义。发现的问题及原因：一是以分组“一对一”洽谈的形势开展，会前开展撮合和精准匹配工作，确保现场双方企业精准磋商，会后开展跟踪服务，切实推动我县与哈方企业务实合作力度欠缺；二是当前特克斯矿产资源开发利用仍处于产业链的中低端，难以获得合理利润；原创性成果不多，科技成果转化和新技术推广率低；关键新材料开发能力不足，难以支撑新兴产业发展，仍需不断通过科技创新提升产品附加值，提高精深加工水平，鼓励业态创新和模式创新，推广个性化定制、柔性化制造，满足多样化、多层次需求。下一步改进措施：一是各参展企业单位要进一步明确任务分工，细化工作台账，倒排工期，靠前发力。畅通沟通机制，加强协调配合，及时协调解决出现的问题，确保各项工作有着落，共同做好参会组织工作；二是严格执行国家、自治区及伊犁州有关法律、政策及技术管理规定的要求设计和施工；三有色金属循环经济产业园建设对于特克斯县经济发展、产业结构调整、经济转型、自主创新等都具有十分重要的意义；四是科学、严格按照项目《预算法》执行，是项目顺利实施的根本保证，因此，项目建设要严格执行法人责任制、招投标制、工程监理制、合同管理制。工程建设中应多听取有关专家的意见和建议，有关论证、设计、监理、施工要紧密配合，对于建设过程中出现的问题，应用科学的方法进行分析、比较、论证。在设计、监理和施工中，采用合理、可行、有效的技术手段，严格执行《中华人民共和国招投标法》和《新疆维吾尔族自治区实施〈中华人民共和国招标投标法〉办法》；五是本项目社会效益良好，建议相关部门紧密配合实施本项工程，加快项目立项批复及相关手续办理，为项目实施创造各项建设条件，以保证项目按期完成，发挥其应有的社会效益。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特克斯县商务和工业信息化局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428.39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428.39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488.97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488.97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368.39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368.39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428.94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428.94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60.03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60.03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2024年，贯彻落实有关商务流通、工业信息化、招商引资方面的法律、法规和方针政策；一是制定实施符合特克斯县实际的商务流通、工业信息化、招商引资计划。二是监测分析特克斯县工业经济运行态势；三是统计并发布相关信息，进行预测预警和信息指导；四是协调解决工业经济运行中的重大问题并提出政策建议；五是有关工业和信息化技术改造投资的政策措施；六是研究和规划技术改造项目投资方向和布局；七是负责推进信息化工作；贯彻执行规范市场运行、流通秩序的政策，推动商务领域信用建设；八是按有关规定对特殊流通行业进行监督管理。</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全年实地来特考察企业177家，接洽考察企业172家，对接投资意向企业99家。完成全年目标任务的100%。引进外贸企业1家，组织外贸进出口企业参加“亚博会”等国际展洽活动3次。024年社会消费品零售总额完成17.9亿元，增速10%。全年走访在库企业100余次，完成共9家企业入库，递交2025年8家企业入库申报资料。全年举办综合展销会3次，共销售车辆34辆、家电62台、加油充值卡92张，累计销售金额达605.66万元。2024年已完成“企升规”3家，清理拖欠中小企业账款累计清偿1622.1万元，清偿率93.9%，受理企业投诉问题线索共17条，办结率100%。</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规模以上工业企业实现工业增加值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10.9亿元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特克斯县商务工信局2023年工作总结及2024年预计目标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10.9亿元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外贸进出口总额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2亿元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特克斯县商务工信局2023年工作总结及2024年预计目标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2亿元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社会消费品零售总额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17.9亿元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特克斯县商务工信局2023年工作总结及2024年预计目标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17.9亿元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完成全年招商引资</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52.03亿元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特克斯县商务工信局2023年工作总结及2024年预计目标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52.03亿元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22.5</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产业招商图谱编制及委托招商服务项目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特克斯县商务和工业信息化局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特克斯县商务和工业信息化局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产业基地调研分析、产业链全景图、产业空间布局图、项目机会清单、招商目标企业清单、招商落地保障措施。农产品精深加工:黑小麦、食用菌、特色林果（吊干杏、苹果）、中草药（黄芪、党参等）、有机畜牧（哈萨克斯羊、褐牛）、有机蔬菜等精深加工。策划编写后形成《新疆特克斯县农副产品加工产业招商图谱》；提交形势为PDF(PPT版)。</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产业基地调研分析、产业链全景图、产业空间布局图、项目机会清单、招商目标企业清单、招商落地保障措施。农产品精深加工:黑小麦、食用菌、特色林果（吊干杏、苹果）、中草药（黄芪、党参等）、有机畜牧（哈萨克斯羊、褐牛）、有机蔬菜等精深加工。策划编写后形成《新疆特克斯县农副产品加工产业招商图谱》；提交形势为PDF(PPT版)。</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招商意向投资企业数量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提供《新疆特克斯县农副产品加工产业招商图谱》次数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产业招商项目完成率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招商图谱质量验收合格率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产业招商项目按时完成率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招商图谱费用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提供招商引资有效企业信息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产业招商推介项目资金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特克斯县商务和工业信息化局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特克斯县商务和工业信息化局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特克斯县计划完成招商引资任务47.15亿元、实现同比增速15%以上。聚焦自治区、州党委“八大产业集群”为支撑的现代产业体系，立足特克斯县文旅资源、生态环境以及绿色农牧业等优势延链补链，以“五大产业链”“六大园区”建设为契机，精心包装招商项目，靶向招引农牧业全产业链、特色农作物产业优质项目，推动特色农牧业资源优势向产品产值提升转化；依托八卦城、喀拉峻、琼库什台三张名片和五大景区打造，精准谋划全域旅游产业、康养产业、文创产业等项目招商，推动特色文化旅游资源优势向旅游消费产业发展转化。</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围绕农牧业全产业链及精深加工、文化旅游、康养医疗、六大园区建设、城市基础设施提升改造等重点项目，认真梳理重点区域，锁定龙头企业、知名民营企业，对已有招商线索或投资意向的企业，广泛宣传特克斯、推介特克斯，采取登门拜访、举办招商推介会、座谈会等方式，全方位开展招商引资工作，加大对接力度，力争促成一批投资规模大、带动作用强的项目落地。力争全年实施项目42个，5亿以上项目6个，超额完成州上下达44亿元（增速20%）的招商引资任务。</w:t>
              <w:br/>
              <w:t>全年执行率：</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招商引资活动举办场次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洽谈项目签约数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招商引资任务完成率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外出活动经费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提高我县营商环境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入驻企业满意度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伊犁州特克斯县现代农牧业优势资源综合开发示范园项目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特克斯县商务和工业信息化局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特克斯县商务和工业信息化局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41.40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41.40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41.40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41.40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41.40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41.40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项目占地1330.60亩，包括道路、给排水管网、供电、电信等基础设施的建设；新建标准化厂房及仓库建筑面积约86200平方米；新建园区企业服务配套用房约25048平方米。以农产品加工园区为载体，构建农村一二三产业融合发展体系，打造集品种培育、基地建设、加工转化、技术研发、现代物流、营销平台为一体的农产品加工园区，延长产业链、提升价值链、完善利益链，推动农产品加工业与农村其它产业深度融合。</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一是通过建设配套完善的农副产品加工厂房，在项目建成后能为当地提供就业岗位近50个以上，带动增加脱贫人口全年总收入约3万元/年。二是本项目的建设可有效拉动和促进特克斯县农产品加工的发展，形成可持续发展的势态，加速支柱产业的确立和形成，提高产品的市场竞争力。三是本项目建设关联度大，产业链长的产业，可多方面带动地方经济发展，同时，本项目的实施活跃了城、县、乡、场经济，从而改变项目区贫穷落后的面貌，广开了地方财政收入门路，地方经济的发展必将带动地方农副产品加工产业的发展，可间接带动贫困户脱贫。</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水土保持总面积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工程验收合格率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项目开工时间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项目完工时间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每平方米水土保持补偿费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带动增加脱贫人口全年总收入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受益脱贫人口数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增加就业岗位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入驻企业满意度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外出招商引资项目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特克斯县商务和工业信息化局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特克斯县商务和工业信息化局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2024年外出招商引资实施方案。促进地方经济增长。招商引资能有效带动财政收入的增加，促进我县财政的增长，实现了招商引资扩大与财政收入增加良性互动。持续优化营商环境、创新招商方式。实行招商引资项目手续代办，提前介入、联审联批，提高效率，切实为企业提供优质服务，提升企业落地投产信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特克斯县计划完成招商引资任务47.15亿元、实现同比增速15%以上。聚焦自治区、州党委“八大产业集群”为支撑的现代产业体系，立足特克斯县文旅资源、生态环境以及绿色农牧业等优势延链补链，以“五大产业链”“六大园区”建设为契机，精心包装招商项目，靶向招引农牧业全产业链、特色农作物产业优质项目，推动特色农牧业资源优势向产品产值提升转化；依托八卦城、喀拉峻、琼库什台三张名片和五大景区打造，精准谋划全域旅游产业、康养产业、文创产业等项目招商，推动特色文化旅游资源优势向旅游消费产业发展转化。</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外出招商活动天数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签单接待次数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商务洽谈活动赴外完成及时性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项目资金到位及时性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差旅费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交通费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提高我县招商营商环境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全县外出招商引资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&gt;=30亿</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入驻企业满意度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