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1044" w:firstLineChars="200"/>
        <w:jc w:val="center"/>
        <w:rPr>
          <w:rFonts w:hint="default" w:ascii="Times New Roman" w:hAnsi="Times New Roman" w:eastAsia="华文中宋" w:cs="Times New Roman"/>
          <w:b/>
          <w:kern w:val="0"/>
          <w:sz w:val="52"/>
          <w:szCs w:val="52"/>
        </w:rPr>
      </w:pPr>
    </w:p>
    <w:p>
      <w:pPr>
        <w:pageBreakBefore w:val="0"/>
        <w:kinsoku/>
        <w:wordWrap/>
        <w:overflowPunct/>
        <w:topLinePunct w:val="0"/>
        <w:autoSpaceDE/>
        <w:autoSpaceDN/>
        <w:bidi w:val="0"/>
        <w:adjustRightInd/>
        <w:snapToGrid/>
        <w:spacing w:line="560" w:lineRule="exact"/>
        <w:ind w:firstLine="1044" w:firstLineChars="200"/>
        <w:rPr>
          <w:rFonts w:hint="default" w:ascii="Times New Roman" w:hAnsi="Times New Roman" w:eastAsia="华文中宋" w:cs="Times New Roman"/>
          <w:b/>
          <w:kern w:val="0"/>
          <w:sz w:val="52"/>
          <w:szCs w:val="52"/>
        </w:rPr>
      </w:pPr>
    </w:p>
    <w:p>
      <w:pPr>
        <w:pageBreakBefore w:val="0"/>
        <w:kinsoku/>
        <w:wordWrap/>
        <w:overflowPunct/>
        <w:topLinePunct w:val="0"/>
        <w:autoSpaceDE/>
        <w:autoSpaceDN/>
        <w:bidi w:val="0"/>
        <w:adjustRightInd/>
        <w:snapToGrid/>
        <w:spacing w:line="560" w:lineRule="exact"/>
        <w:jc w:val="both"/>
        <w:rPr>
          <w:rFonts w:hint="default" w:ascii="Times New Roman" w:hAnsi="Times New Roman" w:eastAsia="华文中宋" w:cs="Times New Roman"/>
          <w:b/>
          <w:kern w:val="0"/>
          <w:sz w:val="52"/>
          <w:szCs w:val="52"/>
        </w:rPr>
      </w:pPr>
    </w:p>
    <w:p>
      <w:pPr>
        <w:pageBreakBefore w:val="0"/>
        <w:kinsoku/>
        <w:wordWrap/>
        <w:overflowPunct/>
        <w:topLinePunct w:val="0"/>
        <w:autoSpaceDE/>
        <w:autoSpaceDN/>
        <w:bidi w:val="0"/>
        <w:adjustRightInd/>
        <w:snapToGrid/>
        <w:spacing w:line="560" w:lineRule="exact"/>
        <w:ind w:firstLine="1044" w:firstLineChars="200"/>
        <w:jc w:val="center"/>
        <w:rPr>
          <w:rFonts w:hint="default" w:ascii="Times New Roman" w:hAnsi="Times New Roman" w:eastAsia="华文中宋" w:cs="Times New Roman"/>
          <w:b/>
          <w:kern w:val="0"/>
          <w:sz w:val="52"/>
          <w:szCs w:val="52"/>
        </w:rPr>
      </w:pPr>
    </w:p>
    <w:p>
      <w:pPr>
        <w:pageBreakBefore w:val="0"/>
        <w:kinsoku/>
        <w:wordWrap/>
        <w:overflowPunct/>
        <w:topLinePunct w:val="0"/>
        <w:autoSpaceDE/>
        <w:autoSpaceDN/>
        <w:bidi w:val="0"/>
        <w:adjustRightInd/>
        <w:snapToGrid/>
        <w:spacing w:line="56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伊犁州特克斯县</w:t>
      </w:r>
      <w:r>
        <w:rPr>
          <w:rFonts w:hint="eastAsia" w:ascii="方正小标宋简体" w:hAnsi="方正小标宋简体" w:eastAsia="方正小标宋简体" w:cs="方正小标宋简体"/>
          <w:kern w:val="0"/>
          <w:sz w:val="44"/>
          <w:szCs w:val="44"/>
          <w:lang w:eastAsia="zh-CN"/>
        </w:rPr>
        <w:t>呼吉尔特蒙古族乡</w:t>
      </w:r>
      <w:r>
        <w:rPr>
          <w:rFonts w:hint="eastAsia" w:ascii="方正小标宋简体" w:hAnsi="方正小标宋简体" w:eastAsia="方正小标宋简体" w:cs="方正小标宋简体"/>
          <w:kern w:val="0"/>
          <w:sz w:val="44"/>
          <w:szCs w:val="44"/>
        </w:rPr>
        <w:t>牧民</w:t>
      </w:r>
    </w:p>
    <w:p>
      <w:pPr>
        <w:pageBreakBefore w:val="0"/>
        <w:kinsoku/>
        <w:wordWrap/>
        <w:overflowPunct/>
        <w:topLinePunct w:val="0"/>
        <w:autoSpaceDE/>
        <w:autoSpaceDN/>
        <w:bidi w:val="0"/>
        <w:adjustRightInd/>
        <w:snapToGrid/>
        <w:spacing w:line="56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越冬放牧点生产用房（居住）建设项目</w:t>
      </w:r>
    </w:p>
    <w:p>
      <w:pPr>
        <w:pageBreakBefore w:val="0"/>
        <w:kinsoku/>
        <w:wordWrap/>
        <w:overflowPunct/>
        <w:topLinePunct w:val="0"/>
        <w:autoSpaceDE/>
        <w:autoSpaceDN/>
        <w:bidi w:val="0"/>
        <w:adjustRightInd/>
        <w:snapToGrid/>
        <w:spacing w:line="56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支出绩效评价报告</w:t>
      </w:r>
    </w:p>
    <w:p>
      <w:pPr>
        <w:pageBreakBefore w:val="0"/>
        <w:kinsoku/>
        <w:wordWrap/>
        <w:overflowPunct/>
        <w:topLinePunct w:val="0"/>
        <w:autoSpaceDE/>
        <w:autoSpaceDN/>
        <w:bidi w:val="0"/>
        <w:adjustRightInd/>
        <w:snapToGrid/>
        <w:spacing w:line="560" w:lineRule="exact"/>
        <w:ind w:firstLine="1044" w:firstLineChars="200"/>
        <w:jc w:val="center"/>
        <w:rPr>
          <w:rFonts w:hint="default" w:ascii="Times New Roman" w:hAnsi="Times New Roman" w:eastAsia="华文中宋" w:cs="Times New Roman"/>
          <w:b/>
          <w:kern w:val="0"/>
          <w:sz w:val="52"/>
          <w:szCs w:val="52"/>
        </w:rPr>
      </w:pPr>
    </w:p>
    <w:p>
      <w:pPr>
        <w:pageBreakBefore w:val="0"/>
        <w:kinsoku/>
        <w:wordWrap/>
        <w:overflowPunct/>
        <w:topLinePunct w:val="0"/>
        <w:autoSpaceDE/>
        <w:autoSpaceDN/>
        <w:bidi w:val="0"/>
        <w:adjustRightInd/>
        <w:snapToGrid/>
        <w:spacing w:line="560" w:lineRule="exact"/>
        <w:ind w:firstLine="720" w:firstLineChars="200"/>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pageBreakBefore w:val="0"/>
        <w:kinsoku/>
        <w:wordWrap/>
        <w:overflowPunct/>
        <w:topLinePunct w:val="0"/>
        <w:autoSpaceDE/>
        <w:autoSpaceDN/>
        <w:bidi w:val="0"/>
        <w:adjustRightInd/>
        <w:snapToGrid/>
        <w:spacing w:line="560" w:lineRule="exact"/>
        <w:ind w:firstLine="600" w:firstLineChars="200"/>
        <w:jc w:val="center"/>
        <w:rPr>
          <w:rFonts w:hint="default" w:ascii="Times New Roman" w:hAnsi="Times New Roman" w:eastAsia="仿宋_GB2312" w:cs="Times New Roman"/>
          <w:kern w:val="0"/>
          <w:sz w:val="30"/>
          <w:szCs w:val="30"/>
        </w:rPr>
      </w:pPr>
    </w:p>
    <w:p>
      <w:pPr>
        <w:pageBreakBefore w:val="0"/>
        <w:kinsoku/>
        <w:wordWrap/>
        <w:overflowPunct/>
        <w:topLinePunct w:val="0"/>
        <w:autoSpaceDE/>
        <w:autoSpaceDN/>
        <w:bidi w:val="0"/>
        <w:adjustRightInd/>
        <w:snapToGrid/>
        <w:spacing w:line="560" w:lineRule="exact"/>
        <w:ind w:firstLine="600" w:firstLineChars="200"/>
        <w:jc w:val="center"/>
        <w:rPr>
          <w:rFonts w:hint="default" w:ascii="Times New Roman" w:hAnsi="Times New Roman" w:eastAsia="仿宋_GB2312" w:cs="Times New Roman"/>
          <w:kern w:val="0"/>
          <w:sz w:val="30"/>
          <w:szCs w:val="30"/>
        </w:rPr>
      </w:pPr>
    </w:p>
    <w:p>
      <w:pPr>
        <w:pageBreakBefore w:val="0"/>
        <w:kinsoku/>
        <w:wordWrap/>
        <w:overflowPunct/>
        <w:topLinePunct w:val="0"/>
        <w:autoSpaceDE/>
        <w:autoSpaceDN/>
        <w:bidi w:val="0"/>
        <w:adjustRightInd/>
        <w:snapToGrid/>
        <w:spacing w:line="560" w:lineRule="exact"/>
        <w:ind w:firstLine="600" w:firstLineChars="200"/>
        <w:jc w:val="center"/>
        <w:rPr>
          <w:rFonts w:hint="default" w:ascii="Times New Roman" w:hAnsi="Times New Roman" w:eastAsia="仿宋_GB2312" w:cs="Times New Roman"/>
          <w:kern w:val="0"/>
          <w:sz w:val="30"/>
          <w:szCs w:val="30"/>
        </w:rPr>
      </w:pPr>
    </w:p>
    <w:p>
      <w:pPr>
        <w:pStyle w:val="12"/>
        <w:pageBreakBefore w:val="0"/>
        <w:kinsoku/>
        <w:wordWrap/>
        <w:overflowPunct/>
        <w:topLinePunct w:val="0"/>
        <w:autoSpaceDE/>
        <w:autoSpaceDN/>
        <w:bidi w:val="0"/>
        <w:adjustRightInd/>
        <w:snapToGrid/>
        <w:spacing w:before="0" w:after="0" w:line="560" w:lineRule="exact"/>
        <w:ind w:firstLine="643" w:firstLineChars="200"/>
        <w:rPr>
          <w:rFonts w:hint="default" w:ascii="Times New Roman" w:hAnsi="Times New Roman" w:cs="Times New Roman"/>
        </w:rPr>
      </w:pPr>
    </w:p>
    <w:p>
      <w:pPr>
        <w:pageBreakBefore w:val="0"/>
        <w:kinsoku/>
        <w:wordWrap/>
        <w:overflowPunct/>
        <w:topLinePunct w:val="0"/>
        <w:autoSpaceDE/>
        <w:autoSpaceDN/>
        <w:bidi w:val="0"/>
        <w:adjustRightInd/>
        <w:snapToGrid/>
        <w:spacing w:line="560" w:lineRule="exact"/>
        <w:ind w:firstLine="600" w:firstLineChars="200"/>
        <w:jc w:val="center"/>
        <w:rPr>
          <w:rFonts w:hint="default" w:ascii="Times New Roman" w:hAnsi="Times New Roman" w:eastAsia="仿宋_GB2312" w:cs="Times New Roman"/>
          <w:kern w:val="0"/>
          <w:sz w:val="30"/>
          <w:szCs w:val="30"/>
        </w:rPr>
      </w:pPr>
    </w:p>
    <w:p>
      <w:pPr>
        <w:pageBreakBefore w:val="0"/>
        <w:kinsoku/>
        <w:wordWrap/>
        <w:overflowPunct/>
        <w:topLinePunct w:val="0"/>
        <w:autoSpaceDE/>
        <w:autoSpaceDN/>
        <w:bidi w:val="0"/>
        <w:adjustRightInd/>
        <w:snapToGrid/>
        <w:spacing w:line="560" w:lineRule="exact"/>
        <w:ind w:firstLine="600" w:firstLineChars="200"/>
        <w:rPr>
          <w:rFonts w:hint="default" w:ascii="Times New Roman" w:hAnsi="Times New Roman" w:eastAsia="仿宋_GB2312" w:cs="Times New Roman"/>
          <w:kern w:val="0"/>
          <w:sz w:val="30"/>
          <w:szCs w:val="30"/>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2238" w:leftChars="304" w:right="0" w:hanging="1600" w:hangingChars="5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kern w:val="0"/>
          <w:sz w:val="32"/>
          <w:szCs w:val="32"/>
        </w:rPr>
        <w:t>项目名称：</w:t>
      </w:r>
      <w:r>
        <w:rPr>
          <w:rFonts w:hint="eastAsia" w:ascii="仿宋_GB2312" w:hAnsi="仿宋_GB2312" w:eastAsia="仿宋_GB2312" w:cs="仿宋_GB2312"/>
          <w:b w:val="0"/>
          <w:bCs/>
          <w:i w:val="0"/>
          <w:caps w:val="0"/>
          <w:color w:val="333333"/>
          <w:spacing w:val="0"/>
          <w:sz w:val="32"/>
          <w:szCs w:val="32"/>
        </w:rPr>
        <w:t>伊州财建</w:t>
      </w:r>
      <w:r>
        <w:rPr>
          <w:rFonts w:hint="eastAsia" w:ascii="宋体" w:hAnsi="宋体" w:eastAsia="宋体" w:cs="宋体"/>
          <w:b w:val="0"/>
          <w:bCs/>
          <w:i w:val="0"/>
          <w:caps w:val="0"/>
          <w:color w:val="333333"/>
          <w:spacing w:val="0"/>
          <w:sz w:val="32"/>
          <w:szCs w:val="32"/>
        </w:rPr>
        <w:t>〔</w:t>
      </w:r>
      <w:r>
        <w:rPr>
          <w:rFonts w:hint="eastAsia" w:ascii="仿宋_GB2312" w:hAnsi="仿宋_GB2312" w:eastAsia="仿宋_GB2312" w:cs="仿宋_GB2312"/>
          <w:b w:val="0"/>
          <w:bCs/>
          <w:i w:val="0"/>
          <w:caps w:val="0"/>
          <w:color w:val="333333"/>
          <w:spacing w:val="0"/>
          <w:sz w:val="32"/>
          <w:szCs w:val="32"/>
        </w:rPr>
        <w:t>2024</w:t>
      </w:r>
      <w:r>
        <w:rPr>
          <w:rFonts w:hint="eastAsia" w:ascii="宋体" w:hAnsi="宋体" w:eastAsia="宋体" w:cs="宋体"/>
          <w:b w:val="0"/>
          <w:bCs/>
          <w:i w:val="0"/>
          <w:caps w:val="0"/>
          <w:color w:val="333333"/>
          <w:spacing w:val="0"/>
          <w:sz w:val="32"/>
          <w:szCs w:val="32"/>
        </w:rPr>
        <w:t>〕</w:t>
      </w:r>
      <w:r>
        <w:rPr>
          <w:rFonts w:hint="eastAsia" w:ascii="仿宋_GB2312" w:hAnsi="仿宋_GB2312" w:eastAsia="仿宋_GB2312" w:cs="仿宋_GB2312"/>
          <w:b w:val="0"/>
          <w:bCs/>
          <w:i w:val="0"/>
          <w:caps w:val="0"/>
          <w:color w:val="333333"/>
          <w:spacing w:val="0"/>
          <w:sz w:val="32"/>
          <w:szCs w:val="32"/>
        </w:rPr>
        <w:t>81号2024年城乡抗震安居工程呼吉尔特村牧民越冬放牧点生产用房（居住）建设项目</w:t>
      </w:r>
    </w:p>
    <w:p>
      <w:pPr>
        <w:pageBreakBefore w:val="0"/>
        <w:kinsoku/>
        <w:wordWrap/>
        <w:overflowPunct/>
        <w:topLinePunct w:val="0"/>
        <w:autoSpaceDE/>
        <w:autoSpaceDN/>
        <w:bidi w:val="0"/>
        <w:adjustRightInd/>
        <w:snapToGrid/>
        <w:spacing w:line="560" w:lineRule="exact"/>
        <w:ind w:firstLine="640" w:firstLineChars="200"/>
        <w:jc w:val="left"/>
        <w:rPr>
          <w:rFonts w:hint="eastAsia" w:ascii="仿宋_GB2312" w:hAnsi="仿宋_GB2312" w:eastAsia="仿宋_GB2312" w:cs="仿宋_GB2312"/>
          <w:b w:val="0"/>
          <w:bCs/>
          <w:kern w:val="0"/>
          <w:sz w:val="32"/>
          <w:szCs w:val="32"/>
        </w:rPr>
      </w:pPr>
      <w:r>
        <w:rPr>
          <w:rFonts w:hint="eastAsia" w:ascii="仿宋_GB2312" w:hAnsi="仿宋_GB2312" w:eastAsia="仿宋_GB2312" w:cs="仿宋_GB2312"/>
          <w:b w:val="0"/>
          <w:bCs/>
          <w:kern w:val="0"/>
          <w:sz w:val="32"/>
          <w:szCs w:val="32"/>
        </w:rPr>
        <w:t>实施单位（公章）：</w:t>
      </w:r>
      <w:r>
        <w:rPr>
          <w:rFonts w:hint="eastAsia" w:ascii="仿宋_GB2312" w:hAnsi="仿宋_GB2312" w:eastAsia="仿宋_GB2312" w:cs="仿宋_GB2312"/>
          <w:b w:val="0"/>
          <w:bCs/>
          <w:kern w:val="0"/>
          <w:sz w:val="32"/>
          <w:szCs w:val="32"/>
          <w:lang w:val="en-US" w:eastAsia="zh-CN"/>
        </w:rPr>
        <w:t>特克斯县呼吉尔特蒙古族乡人民政府</w:t>
      </w:r>
    </w:p>
    <w:p>
      <w:pPr>
        <w:pageBreakBefore w:val="0"/>
        <w:kinsoku/>
        <w:wordWrap/>
        <w:overflowPunct/>
        <w:topLinePunct w:val="0"/>
        <w:autoSpaceDE/>
        <w:autoSpaceDN/>
        <w:bidi w:val="0"/>
        <w:adjustRightInd/>
        <w:snapToGrid/>
        <w:spacing w:line="560" w:lineRule="exact"/>
        <w:ind w:firstLine="640" w:firstLineChars="200"/>
        <w:jc w:val="left"/>
        <w:rPr>
          <w:rFonts w:hint="eastAsia" w:ascii="仿宋_GB2312" w:hAnsi="仿宋_GB2312" w:eastAsia="仿宋_GB2312" w:cs="仿宋_GB2312"/>
          <w:b w:val="0"/>
          <w:bCs/>
          <w:kern w:val="0"/>
          <w:sz w:val="32"/>
          <w:szCs w:val="32"/>
          <w:lang w:val="en-US" w:eastAsia="zh-CN"/>
        </w:rPr>
      </w:pPr>
      <w:r>
        <w:rPr>
          <w:rFonts w:hint="eastAsia" w:ascii="仿宋_GB2312" w:hAnsi="仿宋_GB2312" w:eastAsia="仿宋_GB2312" w:cs="仿宋_GB2312"/>
          <w:b w:val="0"/>
          <w:bCs/>
          <w:kern w:val="0"/>
          <w:sz w:val="32"/>
          <w:szCs w:val="32"/>
        </w:rPr>
        <w:t>主管部门（公章）：</w:t>
      </w:r>
      <w:r>
        <w:rPr>
          <w:rFonts w:hint="eastAsia" w:ascii="仿宋_GB2312" w:hAnsi="仿宋_GB2312" w:eastAsia="仿宋_GB2312" w:cs="仿宋_GB2312"/>
          <w:b w:val="0"/>
          <w:bCs/>
          <w:kern w:val="0"/>
          <w:sz w:val="32"/>
          <w:szCs w:val="32"/>
          <w:lang w:val="en-US" w:eastAsia="zh-CN"/>
        </w:rPr>
        <w:t>特克斯县住房和城建建设局</w:t>
      </w:r>
    </w:p>
    <w:p>
      <w:pPr>
        <w:pageBreakBefore w:val="0"/>
        <w:kinsoku/>
        <w:wordWrap/>
        <w:overflowPunct/>
        <w:topLinePunct w:val="0"/>
        <w:autoSpaceDE/>
        <w:autoSpaceDN/>
        <w:bidi w:val="0"/>
        <w:adjustRightInd/>
        <w:snapToGrid/>
        <w:spacing w:line="560" w:lineRule="exact"/>
        <w:ind w:firstLine="640" w:firstLineChars="200"/>
        <w:jc w:val="left"/>
        <w:rPr>
          <w:rFonts w:hint="eastAsia" w:ascii="仿宋_GB2312" w:hAnsi="仿宋_GB2312" w:eastAsia="仿宋_GB2312" w:cs="仿宋_GB2312"/>
          <w:b w:val="0"/>
          <w:bCs/>
          <w:kern w:val="0"/>
          <w:sz w:val="32"/>
          <w:szCs w:val="32"/>
        </w:rPr>
      </w:pPr>
      <w:r>
        <w:rPr>
          <w:rFonts w:hint="eastAsia" w:ascii="仿宋_GB2312" w:hAnsi="仿宋_GB2312" w:eastAsia="仿宋_GB2312" w:cs="仿宋_GB2312"/>
          <w:b w:val="0"/>
          <w:bCs/>
          <w:kern w:val="0"/>
          <w:sz w:val="32"/>
          <w:szCs w:val="32"/>
        </w:rPr>
        <w:t>项目负责人（签章）：</w:t>
      </w:r>
      <w:r>
        <w:rPr>
          <w:rFonts w:hint="eastAsia" w:ascii="仿宋_GB2312" w:hAnsi="仿宋_GB2312" w:eastAsia="仿宋_GB2312" w:cs="仿宋_GB2312"/>
          <w:b w:val="0"/>
          <w:bCs/>
          <w:kern w:val="0"/>
          <w:sz w:val="32"/>
          <w:szCs w:val="32"/>
          <w:lang w:val="en-US" w:eastAsia="zh-CN"/>
        </w:rPr>
        <w:t>夏乐哈尔</w:t>
      </w:r>
    </w:p>
    <w:p>
      <w:pPr>
        <w:pageBreakBefore w:val="0"/>
        <w:kinsoku/>
        <w:wordWrap/>
        <w:overflowPunct/>
        <w:topLinePunct w:val="0"/>
        <w:autoSpaceDE/>
        <w:autoSpaceDN/>
        <w:bidi w:val="0"/>
        <w:adjustRightInd/>
        <w:snapToGrid/>
        <w:spacing w:line="560" w:lineRule="exact"/>
        <w:ind w:firstLine="640" w:firstLineChars="200"/>
        <w:jc w:val="left"/>
        <w:rPr>
          <w:rFonts w:hint="eastAsia" w:ascii="仿宋_GB2312" w:hAnsi="仿宋_GB2312" w:eastAsia="仿宋_GB2312" w:cs="仿宋_GB2312"/>
          <w:b w:val="0"/>
          <w:bCs/>
          <w:kern w:val="0"/>
          <w:sz w:val="32"/>
          <w:szCs w:val="32"/>
        </w:rPr>
      </w:pPr>
      <w:r>
        <w:rPr>
          <w:rFonts w:hint="eastAsia" w:ascii="仿宋_GB2312" w:hAnsi="仿宋_GB2312" w:eastAsia="仿宋_GB2312" w:cs="仿宋_GB2312"/>
          <w:b w:val="0"/>
          <w:bCs/>
          <w:kern w:val="0"/>
          <w:sz w:val="32"/>
          <w:szCs w:val="32"/>
        </w:rPr>
        <w:t>填报时间：</w:t>
      </w:r>
      <w:r>
        <w:rPr>
          <w:rFonts w:hint="eastAsia" w:ascii="仿宋_GB2312" w:hAnsi="仿宋_GB2312" w:eastAsia="仿宋_GB2312" w:cs="仿宋_GB2312"/>
          <w:b w:val="0"/>
          <w:bCs/>
          <w:kern w:val="0"/>
          <w:sz w:val="32"/>
          <w:szCs w:val="32"/>
          <w:lang w:val="en-US" w:eastAsia="zh-CN"/>
        </w:rPr>
        <w:t>2025</w:t>
      </w:r>
      <w:r>
        <w:rPr>
          <w:rFonts w:hint="eastAsia" w:ascii="仿宋_GB2312" w:hAnsi="仿宋_GB2312" w:eastAsia="仿宋_GB2312" w:cs="仿宋_GB2312"/>
          <w:b w:val="0"/>
          <w:bCs/>
          <w:kern w:val="0"/>
          <w:sz w:val="32"/>
          <w:szCs w:val="32"/>
        </w:rPr>
        <w:t>年</w:t>
      </w:r>
      <w:r>
        <w:rPr>
          <w:rFonts w:hint="eastAsia" w:ascii="仿宋_GB2312" w:hAnsi="仿宋_GB2312" w:eastAsia="仿宋_GB2312" w:cs="仿宋_GB2312"/>
          <w:b w:val="0"/>
          <w:bCs/>
          <w:kern w:val="0"/>
          <w:sz w:val="32"/>
          <w:szCs w:val="32"/>
          <w:lang w:val="en-US" w:eastAsia="zh-CN"/>
        </w:rPr>
        <w:t>5</w:t>
      </w:r>
      <w:r>
        <w:rPr>
          <w:rFonts w:hint="eastAsia" w:ascii="仿宋_GB2312" w:hAnsi="仿宋_GB2312" w:eastAsia="仿宋_GB2312" w:cs="仿宋_GB2312"/>
          <w:b w:val="0"/>
          <w:bCs/>
          <w:kern w:val="0"/>
          <w:sz w:val="32"/>
          <w:szCs w:val="32"/>
        </w:rPr>
        <w:t>月</w:t>
      </w:r>
      <w:r>
        <w:rPr>
          <w:rFonts w:hint="eastAsia" w:ascii="仿宋_GB2312" w:hAnsi="仿宋_GB2312" w:eastAsia="仿宋_GB2312" w:cs="仿宋_GB2312"/>
          <w:b w:val="0"/>
          <w:bCs/>
          <w:kern w:val="0"/>
          <w:sz w:val="32"/>
          <w:szCs w:val="32"/>
          <w:lang w:val="en-US" w:eastAsia="zh-CN"/>
        </w:rPr>
        <w:t>27</w:t>
      </w:r>
      <w:r>
        <w:rPr>
          <w:rFonts w:hint="eastAsia" w:ascii="仿宋_GB2312" w:hAnsi="仿宋_GB2312" w:eastAsia="仿宋_GB2312" w:cs="仿宋_GB2312"/>
          <w:b w:val="0"/>
          <w:bCs/>
          <w:kern w:val="0"/>
          <w:sz w:val="32"/>
          <w:szCs w:val="32"/>
        </w:rPr>
        <w:t>日</w:t>
      </w:r>
    </w:p>
    <w:p>
      <w:pPr>
        <w:pageBreakBefore w:val="0"/>
        <w:kinsoku/>
        <w:wordWrap/>
        <w:overflowPunct/>
        <w:topLinePunct w:val="0"/>
        <w:autoSpaceDE/>
        <w:autoSpaceDN/>
        <w:bidi w:val="0"/>
        <w:adjustRightInd/>
        <w:snapToGrid/>
        <w:spacing w:line="560" w:lineRule="exact"/>
        <w:rPr>
          <w:rFonts w:hint="default" w:ascii="Times New Roman" w:hAnsi="Times New Roman" w:eastAsia="黑体" w:cs="Times New Roman"/>
          <w:bCs/>
          <w:sz w:val="32"/>
          <w:szCs w:val="32"/>
        </w:rPr>
      </w:pP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pageBreakBefore w:val="0"/>
        <w:kinsoku/>
        <w:wordWrap/>
        <w:overflowPunct/>
        <w:topLinePunct w:val="0"/>
        <w:autoSpaceDE/>
        <w:autoSpaceDN/>
        <w:bidi w:val="0"/>
        <w:adjustRightInd/>
        <w:snapToGrid/>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pageBreakBefore w:val="0"/>
        <w:kinsoku/>
        <w:wordWrap/>
        <w:overflowPunct/>
        <w:topLinePunct w:val="0"/>
        <w:autoSpaceDE/>
        <w:autoSpaceDN/>
        <w:bidi w:val="0"/>
        <w:adjustRightInd/>
        <w:snapToGrid/>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12"/>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为认真贯彻落实自治区、自治州、县委2024年“十件民生实事”工作要求，坚持“人民至上、生命至上”，及时消除牧民越冬放牧点生产用房(居住)安全隐患，保障我</w:t>
      </w:r>
      <w:r>
        <w:rPr>
          <w:rFonts w:hint="eastAsia" w:ascii="Times New Roman" w:hAnsi="Times New Roman" w:eastAsia="仿宋_GB2312" w:cs="Times New Roman"/>
          <w:b w:val="0"/>
          <w:bCs w:val="0"/>
          <w:kern w:val="2"/>
          <w:sz w:val="32"/>
          <w:szCs w:val="32"/>
          <w:lang w:val="en-US" w:eastAsia="zh-CN" w:bidi="ar-SA"/>
        </w:rPr>
        <w:t>乡</w:t>
      </w:r>
      <w:r>
        <w:rPr>
          <w:rFonts w:hint="default" w:ascii="Times New Roman" w:hAnsi="Times New Roman" w:eastAsia="仿宋_GB2312" w:cs="Times New Roman"/>
          <w:b w:val="0"/>
          <w:bCs w:val="0"/>
          <w:kern w:val="2"/>
          <w:sz w:val="32"/>
          <w:szCs w:val="32"/>
          <w:lang w:val="en-US" w:eastAsia="zh-CN" w:bidi="ar-SA"/>
        </w:rPr>
        <w:t>各族农牧民群众的生命财产安全。依据：《关于申请特克斯县</w:t>
      </w:r>
      <w:r>
        <w:rPr>
          <w:rFonts w:hint="eastAsia" w:ascii="Times New Roman" w:hAnsi="Times New Roman" w:eastAsia="仿宋_GB2312" w:cs="Times New Roman"/>
          <w:b w:val="0"/>
          <w:bCs w:val="0"/>
          <w:kern w:val="2"/>
          <w:sz w:val="32"/>
          <w:szCs w:val="32"/>
          <w:lang w:val="en-US" w:eastAsia="zh-CN" w:bidi="ar-SA"/>
        </w:rPr>
        <w:t>呼吉尔特蒙古族乡</w:t>
      </w:r>
      <w:r>
        <w:rPr>
          <w:rFonts w:hint="default" w:ascii="Times New Roman" w:hAnsi="Times New Roman" w:eastAsia="仿宋_GB2312" w:cs="Times New Roman"/>
          <w:b w:val="0"/>
          <w:bCs w:val="0"/>
          <w:kern w:val="2"/>
          <w:sz w:val="32"/>
          <w:szCs w:val="32"/>
          <w:lang w:val="en-US" w:eastAsia="zh-CN" w:bidi="ar-SA"/>
        </w:rPr>
        <w:t>牧民越冬放牧点生产用房（居住）建设项目拨付工程款的报告》《关于下达2024年城乡抗震安居工程建设民生实施资金预算的通知》伊州财建81号。</w:t>
      </w:r>
    </w:p>
    <w:p>
      <w:pPr>
        <w:pStyle w:val="12"/>
        <w:pageBreakBefore w:val="0"/>
        <w:numPr>
          <w:ilvl w:val="0"/>
          <w:numId w:val="0"/>
        </w:numPr>
        <w:kinsoku/>
        <w:wordWrap/>
        <w:overflowPunct/>
        <w:topLinePunct w:val="0"/>
        <w:autoSpaceDE/>
        <w:autoSpaceDN/>
        <w:bidi w:val="0"/>
        <w:adjustRightInd/>
        <w:snapToGrid/>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pageBreakBefore w:val="0"/>
        <w:kinsoku/>
        <w:wordWrap/>
        <w:overflowPunct/>
        <w:topLinePunct w:val="0"/>
        <w:autoSpaceDE/>
        <w:autoSpaceDN/>
        <w:bidi w:val="0"/>
        <w:adjustRightInd/>
        <w:snapToGrid/>
        <w:spacing w:line="560" w:lineRule="exact"/>
        <w:ind w:firstLine="60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0"/>
          <w:szCs w:val="30"/>
          <w:highlight w:val="none"/>
          <w:lang w:val="en-US" w:eastAsia="zh-CN"/>
        </w:rPr>
        <w:t>项目主要内容：</w:t>
      </w:r>
      <w:r>
        <w:rPr>
          <w:rFonts w:hint="eastAsia" w:ascii="Times New Roman" w:hAnsi="Times New Roman" w:eastAsia="仿宋_GB2312" w:cs="Times New Roman"/>
          <w:sz w:val="32"/>
          <w:szCs w:val="32"/>
          <w:lang w:val="en-US" w:eastAsia="zh-CN"/>
        </w:rPr>
        <w:t>项目占地面积</w:t>
      </w:r>
      <w:r>
        <w:rPr>
          <w:rFonts w:hint="eastAsia" w:eastAsia="仿宋_GB2312" w:cs="Times New Roman"/>
          <w:sz w:val="32"/>
          <w:szCs w:val="32"/>
          <w:lang w:val="en-US" w:eastAsia="zh-CN"/>
        </w:rPr>
        <w:t>800</w:t>
      </w:r>
      <w:r>
        <w:rPr>
          <w:rFonts w:hint="eastAsia" w:ascii="Times New Roman" w:hAnsi="Times New Roman" w:eastAsia="仿宋_GB2312" w:cs="Times New Roman"/>
          <w:sz w:val="32"/>
          <w:szCs w:val="32"/>
          <w:lang w:val="en-US" w:eastAsia="zh-CN"/>
        </w:rPr>
        <w:t>平方米，建设16平方米轻钢结构牧民越冬放牧点生产用房</w:t>
      </w:r>
      <w:r>
        <w:rPr>
          <w:rFonts w:hint="eastAsia" w:eastAsia="仿宋_GB2312" w:cs="Times New Roman"/>
          <w:sz w:val="32"/>
          <w:szCs w:val="32"/>
          <w:lang w:val="en-US" w:eastAsia="zh-CN"/>
        </w:rPr>
        <w:t>50</w:t>
      </w:r>
      <w:r>
        <w:rPr>
          <w:rFonts w:hint="eastAsia" w:ascii="Times New Roman" w:hAnsi="Times New Roman" w:eastAsia="仿宋_GB2312" w:cs="Times New Roman"/>
          <w:sz w:val="32"/>
          <w:szCs w:val="32"/>
          <w:lang w:val="en-US" w:eastAsia="zh-CN"/>
        </w:rPr>
        <w:t>套及其附属设施</w:t>
      </w:r>
      <w:r>
        <w:rPr>
          <w:rFonts w:hint="default" w:ascii="Times New Roman" w:hAnsi="Times New Roman" w:eastAsia="仿宋_GB2312" w:cs="Times New Roman"/>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eastAsia="仿宋_GB2312"/>
          <w:sz w:val="32"/>
          <w:szCs w:val="32"/>
        </w:rPr>
        <w:t>项目目前已经完成实际设立的目标，项目在实施过程中严格按照目标设立的各阶段任务进行开展工作，在前期立项过程中严格把质量关，建立安全防护机制，保证项目实施各阶段安全顺利进行。</w:t>
      </w:r>
    </w:p>
    <w:p>
      <w:pPr>
        <w:pageBreakBefore w:val="0"/>
        <w:kinsoku/>
        <w:wordWrap/>
        <w:overflowPunct/>
        <w:topLinePunct w:val="0"/>
        <w:autoSpaceDE/>
        <w:autoSpaceDN/>
        <w:bidi w:val="0"/>
        <w:adjustRightInd/>
        <w:snapToGrid/>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150</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150</w:t>
      </w:r>
      <w:r>
        <w:rPr>
          <w:rFonts w:hint="default" w:ascii="Times New Roman" w:hAnsi="Times New Roman" w:eastAsia="仿宋_GB2312" w:cs="Times New Roman"/>
          <w:color w:val="auto"/>
          <w:sz w:val="32"/>
          <w:szCs w:val="32"/>
          <w:highlight w:val="none"/>
          <w:lang w:val="en-US" w:eastAsia="zh-CN"/>
        </w:rPr>
        <w:t>万元，该项目资金已全部落实到位，资金来源为</w:t>
      </w:r>
      <w:r>
        <w:rPr>
          <w:rFonts w:hint="eastAsia"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en-US" w:eastAsia="zh-CN"/>
        </w:rPr>
        <w:t>。</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（2）资金使用情况</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150</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150</w:t>
      </w:r>
      <w:r>
        <w:rPr>
          <w:rFonts w:hint="default"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119.84</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80</w:t>
      </w:r>
      <w:r>
        <w:rPr>
          <w:rFonts w:hint="default" w:ascii="Times New Roman" w:hAnsi="Times New Roman" w:eastAsia="仿宋_GB2312" w:cs="Times New Roman"/>
          <w:color w:val="auto"/>
          <w:sz w:val="32"/>
          <w:szCs w:val="32"/>
          <w:highlight w:val="none"/>
          <w:lang w:val="en-US" w:eastAsia="zh-CN"/>
        </w:rPr>
        <w:t>%，主要用</w:t>
      </w:r>
      <w:r>
        <w:rPr>
          <w:rFonts w:hint="default" w:ascii="Times New Roman" w:hAnsi="Times New Roman" w:eastAsia="仿宋_GB2312" w:cs="Times New Roman"/>
          <w:sz w:val="32"/>
          <w:szCs w:val="32"/>
          <w:highlight w:val="none"/>
          <w:lang w:val="en-US" w:eastAsia="zh-CN"/>
        </w:rPr>
        <w:t>于：</w:t>
      </w:r>
      <w:r>
        <w:rPr>
          <w:rFonts w:hint="eastAsia" w:ascii="仿宋_GB2312" w:hAnsi="仿宋_GB2312" w:eastAsia="仿宋_GB2312" w:cs="仿宋_GB2312"/>
          <w:sz w:val="32"/>
          <w:szCs w:val="32"/>
          <w:lang w:val="en-US" w:eastAsia="zh-CN"/>
        </w:rPr>
        <w:t>一套用于3万元共五十套150万元</w:t>
      </w:r>
      <w:r>
        <w:rPr>
          <w:rFonts w:hint="eastAsia" w:ascii="仿宋_GB2312" w:hAnsi="仿宋_GB2312" w:eastAsia="仿宋_GB2312" w:cs="仿宋_GB2312"/>
          <w:sz w:val="32"/>
          <w:szCs w:val="32"/>
        </w:rPr>
        <w:t>。</w:t>
      </w:r>
    </w:p>
    <w:p>
      <w:pPr>
        <w:pageBreakBefore w:val="0"/>
        <w:kinsoku/>
        <w:wordWrap/>
        <w:overflowPunct/>
        <w:topLinePunct w:val="0"/>
        <w:autoSpaceDE/>
        <w:autoSpaceDN/>
        <w:bidi w:val="0"/>
        <w:adjustRightInd/>
        <w:snapToGrid/>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rPr>
      </w:pPr>
      <w:bookmarkStart w:id="0" w:name="OLE_LINK10"/>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通过《关于下达2024年城乡抗震安居工程建设民生实施资金预算的通知》伊州财建</w:t>
      </w:r>
      <w:r>
        <w:rPr>
          <w:rFonts w:hint="eastAsia" w:eastAsia="仿宋_GB2312" w:cs="Times New Roman"/>
          <w:sz w:val="32"/>
          <w:szCs w:val="32"/>
          <w:lang w:val="en-US" w:eastAsia="zh-CN"/>
        </w:rPr>
        <w:t>〔2024〕</w:t>
      </w:r>
      <w:r>
        <w:rPr>
          <w:rFonts w:hint="eastAsia" w:ascii="Times New Roman" w:hAnsi="Times New Roman" w:eastAsia="仿宋_GB2312" w:cs="Times New Roman"/>
          <w:sz w:val="32"/>
          <w:szCs w:val="32"/>
          <w:lang w:val="en-US" w:eastAsia="zh-CN"/>
        </w:rPr>
        <w:t>81号，完成拆除及新建工作。在综合研判我</w:t>
      </w:r>
      <w:r>
        <w:rPr>
          <w:rFonts w:hint="eastAsia" w:eastAsia="仿宋_GB2312" w:cs="Times New Roman"/>
          <w:sz w:val="32"/>
          <w:szCs w:val="32"/>
          <w:lang w:val="en-US" w:eastAsia="zh-CN"/>
        </w:rPr>
        <w:t>乡</w:t>
      </w:r>
      <w:r>
        <w:rPr>
          <w:rFonts w:hint="eastAsia" w:ascii="Times New Roman" w:hAnsi="Times New Roman" w:eastAsia="仿宋_GB2312" w:cs="Times New Roman"/>
          <w:sz w:val="32"/>
          <w:szCs w:val="32"/>
          <w:lang w:val="en-US" w:eastAsia="zh-CN"/>
        </w:rPr>
        <w:t>牧区地质结构和运费的基础上，实施面积为15-30平方米木结构房屋，轻钢房，共建</w:t>
      </w:r>
      <w:r>
        <w:rPr>
          <w:rFonts w:hint="eastAsia" w:eastAsia="仿宋_GB2312" w:cs="Times New Roman"/>
          <w:sz w:val="32"/>
          <w:szCs w:val="32"/>
          <w:lang w:val="en-US" w:eastAsia="zh-CN"/>
        </w:rPr>
        <w:t>50户</w:t>
      </w:r>
      <w:r>
        <w:rPr>
          <w:rFonts w:hint="eastAsia" w:ascii="Times New Roman" w:hAnsi="Times New Roman" w:eastAsia="仿宋_GB2312" w:cs="Times New Roman"/>
          <w:sz w:val="32"/>
          <w:szCs w:val="32"/>
          <w:lang w:val="en-US" w:eastAsia="zh-CN"/>
        </w:rPr>
        <w:t>，单户建房价格控制在3万元以内，同时达到抗震、保温、防水要求，牧民越冬放牧点生产用房(居住)建成后上级有关部门按照相关要求进行验收。改善牧民生活环境，提供牧民住房保障，提供居民生活水平。</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pPr>
        <w:pageBreakBefore w:val="0"/>
        <w:kinsoku/>
        <w:wordWrap/>
        <w:overflowPunct/>
        <w:topLinePunct w:val="0"/>
        <w:autoSpaceDE/>
        <w:autoSpaceDN/>
        <w:bidi w:val="0"/>
        <w:adjustRightInd/>
        <w:snapToGrid/>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2024年8月1日至8月15日完成项目前期手续；</w:t>
      </w:r>
    </w:p>
    <w:p>
      <w:pPr>
        <w:pageBreakBefore w:val="0"/>
        <w:kinsoku/>
        <w:wordWrap/>
        <w:overflowPunct/>
        <w:topLinePunct w:val="0"/>
        <w:autoSpaceDE/>
        <w:autoSpaceDN/>
        <w:bidi w:val="0"/>
        <w:adjustRightInd/>
        <w:snapToGrid/>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2024年8月20日开工建设：</w:t>
      </w:r>
    </w:p>
    <w:p>
      <w:pPr>
        <w:pageBreakBefore w:val="0"/>
        <w:kinsoku/>
        <w:wordWrap/>
        <w:overflowPunct/>
        <w:topLinePunct w:val="0"/>
        <w:autoSpaceDE/>
        <w:autoSpaceDN/>
        <w:bidi w:val="0"/>
        <w:adjustRightInd/>
        <w:snapToGrid/>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2024年10月24日前完成项目竣工验收：</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黑体" w:cs="Times New Roman"/>
          <w:b w:val="0"/>
          <w:bCs/>
          <w:lang w:eastAsia="zh-CN"/>
        </w:rPr>
      </w:pPr>
      <w:r>
        <w:rPr>
          <w:rFonts w:hint="eastAsia" w:eastAsia="仿宋_GB2312"/>
          <w:sz w:val="32"/>
          <w:szCs w:val="32"/>
          <w:lang w:val="en-US" w:eastAsia="zh-CN"/>
        </w:rPr>
        <w:t>2025年5月完成项目绩效自评工作。</w:t>
      </w:r>
    </w:p>
    <w:bookmarkEnd w:id="0"/>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pageBreakBefore w:val="0"/>
        <w:kinsoku/>
        <w:wordWrap/>
        <w:overflowPunct/>
        <w:topLinePunct w:val="0"/>
        <w:autoSpaceDE/>
        <w:autoSpaceDN/>
        <w:bidi w:val="0"/>
        <w:adjustRightInd/>
        <w:snapToGrid/>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维度，力求全方位反映项目的绩效状况。同时，对于每个指标的评价标准和数据来源均进行了明确说明，确保评价结果的客观性和可追溯性。</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通过对项目预算执行情况及各项绩效目标达成程度的系统性分析，全面、客观地评估项目在预定周期内的实施效果，包括社会效益等维度指标，为项目后续的改进与优化提供科学依据。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本项目预算绩效评价报告的评价对象是伊犁州特克斯县</w:t>
      </w:r>
      <w:r>
        <w:rPr>
          <w:rFonts w:hint="eastAsia" w:ascii="Times New Roman" w:hAnsi="Times New Roman" w:eastAsia="仿宋_GB2312" w:cs="Times New Roman"/>
          <w:b w:val="0"/>
          <w:bCs w:val="0"/>
          <w:highlight w:val="none"/>
          <w:lang w:eastAsia="zh-CN"/>
        </w:rPr>
        <w:t>呼吉尔特蒙古族乡</w:t>
      </w:r>
      <w:r>
        <w:rPr>
          <w:rFonts w:hint="default" w:ascii="Times New Roman" w:hAnsi="Times New Roman" w:eastAsia="仿宋_GB2312" w:cs="Times New Roman"/>
          <w:b w:val="0"/>
          <w:bCs w:val="0"/>
          <w:highlight w:val="none"/>
        </w:rPr>
        <w:t>牧民越冬放牧点生产用房（居住）建设项目及其预算执行情况。该项目由</w:t>
      </w:r>
      <w:r>
        <w:rPr>
          <w:rFonts w:hint="eastAsia" w:ascii="Times New Roman" w:hAnsi="Times New Roman" w:eastAsia="仿宋_GB2312" w:cs="Times New Roman"/>
          <w:b w:val="0"/>
          <w:bCs w:val="0"/>
          <w:highlight w:val="none"/>
          <w:lang w:val="en-US" w:eastAsia="zh-CN"/>
        </w:rPr>
        <w:t>特克斯县呼吉尔特蒙古族乡人民政府</w:t>
      </w:r>
      <w:r>
        <w:rPr>
          <w:rFonts w:hint="default" w:ascii="Times New Roman" w:hAnsi="Times New Roman" w:eastAsia="仿宋_GB2312" w:cs="Times New Roman"/>
          <w:b w:val="0"/>
          <w:bCs w:val="0"/>
          <w:highlight w:val="none"/>
        </w:rPr>
        <w:t>负责实施，旨在通过完成拆除及新建工作</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在综合研判我</w:t>
      </w:r>
      <w:r>
        <w:rPr>
          <w:rFonts w:hint="eastAsia" w:ascii="Times New Roman" w:hAnsi="Times New Roman" w:eastAsia="仿宋_GB2312" w:cs="Times New Roman"/>
          <w:b w:val="0"/>
          <w:bCs w:val="0"/>
          <w:highlight w:val="none"/>
          <w:lang w:eastAsia="zh-CN"/>
        </w:rPr>
        <w:t>乡</w:t>
      </w:r>
      <w:r>
        <w:rPr>
          <w:rFonts w:hint="default" w:ascii="Times New Roman" w:hAnsi="Times New Roman" w:eastAsia="仿宋_GB2312" w:cs="Times New Roman"/>
          <w:b w:val="0"/>
          <w:bCs w:val="0"/>
          <w:highlight w:val="none"/>
        </w:rPr>
        <w:t>牧区地质结构和运费的基础上，实施面积为15-30平方米木结构房屋，轻钢房，共建</w:t>
      </w:r>
      <w:r>
        <w:rPr>
          <w:rFonts w:hint="eastAsia" w:ascii="Times New Roman" w:hAnsi="Times New Roman" w:eastAsia="仿宋_GB2312" w:cs="Times New Roman"/>
          <w:b w:val="0"/>
          <w:bCs w:val="0"/>
          <w:highlight w:val="none"/>
          <w:lang w:val="en-US" w:eastAsia="zh-CN"/>
        </w:rPr>
        <w:t>50</w:t>
      </w:r>
      <w:r>
        <w:rPr>
          <w:rFonts w:hint="default" w:ascii="Times New Roman" w:hAnsi="Times New Roman" w:eastAsia="仿宋_GB2312" w:cs="Times New Roman"/>
          <w:b w:val="0"/>
          <w:bCs w:val="0"/>
          <w:highlight w:val="none"/>
        </w:rPr>
        <w:t>户，单户建房价格控制在3万元以内，同时达到抗震、保温、防水要求，牧民越冬放牧点生产用房(居住)建成后上级有关部门按照相关要求进行验收</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改善牧民生活环境，提供牧民住房保障，提供居民生活水平。项目预算涵盖从</w:t>
      </w:r>
      <w:r>
        <w:rPr>
          <w:rFonts w:hint="eastAsia" w:ascii="Times New Roman" w:hAnsi="Times New Roman" w:eastAsia="仿宋_GB2312" w:cs="Times New Roman"/>
          <w:b w:val="0"/>
          <w:bCs w:val="0"/>
          <w:highlight w:val="none"/>
          <w:lang w:val="en-US" w:eastAsia="zh-CN"/>
        </w:rPr>
        <w:t>2024年8月20日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2024年10月24日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119.84</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2"/>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2"/>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2"/>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2"/>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社会影响：城乡抗震安居工程建设房屋安全隐患排查整治成果</w:t>
      </w:r>
      <w:r>
        <w:rPr>
          <w:rFonts w:hint="eastAsia" w:ascii="Times New Roman" w:hAnsi="Times New Roman" w:eastAsia="仿宋_GB2312" w:cs="Times New Roman"/>
          <w:b w:val="0"/>
          <w:bCs w:val="0"/>
          <w:highlight w:val="none"/>
          <w:lang w:val="en-US" w:eastAsia="zh-CN"/>
        </w:rPr>
        <w:t>成效明显</w:t>
      </w:r>
      <w:r>
        <w:rPr>
          <w:rFonts w:hint="default" w:ascii="Times New Roman" w:hAnsi="Times New Roman" w:eastAsia="仿宋_GB2312" w:cs="Times New Roman"/>
          <w:b w:val="0"/>
          <w:bCs w:val="0"/>
          <w:highlight w:val="none"/>
        </w:rPr>
        <w:t>。</w:t>
      </w:r>
    </w:p>
    <w:p>
      <w:pPr>
        <w:pageBreakBefore w:val="0"/>
        <w:kinsoku/>
        <w:wordWrap/>
        <w:overflowPunct/>
        <w:topLinePunct w:val="0"/>
        <w:autoSpaceDE/>
        <w:autoSpaceDN/>
        <w:bidi w:val="0"/>
        <w:adjustRightInd/>
        <w:snapToGrid/>
        <w:spacing w:line="560" w:lineRule="exact"/>
        <w:ind w:firstLine="643"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绩效评价原则</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pPr>
        <w:pStyle w:val="12"/>
        <w:pageBreakBefore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pPr>
        <w:pStyle w:val="12"/>
        <w:pageBreakBefore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pPr>
        <w:pStyle w:val="12"/>
        <w:pageBreakBefore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（3）激励约束。绩效评价结果应与预算安排、政策调整、改进管理实质性挂钩，体现奖优罚劣和激励相容导向，有效要安排、低效要压减、无效要问责。</w:t>
      </w:r>
    </w:p>
    <w:p>
      <w:pPr>
        <w:pStyle w:val="12"/>
        <w:pageBreakBefore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spacing w:val="0"/>
          <w:kern w:val="0"/>
          <w:highlight w:val="none"/>
        </w:rPr>
      </w:pPr>
      <w:r>
        <w:rPr>
          <w:rFonts w:hint="default" w:ascii="Times New Roman" w:hAnsi="Times New Roman" w:eastAsia="仿宋_GB2312" w:cs="Times New Roman"/>
          <w:b w:val="0"/>
          <w:bCs w:val="0"/>
          <w:spacing w:val="0"/>
          <w:kern w:val="0"/>
          <w:highlight w:val="none"/>
        </w:rPr>
        <w:t>（4）公开透明。绩效评价结果应依法依规公开，并自觉接受社会监督。</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spacing w:val="0"/>
          <w:kern w:val="0"/>
          <w:highlight w:val="none"/>
        </w:rPr>
      </w:pPr>
      <w:r>
        <w:rPr>
          <w:rFonts w:hint="default" w:ascii="Times New Roman" w:hAnsi="Times New Roman" w:eastAsia="仿宋_GB2312" w:cs="Times New Roman"/>
          <w:b w:val="0"/>
          <w:bCs w:val="0"/>
          <w:spacing w:val="0"/>
          <w:kern w:val="0"/>
          <w:highlight w:val="none"/>
        </w:rPr>
        <w:t>2</w:t>
      </w:r>
      <w:r>
        <w:rPr>
          <w:rFonts w:hint="default" w:ascii="Times New Roman" w:hAnsi="Times New Roman" w:eastAsia="仿宋_GB2312" w:cs="Times New Roman"/>
          <w:b/>
          <w:bCs/>
          <w:spacing w:val="0"/>
          <w:kern w:val="0"/>
          <w:sz w:val="32"/>
          <w:szCs w:val="32"/>
          <w:highlight w:val="none"/>
          <w:lang w:val="en-US" w:eastAsia="zh-CN"/>
        </w:rPr>
        <w:t>.</w:t>
      </w:r>
      <w:r>
        <w:rPr>
          <w:rFonts w:hint="default" w:ascii="Times New Roman" w:hAnsi="Times New Roman" w:eastAsia="仿宋_GB2312" w:cs="Times New Roman"/>
          <w:b w:val="0"/>
          <w:bCs w:val="0"/>
          <w:spacing w:val="0"/>
          <w:kern w:val="0"/>
          <w:highlight w:val="none"/>
        </w:rPr>
        <w:t>评价指标体系</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cs="Times New Roman"/>
          <w:color w:val="000000"/>
          <w:spacing w:val="0"/>
          <w:kern w:val="0"/>
          <w:sz w:val="32"/>
          <w:szCs w:val="32"/>
          <w:highlight w:val="none"/>
        </w:rPr>
      </w:pPr>
      <w:r>
        <w:rPr>
          <w:rFonts w:hint="default" w:ascii="Times New Roman" w:hAnsi="Times New Roman" w:eastAsia="仿宋_GB2312" w:cs="Times New Roman"/>
          <w:color w:val="000000"/>
          <w:spacing w:val="0"/>
          <w:kern w:val="0"/>
          <w:sz w:val="32"/>
          <w:szCs w:val="32"/>
          <w:highlight w:val="none"/>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color w:val="000000"/>
          <w:spacing w:val="0"/>
          <w:kern w:val="0"/>
          <w:sz w:val="32"/>
          <w:szCs w:val="32"/>
          <w:highlight w:val="none"/>
        </w:rPr>
      </w:pPr>
      <w:r>
        <w:rPr>
          <w:rFonts w:hint="default" w:ascii="Times New Roman" w:hAnsi="Times New Roman" w:eastAsia="仿宋_GB2312" w:cs="Times New Roman"/>
          <w:color w:val="000000"/>
          <w:spacing w:val="0"/>
          <w:kern w:val="0"/>
          <w:sz w:val="32"/>
          <w:szCs w:val="32"/>
          <w:highlight w:val="none"/>
        </w:rPr>
        <w:t>（1）确定评价指标</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color w:val="000000"/>
          <w:spacing w:val="0"/>
          <w:kern w:val="0"/>
          <w:sz w:val="32"/>
          <w:szCs w:val="32"/>
          <w:highlight w:val="none"/>
        </w:rPr>
      </w:pPr>
      <w:r>
        <w:rPr>
          <w:rFonts w:hint="default" w:ascii="Times New Roman" w:hAnsi="Times New Roman" w:eastAsia="仿宋_GB2312" w:cs="Times New Roman"/>
          <w:color w:val="000000"/>
          <w:spacing w:val="0"/>
          <w:kern w:val="0"/>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color w:val="000000"/>
          <w:spacing w:val="0"/>
          <w:kern w:val="0"/>
          <w:sz w:val="32"/>
          <w:szCs w:val="32"/>
          <w:highlight w:val="none"/>
        </w:rPr>
      </w:pPr>
      <w:r>
        <w:rPr>
          <w:rFonts w:hint="default" w:ascii="Times New Roman" w:hAnsi="Times New Roman" w:eastAsia="仿宋_GB2312" w:cs="Times New Roman"/>
          <w:color w:val="000000"/>
          <w:spacing w:val="0"/>
          <w:kern w:val="0"/>
          <w:sz w:val="32"/>
          <w:szCs w:val="32"/>
          <w:highlight w:val="none"/>
        </w:rPr>
        <w:t>（2）确定权重</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color w:val="FF0000"/>
          <w:spacing w:val="0"/>
          <w:kern w:val="0"/>
          <w:sz w:val="32"/>
          <w:szCs w:val="32"/>
          <w:highlight w:val="none"/>
          <w:lang w:eastAsia="zh-CN"/>
        </w:rPr>
      </w:pPr>
      <w:r>
        <w:rPr>
          <w:rFonts w:hint="default" w:ascii="Times New Roman" w:hAnsi="Times New Roman" w:eastAsia="仿宋_GB2312" w:cs="Times New Roman"/>
          <w:color w:val="000000"/>
          <w:spacing w:val="0"/>
          <w:kern w:val="0"/>
          <w:sz w:val="32"/>
          <w:szCs w:val="32"/>
          <w:highlight w:val="none"/>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color w:val="000000"/>
          <w:spacing w:val="0"/>
          <w:kern w:val="0"/>
          <w:sz w:val="32"/>
          <w:szCs w:val="32"/>
          <w:highlight w:val="none"/>
        </w:rPr>
      </w:pPr>
      <w:r>
        <w:rPr>
          <w:rFonts w:hint="default" w:ascii="Times New Roman" w:hAnsi="Times New Roman" w:eastAsia="仿宋_GB2312" w:cs="Times New Roman"/>
          <w:color w:val="000000"/>
          <w:spacing w:val="0"/>
          <w:kern w:val="0"/>
          <w:sz w:val="32"/>
          <w:szCs w:val="32"/>
          <w:highlight w:val="none"/>
        </w:rPr>
        <w:t>（3）确定指标标准值</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color w:val="000000"/>
          <w:spacing w:val="0"/>
          <w:kern w:val="0"/>
          <w:sz w:val="32"/>
          <w:szCs w:val="32"/>
          <w:highlight w:val="none"/>
        </w:rPr>
      </w:pPr>
      <w:r>
        <w:rPr>
          <w:rFonts w:hint="default" w:ascii="Times New Roman" w:hAnsi="Times New Roman" w:eastAsia="仿宋_GB2312" w:cs="Times New Roman"/>
          <w:color w:val="000000"/>
          <w:spacing w:val="0"/>
          <w:kern w:val="0"/>
          <w:sz w:val="32"/>
          <w:szCs w:val="32"/>
          <w:highlight w:val="none"/>
        </w:rPr>
        <w:t>指标标准值是绩效评价指标的尺度，既要反映同类项目的先进水平，又要符合项目的实际绩效水平。具体采用计划标准等确定此次绩效评价指标标准值。</w:t>
      </w:r>
    </w:p>
    <w:p>
      <w:pPr>
        <w:pStyle w:val="12"/>
        <w:pageBreakBefore w:val="0"/>
        <w:kinsoku/>
        <w:wordWrap/>
        <w:overflowPunct/>
        <w:topLinePunct w:val="0"/>
        <w:autoSpaceDE/>
        <w:autoSpaceDN/>
        <w:bidi w:val="0"/>
        <w:adjustRightInd/>
        <w:snapToGrid/>
        <w:spacing w:before="0" w:after="0" w:line="560" w:lineRule="exact"/>
        <w:ind w:firstLine="640" w:firstLineChars="200"/>
        <w:jc w:val="both"/>
        <w:rPr>
          <w:rFonts w:hint="default" w:ascii="Times New Roman" w:hAnsi="Times New Roman" w:eastAsia="仿宋_GB2312" w:cs="Times New Roman"/>
          <w:b w:val="0"/>
          <w:bCs w:val="0"/>
          <w:color w:val="000000"/>
          <w:spacing w:val="0"/>
          <w:kern w:val="0"/>
          <w:highlight w:val="none"/>
        </w:rPr>
      </w:pPr>
      <w:r>
        <w:rPr>
          <w:rFonts w:hint="default" w:ascii="Times New Roman" w:hAnsi="Times New Roman" w:eastAsia="仿宋_GB2312" w:cs="Times New Roman"/>
          <w:b w:val="0"/>
          <w:bCs w:val="0"/>
          <w:color w:val="000000"/>
          <w:spacing w:val="0"/>
          <w:kern w:val="0"/>
          <w:highlight w:val="none"/>
        </w:rPr>
        <w:t>绩效评价总分值100分，根据综合评分结果，90（含）-100分为优、80（含）-90分为良、60（含）-80分为中、60分以下为差。</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color w:val="000000"/>
          <w:spacing w:val="0"/>
          <w:kern w:val="0"/>
          <w:highlight w:val="none"/>
        </w:rPr>
      </w:pPr>
      <w:r>
        <w:rPr>
          <w:rFonts w:hint="default" w:ascii="Times New Roman" w:hAnsi="Times New Roman" w:eastAsia="仿宋_GB2312" w:cs="Times New Roman"/>
          <w:b w:val="0"/>
          <w:bCs w:val="0"/>
          <w:color w:val="000000"/>
          <w:spacing w:val="0"/>
          <w:kern w:val="0"/>
          <w:highlight w:val="none"/>
        </w:rPr>
        <w:t>具体评价指标体系详情见附件1</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spacing w:val="0"/>
          <w:kern w:val="0"/>
          <w:highlight w:val="none"/>
        </w:rPr>
      </w:pPr>
      <w:r>
        <w:rPr>
          <w:rFonts w:hint="default" w:ascii="Times New Roman" w:hAnsi="Times New Roman" w:eastAsia="仿宋_GB2312" w:cs="Times New Roman"/>
          <w:b w:val="0"/>
          <w:bCs w:val="0"/>
          <w:spacing w:val="0"/>
          <w:kern w:val="0"/>
          <w:highlight w:val="none"/>
        </w:rPr>
        <w:t>3</w:t>
      </w:r>
      <w:r>
        <w:rPr>
          <w:rFonts w:hint="default" w:ascii="Times New Roman" w:hAnsi="Times New Roman" w:eastAsia="仿宋_GB2312" w:cs="Times New Roman"/>
          <w:b w:val="0"/>
          <w:bCs w:val="0"/>
          <w:spacing w:val="0"/>
          <w:kern w:val="0"/>
          <w:highlight w:val="none"/>
          <w:lang w:val="en-US" w:eastAsia="zh-CN"/>
        </w:rPr>
        <w:t>.</w:t>
      </w:r>
      <w:r>
        <w:rPr>
          <w:rFonts w:hint="default" w:ascii="Times New Roman" w:hAnsi="Times New Roman" w:eastAsia="仿宋_GB2312" w:cs="Times New Roman"/>
          <w:b w:val="0"/>
          <w:bCs w:val="0"/>
          <w:spacing w:val="0"/>
          <w:kern w:val="0"/>
          <w:highlight w:val="none"/>
        </w:rPr>
        <w:t>绩效评价方法</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color w:val="000000"/>
          <w:spacing w:val="0"/>
          <w:kern w:val="0"/>
          <w:sz w:val="32"/>
          <w:szCs w:val="32"/>
          <w:highlight w:val="none"/>
        </w:rPr>
      </w:pPr>
      <w:r>
        <w:rPr>
          <w:rFonts w:hint="default" w:ascii="Times New Roman" w:hAnsi="Times New Roman" w:eastAsia="仿宋_GB2312" w:cs="Times New Roman"/>
          <w:color w:val="000000"/>
          <w:spacing w:val="0"/>
          <w:kern w:val="0"/>
          <w:sz w:val="32"/>
          <w:szCs w:val="32"/>
          <w:highlight w:val="none"/>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color w:val="000000"/>
          <w:spacing w:val="0"/>
          <w:kern w:val="0"/>
          <w:sz w:val="32"/>
          <w:szCs w:val="32"/>
          <w:highlight w:val="none"/>
        </w:rPr>
      </w:pPr>
      <w:r>
        <w:rPr>
          <w:rFonts w:hint="default" w:ascii="Times New Roman" w:hAnsi="Times New Roman" w:eastAsia="仿宋_GB2312" w:cs="Times New Roman"/>
          <w:color w:val="000000"/>
          <w:spacing w:val="0"/>
          <w:kern w:val="0"/>
          <w:sz w:val="32"/>
          <w:szCs w:val="32"/>
          <w:highlight w:val="none"/>
        </w:rPr>
        <w:t>本次评价指标中，既有定性指标又有定量指标，各类指标因考核内容不同和客观标准不同存在较大差异，因此核定具体指标时采用了不同方法，具体评价方法如下：</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color w:val="auto"/>
          <w:spacing w:val="0"/>
          <w:kern w:val="0"/>
          <w:sz w:val="32"/>
          <w:szCs w:val="32"/>
          <w:highlight w:val="none"/>
        </w:rPr>
      </w:pPr>
      <w:r>
        <w:rPr>
          <w:rFonts w:hint="default" w:ascii="Times New Roman" w:hAnsi="Times New Roman" w:eastAsia="仿宋_GB2312" w:cs="Times New Roman"/>
          <w:color w:val="auto"/>
          <w:spacing w:val="0"/>
          <w:kern w:val="0"/>
          <w:sz w:val="32"/>
          <w:szCs w:val="32"/>
          <w:highlight w:val="none"/>
        </w:rPr>
        <w:t xml:space="preserve">（一）成本效益分析法。是指将投入与产出、效益进行关联性分析的方法。 </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color w:val="auto"/>
          <w:spacing w:val="0"/>
          <w:kern w:val="0"/>
          <w:sz w:val="32"/>
          <w:szCs w:val="32"/>
          <w:highlight w:val="none"/>
        </w:rPr>
      </w:pPr>
      <w:r>
        <w:rPr>
          <w:rFonts w:hint="default" w:ascii="Times New Roman" w:hAnsi="Times New Roman" w:eastAsia="仿宋_GB2312" w:cs="Times New Roman"/>
          <w:color w:val="auto"/>
          <w:spacing w:val="0"/>
          <w:kern w:val="0"/>
          <w:sz w:val="32"/>
          <w:szCs w:val="32"/>
          <w:highlight w:val="none"/>
        </w:rPr>
        <w:t>（</w:t>
      </w:r>
      <w:r>
        <w:rPr>
          <w:rFonts w:hint="eastAsia" w:eastAsia="仿宋_GB2312" w:cs="Times New Roman"/>
          <w:color w:val="auto"/>
          <w:spacing w:val="0"/>
          <w:kern w:val="0"/>
          <w:sz w:val="32"/>
          <w:szCs w:val="32"/>
          <w:highlight w:val="none"/>
          <w:lang w:val="en-US" w:eastAsia="zh-CN"/>
        </w:rPr>
        <w:t>二</w:t>
      </w:r>
      <w:r>
        <w:rPr>
          <w:rFonts w:hint="default" w:ascii="Times New Roman" w:hAnsi="Times New Roman" w:eastAsia="仿宋_GB2312" w:cs="Times New Roman"/>
          <w:color w:val="auto"/>
          <w:spacing w:val="0"/>
          <w:kern w:val="0"/>
          <w:sz w:val="32"/>
          <w:szCs w:val="32"/>
          <w:highlight w:val="none"/>
        </w:rPr>
        <w:t>）因素分析法。是指综合分析影响绩效目标实现、实施效果的内外部因素的方法。</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color w:val="auto"/>
          <w:spacing w:val="0"/>
          <w:kern w:val="0"/>
          <w:sz w:val="32"/>
          <w:szCs w:val="32"/>
          <w:highlight w:val="none"/>
        </w:rPr>
      </w:pPr>
      <w:r>
        <w:rPr>
          <w:rFonts w:hint="default" w:ascii="Times New Roman" w:hAnsi="Times New Roman" w:eastAsia="仿宋_GB2312" w:cs="Times New Roman"/>
          <w:color w:val="auto"/>
          <w:spacing w:val="0"/>
          <w:kern w:val="0"/>
          <w:sz w:val="32"/>
          <w:szCs w:val="32"/>
          <w:highlight w:val="none"/>
        </w:rPr>
        <w:t>（</w:t>
      </w:r>
      <w:r>
        <w:rPr>
          <w:rFonts w:hint="eastAsia" w:eastAsia="仿宋_GB2312" w:cs="Times New Roman"/>
          <w:color w:val="auto"/>
          <w:spacing w:val="0"/>
          <w:kern w:val="0"/>
          <w:sz w:val="32"/>
          <w:szCs w:val="32"/>
          <w:highlight w:val="none"/>
          <w:lang w:val="en-US" w:eastAsia="zh-CN"/>
        </w:rPr>
        <w:t>三</w:t>
      </w:r>
      <w:r>
        <w:rPr>
          <w:rFonts w:hint="default" w:ascii="Times New Roman" w:hAnsi="Times New Roman" w:eastAsia="仿宋_GB2312" w:cs="Times New Roman"/>
          <w:color w:val="auto"/>
          <w:spacing w:val="0"/>
          <w:kern w:val="0"/>
          <w:sz w:val="32"/>
          <w:szCs w:val="32"/>
          <w:highlight w:val="none"/>
        </w:rPr>
        <w:t>）公众评判法。是指通过专家评估、公众问卷及抽样调查等方式进行评判的方法。</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color w:val="auto"/>
          <w:spacing w:val="0"/>
          <w:kern w:val="0"/>
          <w:highlight w:val="none"/>
        </w:rPr>
      </w:pPr>
      <w:r>
        <w:rPr>
          <w:rFonts w:hint="default" w:ascii="Times New Roman" w:hAnsi="Times New Roman" w:eastAsia="仿宋_GB2312" w:cs="Times New Roman"/>
          <w:b w:val="0"/>
          <w:bCs w:val="0"/>
          <w:color w:val="auto"/>
          <w:spacing w:val="0"/>
          <w:kern w:val="0"/>
          <w:highlight w:val="none"/>
        </w:rPr>
        <w:t>4</w:t>
      </w:r>
      <w:r>
        <w:rPr>
          <w:rFonts w:hint="default" w:ascii="Times New Roman" w:hAnsi="Times New Roman" w:eastAsia="仿宋_GB2312" w:cs="Times New Roman"/>
          <w:b/>
          <w:bCs/>
          <w:color w:val="auto"/>
          <w:spacing w:val="0"/>
          <w:kern w:val="0"/>
          <w:sz w:val="32"/>
          <w:szCs w:val="32"/>
          <w:highlight w:val="none"/>
          <w:lang w:val="en-US" w:eastAsia="zh-CN"/>
        </w:rPr>
        <w:t>.</w:t>
      </w:r>
      <w:r>
        <w:rPr>
          <w:rFonts w:hint="default" w:ascii="Times New Roman" w:hAnsi="Times New Roman" w:eastAsia="仿宋_GB2312" w:cs="Times New Roman"/>
          <w:b w:val="0"/>
          <w:bCs w:val="0"/>
          <w:color w:val="auto"/>
          <w:spacing w:val="0"/>
          <w:kern w:val="0"/>
          <w:highlight w:val="none"/>
        </w:rPr>
        <w:t>评价标准</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spacing w:val="0"/>
          <w:kern w:val="0"/>
          <w:highlight w:val="none"/>
          <w:lang w:eastAsia="zh-CN"/>
        </w:rPr>
      </w:pPr>
      <w:r>
        <w:rPr>
          <w:rFonts w:hint="default" w:ascii="Times New Roman" w:hAnsi="Times New Roman" w:eastAsia="仿宋_GB2312" w:cs="Times New Roman"/>
          <w:b w:val="0"/>
          <w:bCs w:val="0"/>
          <w:spacing w:val="0"/>
          <w:kern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spacing w:val="0"/>
          <w:kern w:val="0"/>
          <w:highlight w:val="none"/>
          <w:lang w:val="en-US" w:eastAsia="zh-CN"/>
        </w:rPr>
        <w:t>计划</w:t>
      </w:r>
      <w:r>
        <w:rPr>
          <w:rFonts w:hint="default" w:ascii="Times New Roman" w:hAnsi="Times New Roman" w:eastAsia="仿宋_GB2312" w:cs="Times New Roman"/>
          <w:b w:val="0"/>
          <w:bCs w:val="0"/>
          <w:spacing w:val="0"/>
          <w:kern w:val="0"/>
          <w:highlight w:val="none"/>
        </w:rPr>
        <w:t>标准。</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spacing w:val="0"/>
          <w:kern w:val="0"/>
          <w:highlight w:val="none"/>
        </w:rPr>
      </w:pPr>
      <w:r>
        <w:rPr>
          <w:rFonts w:hint="default" w:ascii="Times New Roman" w:hAnsi="Times New Roman" w:eastAsia="仿宋_GB2312" w:cs="Times New Roman"/>
          <w:b w:val="0"/>
          <w:bCs w:val="0"/>
          <w:spacing w:val="0"/>
          <w:kern w:val="0"/>
          <w:highlight w:val="none"/>
          <w:lang w:eastAsia="zh-CN"/>
        </w:rPr>
        <w:t>（</w:t>
      </w:r>
      <w:r>
        <w:rPr>
          <w:rFonts w:hint="default" w:ascii="Times New Roman" w:hAnsi="Times New Roman" w:eastAsia="仿宋_GB2312" w:cs="Times New Roman"/>
          <w:b w:val="0"/>
          <w:bCs w:val="0"/>
          <w:spacing w:val="0"/>
          <w:kern w:val="0"/>
          <w:highlight w:val="none"/>
          <w:lang w:val="en-US" w:eastAsia="zh-CN"/>
        </w:rPr>
        <w:t>1</w:t>
      </w:r>
      <w:r>
        <w:rPr>
          <w:rFonts w:hint="default" w:ascii="Times New Roman" w:hAnsi="Times New Roman" w:eastAsia="仿宋_GB2312" w:cs="Times New Roman"/>
          <w:b w:val="0"/>
          <w:bCs w:val="0"/>
          <w:spacing w:val="0"/>
          <w:kern w:val="0"/>
          <w:highlight w:val="none"/>
          <w:lang w:eastAsia="zh-CN"/>
        </w:rPr>
        <w:t>）</w:t>
      </w:r>
      <w:r>
        <w:rPr>
          <w:rFonts w:hint="default" w:ascii="Times New Roman" w:hAnsi="Times New Roman" w:eastAsia="仿宋_GB2312" w:cs="Times New Roman"/>
          <w:b w:val="0"/>
          <w:bCs w:val="0"/>
          <w:spacing w:val="0"/>
          <w:kern w:val="0"/>
          <w:highlight w:val="none"/>
        </w:rPr>
        <w:t>计划标准。指以预先制定的目标、计划、预算、定额等作为评价标准。</w:t>
      </w:r>
    </w:p>
    <w:p>
      <w:pPr>
        <w:pStyle w:val="12"/>
        <w:pageBreakBefore w:val="0"/>
        <w:numPr>
          <w:ilvl w:val="0"/>
          <w:numId w:val="2"/>
        </w:numPr>
        <w:kinsoku/>
        <w:wordWrap/>
        <w:overflowPunct/>
        <w:topLinePunct w:val="0"/>
        <w:autoSpaceDE/>
        <w:autoSpaceDN/>
        <w:bidi w:val="0"/>
        <w:adjustRightInd/>
        <w:snapToGrid/>
        <w:spacing w:before="0" w:after="0" w:line="560" w:lineRule="exact"/>
        <w:ind w:firstLine="643" w:firstLineChars="200"/>
        <w:jc w:val="both"/>
        <w:rPr>
          <w:rFonts w:hint="default" w:ascii="Times New Roman" w:hAnsi="Times New Roman" w:eastAsia="楷体" w:cs="Times New Roman"/>
          <w:color w:val="000000"/>
          <w:spacing w:val="0"/>
          <w:kern w:val="0"/>
          <w:highlight w:val="none"/>
        </w:rPr>
      </w:pPr>
      <w:r>
        <w:rPr>
          <w:rFonts w:hint="default" w:ascii="Times New Roman" w:hAnsi="Times New Roman" w:eastAsia="楷体" w:cs="Times New Roman"/>
          <w:color w:val="000000"/>
          <w:spacing w:val="0"/>
          <w:kern w:val="0"/>
          <w:highlight w:val="none"/>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0"/>
          <w:kern w:val="0"/>
          <w:sz w:val="32"/>
          <w:szCs w:val="32"/>
          <w:highlight w:val="none"/>
        </w:rPr>
      </w:pPr>
      <w:r>
        <w:rPr>
          <w:rFonts w:hint="default" w:ascii="Times New Roman" w:hAnsi="Times New Roman" w:eastAsia="仿宋_GB2312" w:cs="Times New Roman"/>
          <w:spacing w:val="0"/>
          <w:kern w:val="0"/>
          <w:sz w:val="32"/>
          <w:szCs w:val="32"/>
          <w:highlight w:val="none"/>
          <w:lang w:eastAsia="zh-CN"/>
        </w:rPr>
        <w:t>（</w:t>
      </w:r>
      <w:r>
        <w:rPr>
          <w:rFonts w:hint="default" w:ascii="Times New Roman" w:hAnsi="Times New Roman" w:eastAsia="仿宋_GB2312" w:cs="Times New Roman"/>
          <w:spacing w:val="0"/>
          <w:kern w:val="0"/>
          <w:sz w:val="32"/>
          <w:szCs w:val="32"/>
          <w:highlight w:val="none"/>
          <w:lang w:val="en-US" w:eastAsia="zh-CN"/>
        </w:rPr>
        <w:t>1</w:t>
      </w:r>
      <w:r>
        <w:rPr>
          <w:rFonts w:hint="default" w:ascii="Times New Roman" w:hAnsi="Times New Roman" w:eastAsia="仿宋_GB2312" w:cs="Times New Roman"/>
          <w:spacing w:val="0"/>
          <w:kern w:val="0"/>
          <w:sz w:val="32"/>
          <w:szCs w:val="32"/>
          <w:highlight w:val="none"/>
          <w:lang w:eastAsia="zh-CN"/>
        </w:rPr>
        <w:t>）</w:t>
      </w:r>
      <w:r>
        <w:rPr>
          <w:rFonts w:hint="default" w:ascii="Times New Roman" w:hAnsi="Times New Roman" w:eastAsia="仿宋_GB2312" w:cs="Times New Roman"/>
          <w:spacing w:val="0"/>
          <w:kern w:val="0"/>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0"/>
          <w:kern w:val="0"/>
          <w:sz w:val="32"/>
          <w:szCs w:val="32"/>
          <w:highlight w:val="none"/>
        </w:rPr>
      </w:pPr>
      <w:r>
        <w:rPr>
          <w:rFonts w:hint="default" w:ascii="Times New Roman" w:hAnsi="Times New Roman" w:eastAsia="仿宋_GB2312" w:cs="Times New Roman"/>
          <w:spacing w:val="0"/>
          <w:kern w:val="0"/>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0"/>
          <w:kern w:val="0"/>
          <w:sz w:val="32"/>
          <w:szCs w:val="32"/>
          <w:highlight w:val="none"/>
          <w:lang w:eastAsia="zh-CN"/>
        </w:rPr>
      </w:pPr>
      <w:r>
        <w:rPr>
          <w:rFonts w:hint="default" w:ascii="Times New Roman" w:hAnsi="Times New Roman" w:eastAsia="仿宋_GB2312" w:cs="Times New Roman"/>
          <w:spacing w:val="0"/>
          <w:kern w:val="0"/>
          <w:sz w:val="32"/>
          <w:szCs w:val="32"/>
          <w:highlight w:val="none"/>
          <w:lang w:eastAsia="zh-CN"/>
        </w:rPr>
        <w:t>（</w:t>
      </w:r>
      <w:r>
        <w:rPr>
          <w:rFonts w:hint="default" w:ascii="Times New Roman" w:hAnsi="Times New Roman" w:eastAsia="仿宋_GB2312" w:cs="Times New Roman"/>
          <w:spacing w:val="0"/>
          <w:kern w:val="0"/>
          <w:sz w:val="32"/>
          <w:szCs w:val="32"/>
          <w:highlight w:val="none"/>
          <w:lang w:val="en-US" w:eastAsia="zh-CN"/>
        </w:rPr>
        <w:t>2</w:t>
      </w:r>
      <w:r>
        <w:rPr>
          <w:rFonts w:hint="default" w:ascii="Times New Roman" w:hAnsi="Times New Roman" w:eastAsia="仿宋_GB2312" w:cs="Times New Roman"/>
          <w:spacing w:val="0"/>
          <w:kern w:val="0"/>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0"/>
          <w:kern w:val="0"/>
          <w:sz w:val="32"/>
          <w:szCs w:val="32"/>
          <w:highlight w:val="none"/>
          <w:lang w:eastAsia="zh-CN"/>
        </w:rPr>
      </w:pPr>
      <w:r>
        <w:rPr>
          <w:rFonts w:hint="default" w:ascii="Times New Roman" w:hAnsi="Times New Roman" w:eastAsia="仿宋_GB2312" w:cs="Times New Roman"/>
          <w:spacing w:val="0"/>
          <w:kern w:val="0"/>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0"/>
          <w:kern w:val="0"/>
          <w:sz w:val="32"/>
          <w:szCs w:val="32"/>
          <w:highlight w:val="none"/>
        </w:rPr>
        <w:t>项目决策、项目过程、项目产出、项目效益四个维度</w:t>
      </w:r>
      <w:r>
        <w:rPr>
          <w:rFonts w:hint="default" w:ascii="Times New Roman" w:hAnsi="Times New Roman" w:eastAsia="仿宋_GB2312" w:cs="Times New Roman"/>
          <w:spacing w:val="0"/>
          <w:kern w:val="0"/>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0"/>
          <w:kern w:val="0"/>
          <w:sz w:val="32"/>
          <w:szCs w:val="32"/>
          <w:highlight w:val="none"/>
          <w:lang w:eastAsia="zh-CN"/>
        </w:rPr>
      </w:pPr>
      <w:r>
        <w:rPr>
          <w:rFonts w:hint="default" w:ascii="Times New Roman" w:hAnsi="Times New Roman" w:eastAsia="仿宋_GB2312" w:cs="Times New Roman"/>
          <w:spacing w:val="0"/>
          <w:kern w:val="0"/>
          <w:sz w:val="32"/>
          <w:szCs w:val="32"/>
          <w:highlight w:val="none"/>
          <w:lang w:eastAsia="zh-CN"/>
        </w:rPr>
        <w:t>（</w:t>
      </w:r>
      <w:r>
        <w:rPr>
          <w:rFonts w:hint="default" w:ascii="Times New Roman" w:hAnsi="Times New Roman" w:eastAsia="仿宋_GB2312" w:cs="Times New Roman"/>
          <w:spacing w:val="0"/>
          <w:kern w:val="0"/>
          <w:sz w:val="32"/>
          <w:szCs w:val="32"/>
          <w:highlight w:val="none"/>
          <w:lang w:val="en-US" w:eastAsia="zh-CN"/>
        </w:rPr>
        <w:t>3</w:t>
      </w:r>
      <w:r>
        <w:rPr>
          <w:rFonts w:hint="default" w:ascii="Times New Roman" w:hAnsi="Times New Roman" w:eastAsia="仿宋_GB2312" w:cs="Times New Roman"/>
          <w:spacing w:val="0"/>
          <w:kern w:val="0"/>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0"/>
          <w:kern w:val="0"/>
          <w:sz w:val="32"/>
          <w:szCs w:val="32"/>
          <w:highlight w:val="none"/>
          <w:lang w:eastAsia="zh-CN"/>
        </w:rPr>
      </w:pPr>
      <w:r>
        <w:rPr>
          <w:rFonts w:hint="default" w:ascii="Times New Roman" w:hAnsi="Times New Roman" w:eastAsia="仿宋_GB2312" w:cs="Times New Roman"/>
          <w:spacing w:val="0"/>
          <w:kern w:val="0"/>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0"/>
          <w:kern w:val="0"/>
          <w:sz w:val="32"/>
          <w:szCs w:val="32"/>
          <w:highlight w:val="none"/>
          <w:lang w:eastAsia="zh-CN"/>
        </w:rPr>
      </w:pPr>
      <w:r>
        <w:rPr>
          <w:rFonts w:hint="default" w:ascii="Times New Roman" w:hAnsi="Times New Roman" w:eastAsia="仿宋_GB2312" w:cs="Times New Roman"/>
          <w:spacing w:val="0"/>
          <w:kern w:val="0"/>
          <w:sz w:val="32"/>
          <w:szCs w:val="32"/>
          <w:highlight w:val="none"/>
          <w:lang w:eastAsia="zh-CN"/>
        </w:rPr>
        <w:t>（</w:t>
      </w:r>
      <w:r>
        <w:rPr>
          <w:rFonts w:hint="default" w:ascii="Times New Roman" w:hAnsi="Times New Roman" w:eastAsia="仿宋_GB2312" w:cs="Times New Roman"/>
          <w:spacing w:val="0"/>
          <w:kern w:val="0"/>
          <w:sz w:val="32"/>
          <w:szCs w:val="32"/>
          <w:highlight w:val="none"/>
          <w:lang w:val="en-US" w:eastAsia="zh-CN"/>
        </w:rPr>
        <w:t>4</w:t>
      </w:r>
      <w:r>
        <w:rPr>
          <w:rFonts w:hint="default" w:ascii="Times New Roman" w:hAnsi="Times New Roman" w:eastAsia="仿宋_GB2312" w:cs="Times New Roman"/>
          <w:spacing w:val="0"/>
          <w:kern w:val="0"/>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0"/>
          <w:kern w:val="0"/>
          <w:sz w:val="32"/>
          <w:szCs w:val="32"/>
          <w:highlight w:val="none"/>
          <w:lang w:eastAsia="zh-CN"/>
        </w:rPr>
      </w:pPr>
      <w:r>
        <w:rPr>
          <w:rFonts w:hint="default" w:ascii="Times New Roman" w:hAnsi="Times New Roman" w:eastAsia="仿宋_GB2312" w:cs="Times New Roman"/>
          <w:spacing w:val="0"/>
          <w:kern w:val="0"/>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0"/>
          <w:kern w:val="0"/>
          <w:sz w:val="32"/>
          <w:szCs w:val="32"/>
          <w:highlight w:val="none"/>
          <w:lang w:eastAsia="zh-CN"/>
        </w:rPr>
      </w:pPr>
      <w:r>
        <w:rPr>
          <w:rFonts w:hint="default" w:ascii="Times New Roman" w:hAnsi="Times New Roman" w:eastAsia="仿宋_GB2312" w:cs="Times New Roman"/>
          <w:spacing w:val="0"/>
          <w:kern w:val="0"/>
          <w:sz w:val="32"/>
          <w:szCs w:val="32"/>
          <w:highlight w:val="none"/>
          <w:lang w:eastAsia="zh-CN"/>
        </w:rPr>
        <w:t>（</w:t>
      </w:r>
      <w:r>
        <w:rPr>
          <w:rFonts w:hint="default" w:ascii="Times New Roman" w:hAnsi="Times New Roman" w:eastAsia="仿宋_GB2312" w:cs="Times New Roman"/>
          <w:spacing w:val="0"/>
          <w:kern w:val="0"/>
          <w:sz w:val="32"/>
          <w:szCs w:val="32"/>
          <w:highlight w:val="none"/>
          <w:lang w:val="en-US" w:eastAsia="zh-CN"/>
        </w:rPr>
        <w:t>5</w:t>
      </w:r>
      <w:r>
        <w:rPr>
          <w:rFonts w:hint="default" w:ascii="Times New Roman" w:hAnsi="Times New Roman" w:eastAsia="仿宋_GB2312" w:cs="Times New Roman"/>
          <w:spacing w:val="0"/>
          <w:kern w:val="0"/>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0"/>
          <w:kern w:val="0"/>
          <w:sz w:val="32"/>
          <w:szCs w:val="32"/>
          <w:highlight w:val="none"/>
          <w:lang w:eastAsia="zh-CN"/>
        </w:rPr>
      </w:pPr>
      <w:r>
        <w:rPr>
          <w:rFonts w:hint="default" w:ascii="Times New Roman" w:hAnsi="Times New Roman" w:eastAsia="仿宋_GB2312" w:cs="Times New Roman"/>
          <w:spacing w:val="0"/>
          <w:kern w:val="0"/>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0"/>
          <w:kern w:val="0"/>
          <w:sz w:val="32"/>
          <w:szCs w:val="32"/>
          <w:highlight w:val="none"/>
          <w:lang w:eastAsia="zh-CN"/>
        </w:rPr>
      </w:pPr>
      <w:r>
        <w:rPr>
          <w:rFonts w:hint="default" w:ascii="Times New Roman" w:hAnsi="Times New Roman" w:eastAsia="仿宋_GB2312" w:cs="Times New Roman"/>
          <w:spacing w:val="0"/>
          <w:kern w:val="0"/>
          <w:sz w:val="32"/>
          <w:szCs w:val="32"/>
          <w:highlight w:val="none"/>
          <w:lang w:eastAsia="zh-CN"/>
        </w:rPr>
        <w:t>（</w:t>
      </w:r>
      <w:r>
        <w:rPr>
          <w:rFonts w:hint="default" w:ascii="Times New Roman" w:hAnsi="Times New Roman" w:eastAsia="仿宋_GB2312" w:cs="Times New Roman"/>
          <w:spacing w:val="0"/>
          <w:kern w:val="0"/>
          <w:sz w:val="32"/>
          <w:szCs w:val="32"/>
          <w:highlight w:val="none"/>
          <w:lang w:val="en-US" w:eastAsia="zh-CN"/>
        </w:rPr>
        <w:t>6</w:t>
      </w:r>
      <w:r>
        <w:rPr>
          <w:rFonts w:hint="default" w:ascii="Times New Roman" w:hAnsi="Times New Roman" w:eastAsia="仿宋_GB2312" w:cs="Times New Roman"/>
          <w:spacing w:val="0"/>
          <w:kern w:val="0"/>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0"/>
          <w:kern w:val="0"/>
          <w:sz w:val="32"/>
          <w:szCs w:val="32"/>
          <w:highlight w:val="none"/>
          <w:lang w:eastAsia="zh-CN"/>
        </w:rPr>
      </w:pPr>
      <w:r>
        <w:rPr>
          <w:rFonts w:hint="default" w:ascii="Times New Roman" w:hAnsi="Times New Roman" w:eastAsia="仿宋_GB2312" w:cs="Times New Roman"/>
          <w:spacing w:val="0"/>
          <w:kern w:val="0"/>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pageBreakBefore w:val="0"/>
        <w:numPr>
          <w:ilvl w:val="0"/>
          <w:numId w:val="3"/>
        </w:numPr>
        <w:kinsoku/>
        <w:wordWrap/>
        <w:overflowPunct/>
        <w:topLinePunct w:val="0"/>
        <w:autoSpaceDE/>
        <w:autoSpaceDN/>
        <w:bidi w:val="0"/>
        <w:adjustRightInd/>
        <w:snapToGrid/>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伊犁州特克斯县</w:t>
      </w:r>
      <w:r>
        <w:rPr>
          <w:rFonts w:hint="eastAsia" w:eastAsia="仿宋_GB2312" w:cs="Times New Roman"/>
          <w:color w:val="auto"/>
          <w:sz w:val="32"/>
          <w:szCs w:val="32"/>
          <w:highlight w:val="none"/>
          <w:lang w:eastAsia="zh-CN"/>
        </w:rPr>
        <w:t>呼吉尔特蒙古族乡</w:t>
      </w:r>
      <w:r>
        <w:rPr>
          <w:rFonts w:hint="default" w:ascii="Times New Roman" w:hAnsi="Times New Roman" w:eastAsia="仿宋_GB2312" w:cs="Times New Roman"/>
          <w:color w:val="auto"/>
          <w:sz w:val="32"/>
          <w:szCs w:val="32"/>
          <w:highlight w:val="none"/>
        </w:rPr>
        <w:t>牧民越冬放牧点生产用房（居住）建设项目</w:t>
      </w:r>
      <w:r>
        <w:rPr>
          <w:rFonts w:hint="default" w:ascii="Times New Roman" w:hAnsi="Times New Roman" w:eastAsia="仿宋_GB2312" w:cs="Times New Roman"/>
          <w:sz w:val="32"/>
          <w:szCs w:val="32"/>
          <w:highlight w:val="none"/>
        </w:rPr>
        <w:t>在完成拆除及新建工作</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在综合研判我</w:t>
      </w:r>
      <w:r>
        <w:rPr>
          <w:rFonts w:hint="eastAsia" w:eastAsia="仿宋_GB2312" w:cs="Times New Roman"/>
          <w:sz w:val="32"/>
          <w:szCs w:val="32"/>
          <w:highlight w:val="none"/>
          <w:lang w:eastAsia="zh-CN"/>
        </w:rPr>
        <w:t>乡</w:t>
      </w:r>
      <w:r>
        <w:rPr>
          <w:rFonts w:hint="default" w:ascii="Times New Roman" w:hAnsi="Times New Roman" w:eastAsia="仿宋_GB2312" w:cs="Times New Roman"/>
          <w:sz w:val="32"/>
          <w:szCs w:val="32"/>
          <w:highlight w:val="none"/>
        </w:rPr>
        <w:t>牧区地质结构和运费的基础上，实施面积为15-30平方米木结构房屋，轻钢房，共建</w:t>
      </w:r>
      <w:r>
        <w:rPr>
          <w:rFonts w:hint="eastAsia" w:eastAsia="仿宋_GB2312" w:cs="Times New Roman"/>
          <w:sz w:val="32"/>
          <w:szCs w:val="32"/>
          <w:highlight w:val="none"/>
          <w:lang w:val="en-US" w:eastAsia="zh-CN"/>
        </w:rPr>
        <w:t>50</w:t>
      </w:r>
      <w:r>
        <w:rPr>
          <w:rFonts w:hint="default" w:ascii="Times New Roman" w:hAnsi="Times New Roman" w:eastAsia="仿宋_GB2312" w:cs="Times New Roman"/>
          <w:sz w:val="32"/>
          <w:szCs w:val="32"/>
          <w:highlight w:val="none"/>
        </w:rPr>
        <w:t>户，单户建房价格控制在3万元以内，同时达到抗震、保温、防水要求，牧民越冬放牧点生产用房(居住)建成后上级有关部门按照相关要求进行验收</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改善牧民生活环境，提供牧民住房保障，提供居民生活水平等方面表现出色，达到了预期的标准与要求。同时，项目也在</w:t>
      </w:r>
      <w:r>
        <w:rPr>
          <w:rFonts w:hint="eastAsia" w:eastAsia="仿宋_GB2312" w:cs="Times New Roman"/>
          <w:sz w:val="32"/>
          <w:szCs w:val="32"/>
          <w:highlight w:val="none"/>
          <w:lang w:val="en-US" w:eastAsia="zh-CN"/>
        </w:rPr>
        <w:t>实施中</w:t>
      </w:r>
      <w:r>
        <w:rPr>
          <w:rFonts w:hint="default" w:ascii="Times New Roman" w:hAnsi="Times New Roman" w:eastAsia="仿宋_GB2312" w:cs="Times New Roman"/>
          <w:sz w:val="32"/>
          <w:szCs w:val="32"/>
          <w:highlight w:val="none"/>
        </w:rPr>
        <w:t>取得了显著的成效，如完成拆除及新建工作</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在综合研判我镇牧区地质结构和运费的基础上，实施面积为15-30平方米木结构房屋，轻钢房，共建</w:t>
      </w:r>
      <w:r>
        <w:rPr>
          <w:rFonts w:hint="eastAsia" w:eastAsia="仿宋_GB2312" w:cs="Times New Roman"/>
          <w:sz w:val="32"/>
          <w:szCs w:val="32"/>
          <w:highlight w:val="none"/>
          <w:lang w:val="en-US" w:eastAsia="zh-CN"/>
        </w:rPr>
        <w:t>50</w:t>
      </w:r>
      <w:r>
        <w:rPr>
          <w:rFonts w:hint="default" w:ascii="Times New Roman" w:hAnsi="Times New Roman" w:eastAsia="仿宋_GB2312" w:cs="Times New Roman"/>
          <w:sz w:val="32"/>
          <w:szCs w:val="32"/>
          <w:highlight w:val="none"/>
        </w:rPr>
        <w:t>户，单户建房价格控制在3万元以内，同时达到抗震、保温、防水要求，牧民越冬放牧点生产用房(居住)建成后上级有关部门按照相关要求进行验收</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改善牧民生活环境，提供牧民住房保障，提供居民生活水平等。</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特克斯县呼吉尔特蒙古族乡人民政府</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从项目效益的角度来看，本项目不仅实现了预期的社会效益等方面产生了积极的影响。具体而言，城乡抗震安居工程建设房屋安全隐患排查整治成果等方面的提升，为项目的利益相关者带来了实实在在的利益。</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伊犁州特克斯县</w:t>
      </w:r>
      <w:r>
        <w:rPr>
          <w:rFonts w:hint="eastAsia" w:eastAsia="仿宋_GB2312" w:cs="Times New Roman"/>
          <w:sz w:val="32"/>
          <w:szCs w:val="32"/>
          <w:highlight w:val="none"/>
          <w:lang w:eastAsia="zh-CN"/>
        </w:rPr>
        <w:t>呼吉尔特蒙古族乡</w:t>
      </w:r>
      <w:r>
        <w:rPr>
          <w:rFonts w:hint="eastAsia" w:ascii="Times New Roman" w:hAnsi="Times New Roman" w:eastAsia="仿宋_GB2312" w:cs="Times New Roman"/>
          <w:sz w:val="32"/>
          <w:szCs w:val="32"/>
          <w:highlight w:val="none"/>
        </w:rPr>
        <w:t>牧民越冬放牧点生产用房（居住）建设项目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pPr>
        <w:pStyle w:val="1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highlight w:val="none"/>
          <w:lang w:val="en-US" w:eastAsia="zh-CN"/>
        </w:rPr>
        <w:t>99</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95</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39</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97.5</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422" w:firstLineChars="200"/>
        <w:textAlignment w:val="auto"/>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rPr>
        <w:t>表1综合评分表</w:t>
      </w:r>
    </w:p>
    <w:tbl>
      <w:tblPr>
        <w:tblStyle w:val="16"/>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22" w:firstLineChars="200"/>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22" w:firstLineChars="200"/>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22" w:firstLineChars="200"/>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20" w:firstLineChars="200"/>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20" w:firstLineChars="200"/>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20" w:firstLineChars="200"/>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20" w:firstLineChars="200"/>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20" w:firstLineChars="200"/>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20" w:firstLineChars="200"/>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19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20" w:firstLineChars="200"/>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20" w:firstLineChars="200"/>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20" w:firstLineChars="200"/>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39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20" w:firstLineChars="200"/>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20" w:firstLineChars="200"/>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20" w:firstLineChars="200"/>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22" w:firstLineChars="200"/>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22" w:firstLineChars="200"/>
              <w:jc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仿宋_GB2312" w:cs="Times New Roman"/>
                <w:b/>
                <w:bCs/>
                <w:color w:val="000000"/>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22" w:firstLineChars="200"/>
              <w:jc w:val="center"/>
              <w:rPr>
                <w:rFonts w:hint="default" w:ascii="Times New Roman" w:hAnsi="Times New Roman" w:eastAsia="仿宋_GB2312" w:cs="Times New Roman"/>
                <w:b/>
                <w:bCs/>
                <w:color w:val="000000"/>
                <w:sz w:val="21"/>
                <w:szCs w:val="21"/>
                <w:highlight w:val="none"/>
                <w:lang w:val="en-US" w:eastAsia="zh-CN"/>
              </w:rPr>
            </w:pPr>
            <w:r>
              <w:rPr>
                <w:rFonts w:hint="eastAsia" w:eastAsia="仿宋_GB2312" w:cs="Times New Roman"/>
                <w:b/>
                <w:bCs/>
                <w:color w:val="000000"/>
                <w:sz w:val="21"/>
                <w:szCs w:val="21"/>
                <w:highlight w:val="none"/>
                <w:lang w:val="en-US" w:eastAsia="zh-CN"/>
              </w:rPr>
              <w:t>98</w:t>
            </w:r>
          </w:p>
        </w:tc>
      </w:tr>
    </w:tbl>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pPr>
        <w:pStyle w:val="12"/>
        <w:pageBreakBefore w:val="0"/>
        <w:kinsoku/>
        <w:wordWrap/>
        <w:overflowPunct/>
        <w:topLinePunct w:val="0"/>
        <w:autoSpaceDE/>
        <w:autoSpaceDN/>
        <w:bidi w:val="0"/>
        <w:adjustRightInd/>
        <w:snapToGrid/>
        <w:spacing w:before="0" w:after="0" w:line="560" w:lineRule="exact"/>
        <w:ind w:firstLine="643"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（1）立项依据充分性</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（2）立项程序规范性</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项目申请、设立过程符合相关要求，</w:t>
      </w:r>
      <w:r>
        <w:rPr>
          <w:rFonts w:hint="default" w:ascii="Times New Roman" w:hAnsi="Times New Roman" w:eastAsia="仿宋_GB2312" w:cs="Times New Roman"/>
          <w:sz w:val="32"/>
          <w:szCs w:val="32"/>
          <w:highlight w:val="none"/>
          <w:lang w:eastAsia="zh-Hans"/>
        </w:rPr>
        <w:t>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2.绩效目标</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（1）绩效目标合理性</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Hans"/>
        </w:rPr>
        <w:t>年初结合实际工作内容</w:t>
      </w:r>
      <w:r>
        <w:rPr>
          <w:rFonts w:hint="default" w:ascii="Times New Roman" w:hAnsi="Times New Roman" w:eastAsia="仿宋_GB2312" w:cs="Times New Roman"/>
          <w:sz w:val="32"/>
          <w:szCs w:val="32"/>
          <w:highlight w:val="none"/>
          <w:lang w:val="en-US" w:eastAsia="zh-CN"/>
        </w:rPr>
        <w:t>设定绩效目标</w:t>
      </w:r>
      <w:r>
        <w:rPr>
          <w:rFonts w:hint="default" w:ascii="Times New Roman" w:hAnsi="Times New Roman" w:eastAsia="仿宋_GB2312" w:cs="Times New Roman"/>
          <w:sz w:val="32"/>
          <w:szCs w:val="32"/>
          <w:highlight w:val="none"/>
          <w:lang w:val="en-US" w:eastAsia="zh-Hans"/>
        </w:rPr>
        <w:t>，绩效目标</w:t>
      </w:r>
      <w:r>
        <w:rPr>
          <w:rFonts w:hint="default" w:ascii="Times New Roman" w:hAnsi="Times New Roman" w:eastAsia="仿宋_GB2312" w:cs="Times New Roman"/>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（2）绩效指标明确性</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3.资金投入</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2"/>
        <w:pageBreakBefore w:val="0"/>
        <w:numPr>
          <w:ilvl w:val="0"/>
          <w:numId w:val="4"/>
        </w:numPr>
        <w:kinsoku/>
        <w:wordWrap/>
        <w:overflowPunct/>
        <w:topLinePunct w:val="0"/>
        <w:autoSpaceDE/>
        <w:autoSpaceDN/>
        <w:bidi w:val="0"/>
        <w:adjustRightInd/>
        <w:snapToGrid/>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150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119.84</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80</w:t>
      </w:r>
      <w:r>
        <w:rPr>
          <w:rFonts w:hint="default" w:ascii="Times New Roman" w:hAnsi="Times New Roman" w:eastAsia="仿宋_GB2312" w:cs="Times New Roman"/>
          <w:sz w:val="32"/>
          <w:szCs w:val="32"/>
          <w:highlight w:val="none"/>
          <w:lang w:val="en-US" w:eastAsia="zh-CN"/>
        </w:rPr>
        <w:t>%。</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综上所述，本项目的管理制度在执行过程中表现出了高度的有效性，既确保了项目的顺利进行，又实现了项目目标的有效达成。</w:t>
      </w:r>
    </w:p>
    <w:p>
      <w:pPr>
        <w:pStyle w:val="14"/>
        <w:pageBreakBefore w:val="0"/>
        <w:numPr>
          <w:ilvl w:val="0"/>
          <w:numId w:val="4"/>
        </w:numPr>
        <w:kinsoku/>
        <w:wordWrap/>
        <w:overflowPunct/>
        <w:topLinePunct w:val="0"/>
        <w:autoSpaceDE/>
        <w:autoSpaceDN/>
        <w:bidi w:val="0"/>
        <w:adjustRightInd/>
        <w:snapToGrid/>
        <w:spacing w:after="0"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eastAsia" w:ascii="Times New Roman" w:hAnsi="Times New Roman" w:eastAsia="仿宋_GB2312" w:cs="Times New Roman"/>
          <w:sz w:val="32"/>
          <w:szCs w:val="32"/>
          <w:highlight w:val="none"/>
          <w:lang w:eastAsia="zh-CN"/>
        </w:rPr>
      </w:pPr>
      <w:bookmarkStart w:id="1" w:name="OLE_LINK4"/>
      <w:r>
        <w:rPr>
          <w:rFonts w:hint="default" w:ascii="Times New Roman" w:hAnsi="Times New Roman" w:eastAsia="仿宋_GB2312" w:cs="Times New Roman"/>
          <w:sz w:val="32"/>
          <w:szCs w:val="32"/>
          <w:highlight w:val="none"/>
        </w:rPr>
        <w:t>指标1：新建放牧越冬户数，指标值：</w:t>
      </w:r>
      <w:r>
        <w:rPr>
          <w:rFonts w:hint="eastAsia" w:eastAsia="仿宋_GB2312" w:cs="Times New Roman"/>
          <w:sz w:val="32"/>
          <w:szCs w:val="32"/>
          <w:highlight w:val="none"/>
          <w:lang w:val="en-US" w:eastAsia="zh-CN"/>
        </w:rPr>
        <w:t>=50户</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50户</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指标1：安歇已完成执行率，</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bookmarkEnd w:id="1"/>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rPr>
      </w:pPr>
      <w:bookmarkStart w:id="2" w:name="OLE_LINK6"/>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财政资金下达及时率，</w:t>
      </w:r>
      <w:r>
        <w:rPr>
          <w:rFonts w:hint="default" w:ascii="Times New Roman" w:hAnsi="Times New Roman" w:eastAsia="仿宋_GB2312" w:cs="Times New Roman"/>
          <w:sz w:val="32"/>
          <w:szCs w:val="32"/>
          <w:highlight w:val="none"/>
        </w:rPr>
        <w:t>指标值：=100%，实际完成值：</w:t>
      </w:r>
      <w:r>
        <w:rPr>
          <w:rFonts w:hint="eastAsia" w:eastAsia="仿宋_GB2312" w:cs="Times New Roman"/>
          <w:sz w:val="32"/>
          <w:szCs w:val="32"/>
          <w:highlight w:val="none"/>
          <w:lang w:val="en-US" w:eastAsia="zh-CN"/>
        </w:rPr>
        <w:t>80</w:t>
      </w:r>
      <w:r>
        <w:rPr>
          <w:rFonts w:hint="default" w:ascii="Times New Roman" w:hAnsi="Times New Roman" w:eastAsia="仿宋_GB2312" w:cs="Times New Roman"/>
          <w:sz w:val="32"/>
          <w:szCs w:val="32"/>
          <w:highlight w:val="none"/>
        </w:rPr>
        <w:t>%，指标完成率</w:t>
      </w:r>
      <w:bookmarkStart w:id="3" w:name="OLE_LINK5"/>
      <w:r>
        <w:rPr>
          <w:rFonts w:hint="eastAsia" w:eastAsia="仿宋_GB2312" w:cs="Times New Roman"/>
          <w:sz w:val="32"/>
          <w:szCs w:val="32"/>
          <w:highlight w:val="none"/>
          <w:lang w:val="en-US" w:eastAsia="zh-CN"/>
        </w:rPr>
        <w:t>80</w:t>
      </w:r>
      <w:r>
        <w:rPr>
          <w:rFonts w:hint="default" w:ascii="Times New Roman" w:hAnsi="Times New Roman" w:eastAsia="仿宋_GB2312" w:cs="Times New Roman"/>
          <w:sz w:val="32"/>
          <w:szCs w:val="32"/>
          <w:highlight w:val="none"/>
        </w:rPr>
        <w:t>%</w:t>
      </w:r>
      <w:bookmarkEnd w:id="3"/>
      <w:r>
        <w:rPr>
          <w:rFonts w:hint="eastAsia" w:ascii="Times New Roman" w:hAnsi="Times New Roman" w:eastAsia="仿宋_GB2312" w:cs="Times New Roman"/>
          <w:sz w:val="32"/>
          <w:szCs w:val="32"/>
          <w:highlight w:val="none"/>
          <w:lang w:eastAsia="zh-CN"/>
        </w:rPr>
        <w:t>；</w:t>
      </w:r>
    </w:p>
    <w:bookmarkEnd w:id="2"/>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w:t>
      </w:r>
      <w:r>
        <w:rPr>
          <w:rFonts w:hint="default" w:ascii="Times New Roman" w:hAnsi="Times New Roman" w:eastAsia="仿宋_GB2312" w:cs="Times New Roman"/>
          <w:sz w:val="32"/>
          <w:szCs w:val="32"/>
          <w:highlight w:val="none"/>
        </w:rPr>
        <w:t>竣工验收合格率，指标值：=100%，实际完成值：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bookmarkStart w:id="4" w:name="OLE_LINK8"/>
      <w:r>
        <w:rPr>
          <w:rFonts w:hint="default" w:ascii="Times New Roman" w:hAnsi="Times New Roman" w:eastAsia="仿宋_GB2312" w:cs="Times New Roman"/>
          <w:sz w:val="32"/>
          <w:szCs w:val="32"/>
          <w:highlight w:val="none"/>
        </w:rPr>
        <w:t>指标1：新建放牧越冬</w:t>
      </w:r>
      <w:r>
        <w:rPr>
          <w:rFonts w:hint="eastAsia" w:eastAsia="仿宋_GB2312" w:cs="Times New Roman"/>
          <w:sz w:val="32"/>
          <w:szCs w:val="32"/>
          <w:highlight w:val="none"/>
          <w:lang w:eastAsia="zh-CN"/>
        </w:rPr>
        <w:t>建设项目成本</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150</w:t>
      </w:r>
      <w:r>
        <w:rPr>
          <w:rFonts w:hint="default" w:ascii="Times New Roman" w:hAnsi="Times New Roman" w:eastAsia="仿宋_GB2312" w:cs="Times New Roman"/>
          <w:sz w:val="32"/>
          <w:szCs w:val="32"/>
          <w:highlight w:val="none"/>
        </w:rPr>
        <w:t>万元，实际完成值：</w:t>
      </w:r>
      <w:r>
        <w:rPr>
          <w:rFonts w:hint="eastAsia" w:eastAsia="仿宋_GB2312" w:cs="Times New Roman"/>
          <w:sz w:val="32"/>
          <w:szCs w:val="32"/>
          <w:highlight w:val="none"/>
          <w:lang w:val="en-US" w:eastAsia="zh-CN"/>
        </w:rPr>
        <w:t>119.84万元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80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4"/>
      <w:r>
        <w:rPr>
          <w:rFonts w:hint="eastAsia" w:eastAsia="仿宋_GB2312" w:cs="Times New Roman"/>
          <w:sz w:val="32"/>
          <w:szCs w:val="32"/>
          <w:highlight w:val="none"/>
          <w:lang w:val="en-US" w:eastAsia="zh-CN"/>
        </w:rPr>
        <w:t>偏差原因：按合同要求验收后给80%，等结算完之后给剩下的15% 30.16万元。</w:t>
      </w:r>
    </w:p>
    <w:p>
      <w:pPr>
        <w:pStyle w:val="14"/>
        <w:pageBreakBefore w:val="0"/>
        <w:numPr>
          <w:ilvl w:val="0"/>
          <w:numId w:val="4"/>
        </w:numPr>
        <w:kinsoku/>
        <w:wordWrap/>
        <w:overflowPunct/>
        <w:topLinePunct w:val="0"/>
        <w:autoSpaceDE/>
        <w:autoSpaceDN/>
        <w:bidi w:val="0"/>
        <w:adjustRightInd/>
        <w:snapToGrid/>
        <w:spacing w:after="0" w:line="560" w:lineRule="exact"/>
        <w:ind w:firstLine="643" w:firstLineChars="200"/>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pageBreakBefore w:val="0"/>
        <w:numPr>
          <w:ilvl w:val="0"/>
          <w:numId w:val="5"/>
        </w:numPr>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pageBreakBefore w:val="0"/>
        <w:numPr>
          <w:ilvl w:val="0"/>
          <w:numId w:val="0"/>
        </w:numPr>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eastAsia" w:eastAsia="仿宋_GB2312" w:cs="Times New Roman"/>
          <w:sz w:val="32"/>
          <w:szCs w:val="32"/>
          <w:highlight w:val="none"/>
          <w:lang w:eastAsia="zh-CN"/>
        </w:rPr>
      </w:pPr>
      <w:bookmarkStart w:id="5" w:name="OLE_LINK9"/>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val="en-US" w:eastAsia="zh-CN"/>
        </w:rPr>
        <w:t>建设项目对牧民居住环境社会影响</w:t>
      </w:r>
      <w:r>
        <w:rPr>
          <w:rFonts w:hint="default" w:ascii="Times New Roman" w:hAnsi="Times New Roman" w:eastAsia="仿宋_GB2312" w:cs="Times New Roman"/>
          <w:sz w:val="32"/>
          <w:szCs w:val="32"/>
          <w:highlight w:val="none"/>
          <w:lang w:val="en-US" w:eastAsia="zh-CN"/>
        </w:rPr>
        <w:t>，指标值</w:t>
      </w:r>
      <w:r>
        <w:rPr>
          <w:rFonts w:hint="default" w:ascii="Times New Roman" w:hAnsi="Times New Roman" w:eastAsia="仿宋_GB2312" w:cs="Times New Roman"/>
          <w:sz w:val="32"/>
          <w:szCs w:val="32"/>
          <w:highlight w:val="none"/>
        </w:rPr>
        <w:t>：成效明显，实际完成值：成效明显，指标完成率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bookmarkEnd w:id="5"/>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指标1：服务对象满意度，指标值：&gt;=95%，实际完成值：95%，指标完成率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3" w:firstLineChars="200"/>
        <w:rPr>
          <w:rFonts w:hint="default" w:ascii="Times New Roman" w:hAnsi="Times New Roman" w:eastAsia="楷体_GB2312" w:cs="Times New Roman"/>
          <w:b/>
          <w:bCs/>
          <w:sz w:val="32"/>
          <w:szCs w:val="32"/>
          <w:highlight w:val="none"/>
          <w:lang w:val="en-US" w:eastAsia="zh-Han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eastAsia="zh-Hans"/>
        </w:rPr>
        <w:t>预算执行进度与绩效指标总体完成率偏差</w:t>
      </w:r>
    </w:p>
    <w:p>
      <w:pPr>
        <w:pStyle w:val="21"/>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伊犁州特克斯县</w:t>
      </w:r>
      <w:r>
        <w:rPr>
          <w:rFonts w:hint="eastAsia" w:eastAsia="仿宋_GB2312" w:cs="Times New Roman"/>
          <w:kern w:val="2"/>
          <w:sz w:val="32"/>
          <w:szCs w:val="32"/>
          <w:highlight w:val="none"/>
          <w:lang w:val="en-US" w:eastAsia="zh-CN" w:bidi="ar-SA"/>
        </w:rPr>
        <w:t>呼吉尔特蒙古族乡</w:t>
      </w:r>
      <w:r>
        <w:rPr>
          <w:rFonts w:hint="default" w:ascii="Times New Roman" w:hAnsi="Times New Roman" w:eastAsia="仿宋_GB2312" w:cs="Times New Roman"/>
          <w:kern w:val="2"/>
          <w:sz w:val="32"/>
          <w:szCs w:val="32"/>
          <w:highlight w:val="none"/>
          <w:lang w:val="en-US" w:eastAsia="zh-CN" w:bidi="ar-SA"/>
        </w:rPr>
        <w:t>牧民越冬放牧点生产用房（居住）建设项目年初预算</w:t>
      </w:r>
      <w:r>
        <w:rPr>
          <w:rFonts w:hint="eastAsia" w:eastAsia="仿宋_GB2312" w:cs="Times New Roman"/>
          <w:kern w:val="2"/>
          <w:sz w:val="32"/>
          <w:szCs w:val="32"/>
          <w:highlight w:val="none"/>
          <w:lang w:val="en-US" w:eastAsia="zh-CN" w:bidi="ar-SA"/>
        </w:rPr>
        <w:t>150</w:t>
      </w:r>
      <w:r>
        <w:rPr>
          <w:rFonts w:hint="default" w:ascii="Times New Roman" w:hAnsi="Times New Roman" w:eastAsia="仿宋_GB2312" w:cs="Times New Roman"/>
          <w:kern w:val="2"/>
          <w:sz w:val="32"/>
          <w:szCs w:val="32"/>
          <w:highlight w:val="none"/>
          <w:lang w:val="en-US" w:eastAsia="zh-CN" w:bidi="ar-SA"/>
        </w:rPr>
        <w:t>万元，全年预算</w:t>
      </w:r>
      <w:r>
        <w:rPr>
          <w:rFonts w:hint="eastAsia" w:eastAsia="仿宋_GB2312" w:cs="Times New Roman"/>
          <w:kern w:val="2"/>
          <w:sz w:val="32"/>
          <w:szCs w:val="32"/>
          <w:highlight w:val="none"/>
          <w:lang w:val="en-US" w:eastAsia="zh-CN" w:bidi="ar-SA"/>
        </w:rPr>
        <w:t>150</w:t>
      </w:r>
      <w:r>
        <w:rPr>
          <w:rFonts w:hint="default" w:ascii="Times New Roman" w:hAnsi="Times New Roman" w:eastAsia="仿宋_GB2312" w:cs="Times New Roman"/>
          <w:kern w:val="2"/>
          <w:sz w:val="32"/>
          <w:szCs w:val="32"/>
          <w:highlight w:val="none"/>
          <w:lang w:val="en-US" w:eastAsia="zh-CN" w:bidi="ar-SA"/>
        </w:rPr>
        <w:t>万元，实际支出</w:t>
      </w:r>
      <w:r>
        <w:rPr>
          <w:rFonts w:hint="eastAsia" w:eastAsia="仿宋_GB2312" w:cs="Times New Roman"/>
          <w:kern w:val="2"/>
          <w:sz w:val="32"/>
          <w:szCs w:val="32"/>
          <w:highlight w:val="none"/>
          <w:lang w:val="en-US" w:eastAsia="zh-CN" w:bidi="ar-SA"/>
        </w:rPr>
        <w:t>119.84</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eastAsia="仿宋_GB2312" w:cs="Times New Roman"/>
          <w:kern w:val="2"/>
          <w:sz w:val="32"/>
          <w:szCs w:val="32"/>
          <w:highlight w:val="none"/>
          <w:lang w:val="en-US" w:eastAsia="zh-CN" w:bidi="ar-SA"/>
        </w:rPr>
        <w:t>80</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98.13</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总体</w:t>
      </w:r>
      <w:r>
        <w:rPr>
          <w:rFonts w:hint="default" w:ascii="Times New Roman" w:hAnsi="Times New Roman" w:eastAsia="仿宋_GB2312" w:cs="Times New Roman"/>
          <w:kern w:val="2"/>
          <w:sz w:val="32"/>
          <w:szCs w:val="32"/>
          <w:highlight w:val="none"/>
          <w:lang w:val="en-US" w:eastAsia="zh-CN" w:bidi="ar-SA"/>
        </w:rPr>
        <w:t>偏差率为</w:t>
      </w:r>
      <w:r>
        <w:rPr>
          <w:rFonts w:hint="eastAsia" w:ascii="Times New Roman" w:hAnsi="Times New Roman" w:eastAsia="仿宋_GB2312" w:cs="Times New Roman"/>
          <w:kern w:val="2"/>
          <w:sz w:val="32"/>
          <w:szCs w:val="32"/>
          <w:highlight w:val="none"/>
          <w:lang w:val="en-US" w:eastAsia="zh-CN" w:bidi="ar-SA"/>
        </w:rPr>
        <w:t>1.87</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偏差</w:t>
      </w:r>
      <w:r>
        <w:rPr>
          <w:rFonts w:hint="default" w:ascii="Times New Roman" w:hAnsi="Times New Roman" w:eastAsia="仿宋_GB2312" w:cs="Times New Roman"/>
          <w:kern w:val="2"/>
          <w:sz w:val="32"/>
          <w:szCs w:val="32"/>
          <w:highlight w:val="none"/>
          <w:lang w:val="en-US" w:eastAsia="zh-CN" w:bidi="ar-SA"/>
        </w:rPr>
        <w:t>原因原因是按合同要求验收后</w:t>
      </w:r>
      <w:r>
        <w:rPr>
          <w:rFonts w:hint="eastAsia" w:ascii="Times New Roman" w:hAnsi="Times New Roman" w:eastAsia="仿宋_GB2312" w:cs="Times New Roman"/>
          <w:kern w:val="2"/>
          <w:sz w:val="32"/>
          <w:szCs w:val="32"/>
          <w:highlight w:val="none"/>
          <w:lang w:val="en-US" w:eastAsia="zh-CN" w:bidi="ar-SA"/>
        </w:rPr>
        <w:t>付</w:t>
      </w:r>
      <w:r>
        <w:rPr>
          <w:rFonts w:hint="default" w:ascii="Times New Roman" w:hAnsi="Times New Roman" w:eastAsia="仿宋_GB2312" w:cs="Times New Roman"/>
          <w:kern w:val="2"/>
          <w:sz w:val="32"/>
          <w:szCs w:val="32"/>
          <w:highlight w:val="none"/>
          <w:lang w:val="en-US" w:eastAsia="zh-CN" w:bidi="ar-SA"/>
        </w:rPr>
        <w:t>8</w:t>
      </w:r>
      <w:r>
        <w:rPr>
          <w:rFonts w:hint="eastAsia" w:eastAsia="仿宋_GB2312" w:cs="Times New Roman"/>
          <w:kern w:val="2"/>
          <w:sz w:val="32"/>
          <w:szCs w:val="32"/>
          <w:highlight w:val="none"/>
          <w:lang w:val="en-US" w:eastAsia="zh-CN" w:bidi="ar-SA"/>
        </w:rPr>
        <w:t>0</w:t>
      </w:r>
      <w:r>
        <w:rPr>
          <w:rFonts w:hint="eastAsia" w:ascii="Times New Roman" w:hAnsi="Times New Roman" w:eastAsia="仿宋_GB2312" w:cs="Times New Roman"/>
          <w:kern w:val="2"/>
          <w:sz w:val="32"/>
          <w:szCs w:val="32"/>
          <w:highlight w:val="none"/>
          <w:lang w:val="en-US" w:eastAsia="zh-CN" w:bidi="ar-SA"/>
        </w:rPr>
        <w:t>%的资金</w:t>
      </w:r>
      <w:r>
        <w:rPr>
          <w:rFonts w:hint="eastAsia" w:eastAsia="仿宋_GB2312" w:cs="Times New Roman"/>
          <w:kern w:val="2"/>
          <w:sz w:val="32"/>
          <w:szCs w:val="32"/>
          <w:highlight w:val="none"/>
          <w:lang w:val="en-US" w:eastAsia="zh-CN" w:bidi="ar-SA"/>
        </w:rPr>
        <w:t>150</w:t>
      </w:r>
      <w:r>
        <w:rPr>
          <w:rFonts w:hint="eastAsia" w:ascii="Times New Roman" w:hAnsi="Times New Roman" w:eastAsia="仿宋_GB2312" w:cs="Times New Roman"/>
          <w:kern w:val="2"/>
          <w:sz w:val="32"/>
          <w:szCs w:val="32"/>
          <w:highlight w:val="none"/>
          <w:lang w:val="en-US" w:eastAsia="zh-CN" w:bidi="ar-SA"/>
        </w:rPr>
        <w:t>万元</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改进</w:t>
      </w:r>
      <w:r>
        <w:rPr>
          <w:rFonts w:hint="default" w:ascii="Times New Roman" w:hAnsi="Times New Roman" w:eastAsia="仿宋_GB2312" w:cs="Times New Roman"/>
          <w:kern w:val="2"/>
          <w:sz w:val="32"/>
          <w:szCs w:val="32"/>
          <w:highlight w:val="none"/>
          <w:lang w:val="en-US" w:eastAsia="zh-CN" w:bidi="ar-SA"/>
        </w:rPr>
        <w:t>措施等结算完之后</w:t>
      </w:r>
      <w:r>
        <w:rPr>
          <w:rFonts w:hint="eastAsia" w:ascii="Times New Roman" w:hAnsi="Times New Roman" w:eastAsia="仿宋_GB2312" w:cs="Times New Roman"/>
          <w:kern w:val="2"/>
          <w:sz w:val="32"/>
          <w:szCs w:val="32"/>
          <w:highlight w:val="none"/>
          <w:lang w:val="en-US" w:eastAsia="zh-CN" w:bidi="ar-SA"/>
        </w:rPr>
        <w:t>付</w:t>
      </w:r>
      <w:r>
        <w:rPr>
          <w:rFonts w:hint="default" w:ascii="Times New Roman" w:hAnsi="Times New Roman" w:eastAsia="仿宋_GB2312" w:cs="Times New Roman"/>
          <w:kern w:val="2"/>
          <w:sz w:val="32"/>
          <w:szCs w:val="32"/>
          <w:highlight w:val="none"/>
          <w:lang w:val="en-US" w:eastAsia="zh-CN" w:bidi="ar-SA"/>
        </w:rPr>
        <w:t>剩下的</w:t>
      </w:r>
      <w:r>
        <w:rPr>
          <w:rFonts w:hint="eastAsia" w:eastAsia="仿宋_GB2312" w:cs="Times New Roman"/>
          <w:kern w:val="2"/>
          <w:sz w:val="32"/>
          <w:szCs w:val="32"/>
          <w:highlight w:val="none"/>
          <w:lang w:val="en-US" w:eastAsia="zh-CN" w:bidi="ar-SA"/>
        </w:rPr>
        <w:t>20</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的资金</w:t>
      </w:r>
      <w:r>
        <w:rPr>
          <w:rFonts w:hint="eastAsia" w:eastAsia="仿宋_GB2312" w:cs="Times New Roman"/>
          <w:kern w:val="2"/>
          <w:sz w:val="32"/>
          <w:szCs w:val="32"/>
          <w:highlight w:val="none"/>
          <w:lang w:val="en-US" w:eastAsia="zh-CN" w:bidi="ar-SA"/>
        </w:rPr>
        <w:t>30.16</w:t>
      </w:r>
      <w:r>
        <w:rPr>
          <w:rFonts w:hint="default" w:ascii="Times New Roman" w:hAnsi="Times New Roman" w:eastAsia="仿宋_GB2312" w:cs="Times New Roman"/>
          <w:kern w:val="2"/>
          <w:sz w:val="32"/>
          <w:szCs w:val="32"/>
          <w:highlight w:val="none"/>
          <w:lang w:val="en-US" w:eastAsia="zh-CN" w:bidi="ar-SA"/>
        </w:rPr>
        <w:t>万元。</w:t>
      </w:r>
      <w:bookmarkStart w:id="13" w:name="_GoBack"/>
      <w:bookmarkEnd w:id="13"/>
    </w:p>
    <w:p>
      <w:pPr>
        <w:pageBreakBefore w:val="0"/>
        <w:kinsoku/>
        <w:wordWrap/>
        <w:overflowPunct/>
        <w:topLinePunct w:val="0"/>
        <w:autoSpaceDE/>
        <w:autoSpaceDN/>
        <w:bidi w:val="0"/>
        <w:adjustRightInd/>
        <w:snapToGrid/>
        <w:spacing w:line="560" w:lineRule="exact"/>
        <w:ind w:firstLine="640" w:firstLineChars="200"/>
        <w:rPr>
          <w:rStyle w:val="20"/>
          <w:rFonts w:hint="default" w:ascii="Times New Roman" w:hAnsi="Times New Roman" w:cs="Times New Roman"/>
          <w:color w:val="auto"/>
          <w:highlight w:val="none"/>
        </w:rPr>
      </w:pPr>
      <w:r>
        <w:rPr>
          <w:rFonts w:hint="eastAsia" w:eastAsia="黑体" w:cs="Times New Roman"/>
          <w:sz w:val="32"/>
          <w:szCs w:val="32"/>
          <w:highlight w:val="none"/>
          <w:lang w:val="en-US" w:eastAsia="zh-CN"/>
        </w:rPr>
        <w:t>五</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主要经验及做法、存在的问题及原因分析</w:t>
      </w:r>
    </w:p>
    <w:p>
      <w:pPr>
        <w:pageBreakBefore w:val="0"/>
        <w:kinsoku/>
        <w:wordWrap/>
        <w:overflowPunct/>
        <w:topLinePunct w:val="0"/>
        <w:autoSpaceDE/>
        <w:autoSpaceDN/>
        <w:bidi w:val="0"/>
        <w:adjustRightInd/>
        <w:snapToGrid/>
        <w:spacing w:line="560" w:lineRule="exact"/>
        <w:ind w:firstLine="627" w:firstLineChars="200"/>
        <w:rPr>
          <w:rFonts w:hint="eastAsia" w:ascii="楷体_GB2312" w:hAnsi="楷体_GB2312" w:eastAsia="楷体_GB2312" w:cs="楷体_GB2312"/>
          <w:b/>
          <w:spacing w:val="-4"/>
          <w:sz w:val="32"/>
          <w:szCs w:val="32"/>
          <w:highlight w:val="none"/>
        </w:rPr>
      </w:pPr>
      <w:bookmarkStart w:id="6" w:name="OLE_LINK11"/>
      <w:r>
        <w:rPr>
          <w:rFonts w:hint="eastAsia" w:ascii="楷体_GB2312" w:hAnsi="楷体_GB2312" w:eastAsia="楷体_GB2312" w:cs="楷体_GB2312"/>
          <w:b/>
          <w:spacing w:val="-4"/>
          <w:sz w:val="32"/>
          <w:szCs w:val="32"/>
          <w:highlight w:val="none"/>
        </w:rPr>
        <w:t>（一）主要经验及做法</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2"/>
        <w:pageBreakBefore w:val="0"/>
        <w:kinsoku/>
        <w:wordWrap/>
        <w:overflowPunct/>
        <w:topLinePunct w:val="0"/>
        <w:autoSpaceDE/>
        <w:autoSpaceDN/>
        <w:bidi w:val="0"/>
        <w:adjustRightInd/>
        <w:snapToGrid/>
        <w:spacing w:before="0" w:after="0" w:line="560" w:lineRule="exact"/>
        <w:ind w:firstLine="640" w:firstLineChars="200"/>
        <w:jc w:val="left"/>
        <w:rPr>
          <w:rFonts w:hint="default" w:ascii="Times New Roman" w:hAnsi="Times New Roman" w:eastAsia="仿宋_GB2312" w:cs="Times New Roman"/>
          <w:b w:val="0"/>
          <w:bCs w:val="0"/>
          <w:kern w:val="2"/>
          <w:highlight w:val="none"/>
        </w:rPr>
      </w:pPr>
      <w:r>
        <w:rPr>
          <w:rFonts w:hint="default" w:ascii="Times New Roman" w:hAnsi="Times New Roman" w:eastAsia="仿宋_GB2312" w:cs="Times New Roman"/>
          <w:b w:val="0"/>
          <w:bCs w:val="0"/>
          <w:kern w:val="2"/>
          <w:highlight w:val="none"/>
        </w:rPr>
        <w:t>严格坚持先做事、后验收、再拨付的原则，</w:t>
      </w:r>
      <w:r>
        <w:rPr>
          <w:rFonts w:hint="eastAsia" w:ascii="Times New Roman" w:hAnsi="Times New Roman" w:eastAsia="仿宋_GB2312" w:cs="Times New Roman"/>
          <w:b w:val="0"/>
          <w:bCs w:val="0"/>
          <w:kern w:val="2"/>
          <w:highlight w:val="none"/>
          <w:lang w:eastAsia="zh-CN"/>
        </w:rPr>
        <w:t>杜绝</w:t>
      </w:r>
      <w:r>
        <w:rPr>
          <w:rFonts w:hint="default" w:ascii="Times New Roman" w:hAnsi="Times New Roman" w:eastAsia="仿宋_GB2312" w:cs="Times New Roman"/>
          <w:b w:val="0"/>
          <w:bCs w:val="0"/>
          <w:kern w:val="2"/>
          <w:highlight w:val="none"/>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存在的问题及原因分析</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bookmarkEnd w:id="6"/>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lang w:val="en-US" w:eastAsia="zh-CN"/>
        </w:rPr>
        <w:t>.</w:t>
      </w:r>
      <w:r>
        <w:rPr>
          <w:rFonts w:hint="default" w:ascii="Times New Roman" w:hAnsi="Times New Roman" w:eastAsia="黑体" w:cs="Times New Roman"/>
          <w:sz w:val="32"/>
          <w:szCs w:val="32"/>
          <w:highlight w:val="none"/>
        </w:rPr>
        <w:t>有关建议</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cs="Times New Roman"/>
          <w:sz w:val="22"/>
          <w:szCs w:val="28"/>
          <w:highlight w:val="none"/>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highlight w:val="none"/>
        </w:rPr>
        <w:t>。</w:t>
      </w:r>
    </w:p>
    <w:p>
      <w:pPr>
        <w:pageBreakBefore w:val="0"/>
        <w:shd w:val="clear"/>
        <w:kinsoku/>
        <w:wordWrap/>
        <w:overflowPunct/>
        <w:topLinePunct w:val="0"/>
        <w:autoSpaceDE/>
        <w:autoSpaceDN/>
        <w:bidi w:val="0"/>
        <w:adjustRightInd/>
        <w:snapToGrid/>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ageBreakBefore w:val="0"/>
        <w:kinsoku/>
        <w:wordWrap/>
        <w:overflowPunct/>
        <w:topLinePunct w:val="0"/>
        <w:autoSpaceDE/>
        <w:autoSpaceDN/>
        <w:bidi w:val="0"/>
        <w:adjustRightInd/>
        <w:snapToGrid/>
        <w:spacing w:line="560" w:lineRule="exact"/>
        <w:ind w:firstLine="640" w:firstLineChars="200"/>
        <w:rPr>
          <w:rFonts w:hint="default" w:ascii="Times New Roman" w:hAnsi="Times New Roman" w:eastAsia="黑体" w:cs="Times New Roman"/>
          <w:sz w:val="32"/>
          <w:szCs w:val="32"/>
          <w:highlight w:val="none"/>
        </w:rPr>
      </w:pPr>
      <w:r>
        <w:rPr>
          <w:rFonts w:hint="eastAsia" w:eastAsia="黑体" w:cs="Times New Roman"/>
          <w:sz w:val="32"/>
          <w:szCs w:val="32"/>
          <w:highlight w:val="none"/>
          <w:lang w:val="en-US" w:eastAsia="zh-CN"/>
        </w:rPr>
        <w:t>七</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其他需要说</w:t>
      </w:r>
      <w:bookmarkStart w:id="7" w:name="page8"/>
      <w:bookmarkEnd w:id="7"/>
      <w:r>
        <w:rPr>
          <w:rFonts w:hint="default" w:ascii="Times New Roman" w:hAnsi="Times New Roman" w:eastAsia="黑体" w:cs="Times New Roman"/>
          <w:sz w:val="32"/>
          <w:szCs w:val="32"/>
          <w:highlight w:val="none"/>
        </w:rPr>
        <w:t>明的问题</w:t>
      </w:r>
    </w:p>
    <w:p>
      <w:pPr>
        <w:pStyle w:val="15"/>
        <w:pageBreakBefore w:val="0"/>
        <w:kinsoku/>
        <w:wordWrap/>
        <w:overflowPunct/>
        <w:topLinePunct w:val="0"/>
        <w:autoSpaceDE/>
        <w:autoSpaceDN/>
        <w:bidi w:val="0"/>
        <w:adjustRightInd/>
        <w:snapToGrid/>
        <w:spacing w:after="0" w:line="560" w:lineRule="exact"/>
        <w:ind w:left="0" w:leftChars="0"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Hans"/>
        </w:rPr>
        <w:t>本项目无其他需说明的问题</w:t>
      </w:r>
      <w:r>
        <w:rPr>
          <w:rFonts w:hint="eastAsia" w:ascii="Times New Roman" w:hAnsi="Times New Roman" w:eastAsia="仿宋_GB2312" w:cs="Times New Roman"/>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rPr>
          <w:rFonts w:hint="eastAsia" w:ascii="Times New Roman" w:hAnsi="Times New Roman" w:eastAsia="黑体" w:cs="Times New Roman"/>
          <w:sz w:val="32"/>
          <w:szCs w:val="32"/>
          <w:highlight w:val="none"/>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pageBreakBefore w:val="0"/>
        <w:kinsoku/>
        <w:wordWrap/>
        <w:overflowPunct/>
        <w:topLinePunct w:val="0"/>
        <w:autoSpaceDE/>
        <w:autoSpaceDN/>
        <w:bidi w:val="0"/>
        <w:adjustRightInd/>
        <w:snapToGrid/>
        <w:spacing w:line="560" w:lineRule="exact"/>
        <w:ind w:firstLine="640" w:firstLineChars="200"/>
        <w:rPr>
          <w:rFonts w:hint="eastAsia"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附件</w:t>
      </w:r>
      <w:r>
        <w:rPr>
          <w:rFonts w:hint="eastAsia" w:eastAsia="黑体" w:cs="Times New Roman"/>
          <w:sz w:val="32"/>
          <w:szCs w:val="32"/>
          <w:highlight w:val="none"/>
          <w:lang w:val="en-US" w:eastAsia="zh-CN"/>
        </w:rPr>
        <w:t>1</w:t>
      </w:r>
    </w:p>
    <w:p>
      <w:pPr>
        <w:pStyle w:val="21"/>
        <w:ind w:firstLine="562"/>
        <w:jc w:val="center"/>
        <w:rPr>
          <w:rFonts w:hint="eastAsia" w:ascii="仿宋_GB2312" w:hAnsi="仿宋_GB2312" w:eastAsia="仿宋_GB2312" w:cs="仿宋_GB2312"/>
          <w:sz w:val="28"/>
          <w:szCs w:val="40"/>
          <w:highlight w:val="none"/>
        </w:rPr>
      </w:pPr>
      <w:bookmarkStart w:id="8" w:name="_Toc30064_WPSOffice_Level1"/>
      <w:bookmarkStart w:id="9" w:name="_Toc26499_WPSOffice_Level2"/>
      <w:r>
        <w:rPr>
          <w:rFonts w:hint="eastAsia" w:ascii="仿宋_GB2312" w:hAnsi="仿宋_GB2312" w:eastAsia="仿宋_GB2312" w:cs="仿宋_GB2312"/>
          <w:b/>
          <w:bCs/>
          <w:sz w:val="28"/>
          <w:szCs w:val="40"/>
          <w:highlight w:val="none"/>
        </w:rPr>
        <w:t>伊犁州特克斯县</w:t>
      </w:r>
      <w:r>
        <w:rPr>
          <w:rFonts w:hint="eastAsia" w:ascii="仿宋_GB2312" w:hAnsi="仿宋_GB2312" w:eastAsia="仿宋_GB2312" w:cs="仿宋_GB2312"/>
          <w:b/>
          <w:bCs/>
          <w:sz w:val="28"/>
          <w:szCs w:val="40"/>
          <w:highlight w:val="none"/>
          <w:lang w:eastAsia="zh-CN"/>
        </w:rPr>
        <w:t>呼吉尔特蒙古族乡</w:t>
      </w:r>
      <w:r>
        <w:rPr>
          <w:rFonts w:hint="eastAsia" w:ascii="仿宋_GB2312" w:hAnsi="仿宋_GB2312" w:eastAsia="仿宋_GB2312" w:cs="仿宋_GB2312"/>
          <w:b/>
          <w:bCs/>
          <w:sz w:val="28"/>
          <w:szCs w:val="40"/>
          <w:highlight w:val="none"/>
        </w:rPr>
        <w:t>牧民越冬放牧点生产用房（居住）建设项目绩效评价指标体系及综合评分表</w:t>
      </w:r>
      <w:bookmarkEnd w:id="8"/>
      <w:bookmarkEnd w:id="9"/>
    </w:p>
    <w:tbl>
      <w:tblPr>
        <w:tblStyle w:val="16"/>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941"/>
        <w:gridCol w:w="2505"/>
        <w:gridCol w:w="5505"/>
        <w:gridCol w:w="810"/>
        <w:gridCol w:w="9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二级指标</w:t>
            </w: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三级指标</w:t>
            </w:r>
          </w:p>
        </w:tc>
        <w:tc>
          <w:tcPr>
            <w:tcW w:w="2505"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指标解释</w:t>
            </w:r>
          </w:p>
        </w:tc>
        <w:tc>
          <w:tcPr>
            <w:tcW w:w="5505"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指标说明</w:t>
            </w:r>
          </w:p>
        </w:tc>
        <w:tc>
          <w:tcPr>
            <w:tcW w:w="81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权重</w:t>
            </w:r>
          </w:p>
        </w:tc>
        <w:tc>
          <w:tcPr>
            <w:tcW w:w="918"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　</w:t>
            </w: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立项依据</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充分性</w:t>
            </w:r>
          </w:p>
        </w:tc>
        <w:tc>
          <w:tcPr>
            <w:tcW w:w="2505"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项目立项是否符合法律法规、相关政策、发展规划以及部门职责，用以反映和考核项目立项依据情况。</w:t>
            </w:r>
          </w:p>
        </w:tc>
        <w:tc>
          <w:tcPr>
            <w:tcW w:w="5505"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②项目立项是否符合行业发展规划和政策要求；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③项目立项是否与部门职责范围相符，属于部门履职所需；</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⑤项目是否与相关部门同类项目或部门内部相关项目重复。</w:t>
            </w:r>
          </w:p>
        </w:tc>
        <w:tc>
          <w:tcPr>
            <w:tcW w:w="81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918"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立项程序</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规范性</w:t>
            </w:r>
          </w:p>
        </w:tc>
        <w:tc>
          <w:tcPr>
            <w:tcW w:w="2505"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项目申请、设立过程是否符合相关要求，用以反映和考核项目立项的规范情况。</w:t>
            </w:r>
          </w:p>
        </w:tc>
        <w:tc>
          <w:tcPr>
            <w:tcW w:w="5505"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①项目是否按照规定的程序申请设立；</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②审批文件、材料是否符合相关要求；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③事前是否已经过必要的可行性研究、专家论证、风险评估、绩效评估、集体决策。</w:t>
            </w:r>
          </w:p>
        </w:tc>
        <w:tc>
          <w:tcPr>
            <w:tcW w:w="81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918"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　</w:t>
            </w: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2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项目所设定的绩效目标是否依据充分，是否符合客观实际，用以反映和考核项目绩效目标与项目实施的相符情况。</w:t>
            </w:r>
          </w:p>
        </w:tc>
        <w:tc>
          <w:tcPr>
            <w:tcW w:w="5505"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（如未设定预算绩效目标，也可考核其他工作任务目标）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①项目是否有绩效目标；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②项目绩效目标与实际工作内容是否具有相关性；</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④是否与预算确定的项目投资额或资金量相匹配。</w:t>
            </w:r>
          </w:p>
        </w:tc>
        <w:tc>
          <w:tcPr>
            <w:tcW w:w="81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918"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绩效指标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明确性</w:t>
            </w:r>
          </w:p>
        </w:tc>
        <w:tc>
          <w:tcPr>
            <w:tcW w:w="2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依据绩效目标设定的绩效指标是否清晰、细化、可衡量等，用以反映和考核项目绩效目标的明细化情况。</w:t>
            </w:r>
          </w:p>
        </w:tc>
        <w:tc>
          <w:tcPr>
            <w:tcW w:w="5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①是否将项目绩效目标细化分解为具体的绩效指标；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②是否通过清晰、可衡量的指标值予以体现；</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③是否与项目目标任务数或计划数相对应。</w:t>
            </w:r>
            <w:r>
              <w:rPr>
                <w:rFonts w:hint="default" w:ascii="Times New Roman" w:hAnsi="Times New Roman" w:eastAsia="仿宋_GB2312" w:cs="Times New Roman"/>
                <w:color w:val="000000"/>
                <w:kern w:val="0"/>
                <w:sz w:val="18"/>
                <w:szCs w:val="18"/>
                <w:highlight w:val="none"/>
              </w:rPr>
              <w:br w:type="textWrapping"/>
            </w:r>
          </w:p>
        </w:tc>
        <w:tc>
          <w:tcPr>
            <w:tcW w:w="81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918"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1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资金投入</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预算编制</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科学性</w:t>
            </w:r>
          </w:p>
        </w:tc>
        <w:tc>
          <w:tcPr>
            <w:tcW w:w="2505"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项目预算编制是否经过科学论证、有明确标准，资金额度与年度目标是否相适应，用以反映和考核项目预算编制的科学性、合理性情况。</w:t>
            </w:r>
          </w:p>
        </w:tc>
        <w:tc>
          <w:tcPr>
            <w:tcW w:w="5505"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①预算编制是否经过科学论证；</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②预算内容与项目内容是否匹配；</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③预算额度测算依据是否充分，是否按照标准编制；</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④预算确定的项目投资额或资金量是否与工作任务相匹配。</w:t>
            </w:r>
          </w:p>
        </w:tc>
        <w:tc>
          <w:tcPr>
            <w:tcW w:w="81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918"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资金分配</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2505"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项目预算资金分配是否有测算依据，与补助单位或地方实际是否相适应，用以反映和考核项目预算资金分配的科学性、合理性情况。</w:t>
            </w:r>
          </w:p>
        </w:tc>
        <w:tc>
          <w:tcPr>
            <w:tcW w:w="5505"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①预算资金分配依据是否充分；</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②资金分配额度是否合理，与项目单位或地方实际是否相适应。</w:t>
            </w:r>
          </w:p>
        </w:tc>
        <w:tc>
          <w:tcPr>
            <w:tcW w:w="81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918"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0"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过程</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w:t>
            </w:r>
          </w:p>
        </w:tc>
        <w:tc>
          <w:tcPr>
            <w:tcW w:w="2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实际到位资金与预算资金的比率，用以反映和考核资金落实情况对项目实施的总体保障程度。</w:t>
            </w:r>
          </w:p>
        </w:tc>
        <w:tc>
          <w:tcPr>
            <w:tcW w:w="5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预算资金：一定时期（本年度或项目期）内预算安排到具体项目的资金。</w:t>
            </w:r>
          </w:p>
        </w:tc>
        <w:tc>
          <w:tcPr>
            <w:tcW w:w="81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918"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w:t>
            </w:r>
          </w:p>
        </w:tc>
        <w:tc>
          <w:tcPr>
            <w:tcW w:w="2505"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项目预算资金是否按照计划执行，用以反映或考核项目预算执行情况。</w:t>
            </w:r>
          </w:p>
        </w:tc>
        <w:tc>
          <w:tcPr>
            <w:tcW w:w="5505"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预算执行率=（实际支出资金/实际到位资金）×100%。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实际支出资金：一定时期（本年度或项目期）内项目实际拨付的资金。</w:t>
            </w:r>
          </w:p>
        </w:tc>
        <w:tc>
          <w:tcPr>
            <w:tcW w:w="81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918"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资金使用</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合规性</w:t>
            </w:r>
          </w:p>
        </w:tc>
        <w:tc>
          <w:tcPr>
            <w:tcW w:w="2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项目资金使用是否符合相关的财务管理制度规定，用以反映和考核项目资金的规范运行情况。</w:t>
            </w:r>
          </w:p>
        </w:tc>
        <w:tc>
          <w:tcPr>
            <w:tcW w:w="5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②资金的拨付是否有完整的审批程序和手续；</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③是否符合项目预算批复或合同规定的用途；</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④是否存在截留、挤占、挪用、虚列支出等情况。</w:t>
            </w:r>
          </w:p>
        </w:tc>
        <w:tc>
          <w:tcPr>
            <w:tcW w:w="81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918"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组织实施</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管理制度</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健全性</w:t>
            </w:r>
          </w:p>
        </w:tc>
        <w:tc>
          <w:tcPr>
            <w:tcW w:w="2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项目实施单位的财务和业务管理制度是否健全，用以反映和考核财务和业务管理制度对项目顺利实施的保障情况。</w:t>
            </w:r>
          </w:p>
        </w:tc>
        <w:tc>
          <w:tcPr>
            <w:tcW w:w="5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①是否已制定或具有相应的财务和业务管理制度；</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②财务和业务管理制度是否合法、合规、完整。</w:t>
            </w:r>
          </w:p>
        </w:tc>
        <w:tc>
          <w:tcPr>
            <w:tcW w:w="81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918"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制度执行</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有效性</w:t>
            </w:r>
          </w:p>
        </w:tc>
        <w:tc>
          <w:tcPr>
            <w:tcW w:w="2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项目实施是否符合相关管理规定，用以反映和考核相关管理制度的有效执行情况。</w:t>
            </w:r>
          </w:p>
        </w:tc>
        <w:tc>
          <w:tcPr>
            <w:tcW w:w="5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①是否遵守相关法律法规和相关管理规定；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②项目调整及支出调整手续是否完备；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③项目合同书、验收报告、技术鉴定等资料是否齐全并及时归档；</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④项目实施的人员条件、场地设备、信息支撑等是否落实到位。</w:t>
            </w:r>
          </w:p>
        </w:tc>
        <w:tc>
          <w:tcPr>
            <w:tcW w:w="81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918"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产出数量</w:t>
            </w: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w:t>
            </w:r>
          </w:p>
        </w:tc>
        <w:tc>
          <w:tcPr>
            <w:tcW w:w="2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项目实施的实际产出数与计划产出数的比率，用以反映和考核项目产出数量目标的实现程度。</w:t>
            </w:r>
          </w:p>
        </w:tc>
        <w:tc>
          <w:tcPr>
            <w:tcW w:w="5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实际完成率=（实际产出数/计划产出数）×100%。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计划产出数：项目绩效目标确定的在一定时期（本年度或项目期）内计划产出的产品或提供的服务数量。</w:t>
            </w:r>
          </w:p>
        </w:tc>
        <w:tc>
          <w:tcPr>
            <w:tcW w:w="81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918"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6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产出质量</w:t>
            </w: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w:t>
            </w:r>
          </w:p>
        </w:tc>
        <w:tc>
          <w:tcPr>
            <w:tcW w:w="2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项目完成的质量达标产出数与实际产出数的比率，用以反映和考核项目产出质量目标的实现程度。</w:t>
            </w:r>
          </w:p>
        </w:tc>
        <w:tc>
          <w:tcPr>
            <w:tcW w:w="5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1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918"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产出时效</w:t>
            </w: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完成及时性</w:t>
            </w:r>
          </w:p>
        </w:tc>
        <w:tc>
          <w:tcPr>
            <w:tcW w:w="2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项目实际完成时间与计划完成时间的比较，用以反映和考核项目产出时效目标的实现程度。</w:t>
            </w:r>
          </w:p>
        </w:tc>
        <w:tc>
          <w:tcPr>
            <w:tcW w:w="5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实际完成时间：项目实施单位完成该项目实际所耗用的时间。</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计划完成时间：按照项目实施计划或相关规定完成该项目所需的时间。</w:t>
            </w:r>
          </w:p>
        </w:tc>
        <w:tc>
          <w:tcPr>
            <w:tcW w:w="81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918"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15"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产出成本</w:t>
            </w: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成本节约率</w:t>
            </w:r>
          </w:p>
        </w:tc>
        <w:tc>
          <w:tcPr>
            <w:tcW w:w="2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完成项目计划工作目标的实际节约成本与计划成本的比率，用以反映和考核项目的成本节约程度。</w:t>
            </w:r>
          </w:p>
        </w:tc>
        <w:tc>
          <w:tcPr>
            <w:tcW w:w="5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成本节约率=[（计划成本-实际成本）/计划成本]×100%。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计划成本：项目实施单位为完成工作目标计划安排的支出，一般以项目预算为参考。</w:t>
            </w:r>
          </w:p>
        </w:tc>
        <w:tc>
          <w:tcPr>
            <w:tcW w:w="81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918"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4"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项目效益　</w:t>
            </w: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实施效益</w:t>
            </w:r>
          </w:p>
        </w:tc>
        <w:tc>
          <w:tcPr>
            <w:tcW w:w="2505"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项目实施所产生的效益。</w:t>
            </w:r>
          </w:p>
        </w:tc>
        <w:tc>
          <w:tcPr>
            <w:tcW w:w="5505"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项目实施所产生的社会效益、经济效益、生态效益、可持续影响等。可根据项目实际情况有选择地设置和细化。</w:t>
            </w:r>
          </w:p>
        </w:tc>
        <w:tc>
          <w:tcPr>
            <w:tcW w:w="81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918"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12"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94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满意度</w:t>
            </w:r>
          </w:p>
        </w:tc>
        <w:tc>
          <w:tcPr>
            <w:tcW w:w="2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社会公众或服务对象对项目实施效果的满意程度。</w:t>
            </w:r>
          </w:p>
        </w:tc>
        <w:tc>
          <w:tcPr>
            <w:tcW w:w="5505"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社会公众或服务对象是指因该项目实施而受到影响的部门（单位）、群体或个人。一般采取社会调查的方式。</w:t>
            </w:r>
          </w:p>
        </w:tc>
        <w:tc>
          <w:tcPr>
            <w:tcW w:w="81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918"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pageBreakBefore w:val="0"/>
        <w:kinsoku/>
        <w:wordWrap/>
        <w:overflowPunct/>
        <w:topLinePunct w:val="0"/>
        <w:autoSpaceDE/>
        <w:autoSpaceDN/>
        <w:bidi w:val="0"/>
        <w:adjustRightInd/>
        <w:snapToGrid/>
        <w:spacing w:line="560" w:lineRule="exact"/>
        <w:ind w:firstLine="420" w:firstLineChars="200"/>
        <w:rPr>
          <w:rFonts w:hint="default" w:ascii="Times New Roman" w:hAnsi="Times New Roman" w:cs="Times New Roman"/>
          <w:highlight w:val="none"/>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附件</w:t>
      </w:r>
      <w:r>
        <w:rPr>
          <w:rFonts w:hint="eastAsia" w:eastAsia="黑体" w:cs="Times New Roman"/>
          <w:sz w:val="32"/>
          <w:szCs w:val="32"/>
          <w:highlight w:val="none"/>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highlight w:val="none"/>
          <w:u w:val="none"/>
          <w:lang w:val="en-US" w:eastAsia="zh-CN" w:bidi="ar"/>
        </w:rPr>
      </w:pPr>
      <w:r>
        <w:rPr>
          <w:rFonts w:hint="eastAsia" w:ascii="仿宋_GB2312" w:hAnsi="仿宋_GB2312" w:eastAsia="仿宋_GB2312" w:cs="仿宋_GB2312"/>
          <w:b/>
          <w:bCs/>
          <w:i w:val="0"/>
          <w:iCs w:val="0"/>
          <w:color w:val="000000"/>
          <w:kern w:val="0"/>
          <w:sz w:val="28"/>
          <w:szCs w:val="28"/>
          <w:highlight w:val="none"/>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highlight w:val="none"/>
          <w:u w:val="none"/>
          <w:lang w:val="en-US" w:eastAsia="zh-CN" w:bidi="ar"/>
        </w:rPr>
      </w:pPr>
      <w:r>
        <w:rPr>
          <w:rFonts w:hint="default" w:ascii="Times New Roman" w:hAnsi="Times New Roman" w:eastAsia="仿宋_GB2312" w:cs="Times New Roman"/>
          <w:b/>
          <w:bCs/>
          <w:i w:val="0"/>
          <w:iCs w:val="0"/>
          <w:color w:val="000000"/>
          <w:kern w:val="0"/>
          <w:sz w:val="22"/>
          <w:szCs w:val="22"/>
          <w:highlight w:val="none"/>
          <w:u w:val="none"/>
          <w:lang w:val="en-US" w:eastAsia="zh-CN" w:bidi="ar"/>
        </w:rPr>
        <w:t>（ 2024年度）</w:t>
      </w:r>
    </w:p>
    <w:tbl>
      <w:tblPr>
        <w:tblStyle w:val="16"/>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718"/>
        <w:gridCol w:w="855"/>
        <w:gridCol w:w="1070"/>
        <w:gridCol w:w="850"/>
        <w:gridCol w:w="959"/>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伊州财建【2024】81号2024年城乡抗震安居工程呼吉尔特村牧民越冬放牧点生产用房（居住）建设项目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主管部门</w:t>
            </w:r>
          </w:p>
        </w:tc>
        <w:tc>
          <w:tcPr>
            <w:tcW w:w="536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bookmarkStart w:id="10" w:name="OLE_LINK1"/>
            <w:r>
              <w:rPr>
                <w:rFonts w:hint="eastAsia" w:ascii="仿宋_GB2312" w:hAnsi="仿宋_GB2312" w:eastAsia="仿宋_GB2312" w:cs="仿宋_GB2312"/>
                <w:i w:val="0"/>
                <w:iCs w:val="0"/>
                <w:color w:val="000000"/>
                <w:sz w:val="18"/>
                <w:szCs w:val="18"/>
                <w:highlight w:val="none"/>
                <w:u w:val="none"/>
                <w:lang w:val="en-US" w:eastAsia="zh-CN"/>
              </w:rPr>
              <w:t>特克斯县住房和城建建设局</w:t>
            </w:r>
            <w:bookmarkEnd w:id="10"/>
          </w:p>
        </w:tc>
        <w:tc>
          <w:tcPr>
            <w:tcW w:w="19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特克斯县呼吉尔特蒙古族乡人民政府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项目资金</w:t>
            </w:r>
            <w:r>
              <w:rPr>
                <w:rFonts w:hint="eastAsia" w:ascii="仿宋_GB2312" w:hAnsi="仿宋_GB2312" w:eastAsia="仿宋_GB2312" w:cs="仿宋_GB2312"/>
                <w:i w:val="0"/>
                <w:iCs w:val="0"/>
                <w:color w:val="000000"/>
                <w:kern w:val="0"/>
                <w:sz w:val="18"/>
                <w:szCs w:val="18"/>
                <w:highlight w:val="none"/>
                <w:u w:val="none"/>
                <w:lang w:val="en-US" w:eastAsia="zh-CN" w:bidi="ar"/>
              </w:rPr>
              <w:br w:type="textWrapping"/>
            </w:r>
            <w:r>
              <w:rPr>
                <w:rFonts w:hint="eastAsia" w:ascii="仿宋_GB2312" w:hAnsi="仿宋_GB2312" w:eastAsia="仿宋_GB2312" w:cs="仿宋_GB2312"/>
                <w:i w:val="0"/>
                <w:iCs w:val="0"/>
                <w:color w:val="000000"/>
                <w:kern w:val="0"/>
                <w:sz w:val="18"/>
                <w:szCs w:val="18"/>
                <w:highlight w:val="none"/>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年初预算数</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全年预算数</w:t>
            </w:r>
          </w:p>
        </w:tc>
        <w:tc>
          <w:tcPr>
            <w:tcW w:w="19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150</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150</w:t>
            </w:r>
          </w:p>
        </w:tc>
        <w:tc>
          <w:tcPr>
            <w:tcW w:w="19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150</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119.84</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119.84</w:t>
            </w:r>
          </w:p>
        </w:tc>
        <w:tc>
          <w:tcPr>
            <w:tcW w:w="19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119.84</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882"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925"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kinsoku/>
              <w:wordWrap/>
              <w:overflowPunct/>
              <w:topLinePunct w:val="0"/>
              <w:autoSpaceDE/>
              <w:autoSpaceDN/>
              <w:bidi w:val="0"/>
              <w:adjustRightInd/>
              <w:snapToGrid/>
              <w:spacing w:line="240" w:lineRule="exact"/>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根据新建村【2024】4号新疆自治区牧民越冬放牧点生产用房（居住）安全隐患排查技术指导、放牧点生产用房（居住）建设导则的要求，特克斯县呼吉尔特蒙古族乡对存在安全隐患牧民越冬放牧点生产用房（居住）50户全部建成“安全房。</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目前完成建设“越冬房”50套。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指标值设置依据</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上年完成值</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指标分值权重</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指标赋分规则</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佐证资料</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292"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产出指标</w:t>
            </w:r>
          </w:p>
        </w:tc>
        <w:tc>
          <w:tcPr>
            <w:tcW w:w="1312" w:type="dxa"/>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新建放牧越冬户数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w:t>
            </w:r>
            <w:r>
              <w:rPr>
                <w:rFonts w:hint="eastAsia" w:ascii="仿宋_GB2312" w:hAnsi="仿宋_GB2312" w:eastAsia="仿宋_GB2312" w:cs="仿宋_GB2312"/>
                <w:i w:val="0"/>
                <w:iCs w:val="0"/>
                <w:color w:val="000000"/>
                <w:sz w:val="18"/>
                <w:szCs w:val="18"/>
                <w:highlight w:val="none"/>
                <w:u w:val="none"/>
                <w:lang w:val="en-US" w:eastAsia="zh-CN"/>
              </w:rPr>
              <w:t>50</w:t>
            </w:r>
            <w:r>
              <w:rPr>
                <w:rFonts w:hint="eastAsia" w:ascii="仿宋_GB2312" w:hAnsi="仿宋_GB2312" w:eastAsia="仿宋_GB2312" w:cs="仿宋_GB2312"/>
                <w:i w:val="0"/>
                <w:iCs w:val="0"/>
                <w:color w:val="000000"/>
                <w:sz w:val="18"/>
                <w:szCs w:val="18"/>
                <w:highlight w:val="none"/>
                <w:u w:val="none"/>
              </w:rPr>
              <w:t>户</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13</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bookmarkStart w:id="11" w:name="OLE_LINK2"/>
            <w:r>
              <w:rPr>
                <w:rFonts w:hint="eastAsia" w:ascii="仿宋_GB2312" w:hAnsi="仿宋_GB2312" w:eastAsia="仿宋_GB2312" w:cs="仿宋_GB2312"/>
                <w:i w:val="0"/>
                <w:iCs w:val="0"/>
                <w:color w:val="000000"/>
                <w:sz w:val="18"/>
                <w:szCs w:val="18"/>
                <w:highlight w:val="none"/>
                <w:u w:val="none"/>
              </w:rPr>
              <w:t>按照完成比例赋分</w:t>
            </w:r>
            <w:bookmarkEnd w:id="11"/>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工作资料</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50</w:t>
            </w:r>
            <w:r>
              <w:rPr>
                <w:rFonts w:hint="eastAsia" w:ascii="仿宋_GB2312" w:hAnsi="仿宋_GB2312" w:eastAsia="仿宋_GB2312" w:cs="仿宋_GB2312"/>
                <w:i w:val="0"/>
                <w:iCs w:val="0"/>
                <w:color w:val="000000"/>
                <w:sz w:val="18"/>
                <w:szCs w:val="18"/>
                <w:highlight w:val="none"/>
                <w:u w:val="none"/>
              </w:rPr>
              <w:t>户</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bookmarkStart w:id="12" w:name="OLE_LINK3"/>
            <w:r>
              <w:rPr>
                <w:rFonts w:hint="eastAsia" w:ascii="仿宋_GB2312" w:hAnsi="仿宋_GB2312" w:eastAsia="仿宋_GB2312" w:cs="仿宋_GB2312"/>
                <w:i w:val="0"/>
                <w:iCs w:val="0"/>
                <w:color w:val="000000"/>
                <w:sz w:val="18"/>
                <w:szCs w:val="18"/>
                <w:highlight w:val="none"/>
                <w:u w:val="none"/>
                <w:lang w:val="en-US" w:eastAsia="zh-CN"/>
              </w:rPr>
              <w:t>100%</w:t>
            </w:r>
            <w:bookmarkEnd w:id="12"/>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13</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1312" w:type="dxa"/>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质量指标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eastAsia="zh-CN"/>
              </w:rPr>
              <w:t>按协议案场执行率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13</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原始凭证</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13</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292" w:type="dxa"/>
            <w:vMerge w:val="continue"/>
            <w:tcBorders>
              <w:left w:val="single" w:color="000000" w:sz="4" w:space="0"/>
              <w:right w:val="single" w:color="000000" w:sz="4" w:space="0"/>
            </w:tcBorders>
            <w:shd w:val="clear" w:color="auto" w:fill="auto"/>
            <w:noWrap/>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312"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left"/>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财政资金下达及时率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rPr>
              <w:t>=</w:t>
            </w:r>
            <w:r>
              <w:rPr>
                <w:rFonts w:hint="eastAsia" w:ascii="仿宋_GB2312" w:hAnsi="仿宋_GB2312" w:eastAsia="仿宋_GB2312" w:cs="仿宋_GB2312"/>
                <w:i w:val="0"/>
                <w:iCs w:val="0"/>
                <w:color w:val="000000"/>
                <w:sz w:val="18"/>
                <w:szCs w:val="18"/>
                <w:highlight w:val="none"/>
                <w:u w:val="none"/>
                <w:lang w:val="en-US" w:eastAsia="zh-CN"/>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14</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工作资料</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80%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11.2</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rPr>
            </w:pPr>
          </w:p>
          <w:p>
            <w:pPr>
              <w:pStyle w:val="2"/>
              <w:pageBreakBefore w:val="0"/>
              <w:kinsoku/>
              <w:wordWrap/>
              <w:overflowPunct/>
              <w:topLinePunct w:val="0"/>
              <w:autoSpaceDE/>
              <w:autoSpaceDN/>
              <w:bidi w:val="0"/>
              <w:adjustRightInd/>
              <w:snapToGrid/>
              <w:spacing w:line="240" w:lineRule="exact"/>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292" w:type="dxa"/>
            <w:vMerge w:val="continue"/>
            <w:tcBorders>
              <w:left w:val="single" w:color="000000" w:sz="4" w:space="0"/>
              <w:bottom w:val="single" w:color="000000" w:sz="4" w:space="0"/>
              <w:right w:val="single" w:color="000000" w:sz="4" w:space="0"/>
            </w:tcBorders>
            <w:shd w:val="clear" w:color="auto" w:fill="auto"/>
            <w:noWrap/>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312" w:type="dxa"/>
            <w:vMerge w:val="continue"/>
            <w:tcBorders>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left"/>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项目验收合格率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w:t>
            </w:r>
            <w:r>
              <w:rPr>
                <w:rFonts w:hint="eastAsia" w:ascii="仿宋_GB2312" w:hAnsi="仿宋_GB2312" w:eastAsia="仿宋_GB2312" w:cs="仿宋_GB2312"/>
                <w:i w:val="0"/>
                <w:iCs w:val="0"/>
                <w:color w:val="000000"/>
                <w:sz w:val="18"/>
                <w:szCs w:val="18"/>
                <w:highlight w:val="none"/>
                <w:u w:val="none"/>
                <w:lang w:val="en-US" w:eastAsia="zh-CN"/>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20</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工作资料</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pageBreakBefore w:val="0"/>
              <w:kinsoku/>
              <w:wordWrap/>
              <w:overflowPunct/>
              <w:topLinePunct w:val="0"/>
              <w:autoSpaceDE/>
              <w:autoSpaceDN/>
              <w:bidi w:val="0"/>
              <w:adjustRightInd/>
              <w:snapToGrid/>
              <w:spacing w:line="240" w:lineRule="exact"/>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成本指标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left"/>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项目成本</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=150万元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20</w:t>
            </w:r>
          </w:p>
        </w:tc>
        <w:tc>
          <w:tcPr>
            <w:tcW w:w="1070" w:type="dxa"/>
            <w:tcBorders>
              <w:top w:val="single" w:color="000000" w:sz="4" w:space="0"/>
              <w:left w:val="single" w:color="000000" w:sz="4" w:space="0"/>
              <w:bottom w:val="nil"/>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原始凭证</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119.84万元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16</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rPr>
              <w:t>是按合同要求验收后给8</w:t>
            </w:r>
            <w:r>
              <w:rPr>
                <w:rFonts w:hint="eastAsia" w:ascii="仿宋_GB2312" w:hAnsi="仿宋_GB2312" w:eastAsia="仿宋_GB2312" w:cs="仿宋_GB2312"/>
                <w:i w:val="0"/>
                <w:iCs w:val="0"/>
                <w:color w:val="000000"/>
                <w:sz w:val="18"/>
                <w:szCs w:val="18"/>
                <w:highlight w:val="none"/>
                <w:u w:val="none"/>
                <w:lang w:val="en-US" w:eastAsia="zh-CN"/>
              </w:rPr>
              <w:t>0</w:t>
            </w:r>
            <w:r>
              <w:rPr>
                <w:rFonts w:hint="eastAsia" w:ascii="仿宋_GB2312" w:hAnsi="仿宋_GB2312" w:eastAsia="仿宋_GB2312" w:cs="仿宋_GB2312"/>
                <w:i w:val="0"/>
                <w:iCs w:val="0"/>
                <w:color w:val="000000"/>
                <w:sz w:val="18"/>
                <w:szCs w:val="18"/>
                <w:highlight w:val="none"/>
                <w:u w:val="none"/>
              </w:rPr>
              <w:t>%，等结算完之后给剩下的</w:t>
            </w:r>
            <w:r>
              <w:rPr>
                <w:rFonts w:hint="eastAsia" w:ascii="仿宋_GB2312" w:hAnsi="仿宋_GB2312" w:eastAsia="仿宋_GB2312" w:cs="仿宋_GB2312"/>
                <w:i w:val="0"/>
                <w:iCs w:val="0"/>
                <w:color w:val="000000"/>
                <w:sz w:val="18"/>
                <w:szCs w:val="18"/>
                <w:highlight w:val="none"/>
                <w:u w:val="none"/>
                <w:lang w:val="en-US" w:eastAsia="zh-CN"/>
              </w:rPr>
              <w:t>20</w:t>
            </w:r>
            <w:r>
              <w:rPr>
                <w:rFonts w:hint="eastAsia" w:ascii="仿宋_GB2312" w:hAnsi="仿宋_GB2312" w:eastAsia="仿宋_GB2312" w:cs="仿宋_GB2312"/>
                <w:i w:val="0"/>
                <w:iCs w:val="0"/>
                <w:color w:val="000000"/>
                <w:sz w:val="18"/>
                <w:szCs w:val="18"/>
                <w:highlight w:val="none"/>
                <w:u w:val="none"/>
              </w:rPr>
              <w:t>%</w:t>
            </w:r>
            <w:r>
              <w:rPr>
                <w:rFonts w:hint="eastAsia" w:ascii="仿宋_GB2312" w:hAnsi="仿宋_GB2312" w:eastAsia="仿宋_GB2312" w:cs="仿宋_GB2312"/>
                <w:i w:val="0"/>
                <w:iCs w:val="0"/>
                <w:color w:val="000000"/>
                <w:sz w:val="18"/>
                <w:szCs w:val="18"/>
                <w:highlight w:val="none"/>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经济效益指标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建设项目对牧民居住环境社会影响</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成效明显</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w:t>
            </w:r>
            <w:r>
              <w:rPr>
                <w:rFonts w:hint="eastAsia" w:ascii="仿宋_GB2312" w:hAnsi="仿宋_GB2312" w:eastAsia="仿宋_GB2312" w:cs="仿宋_GB2312"/>
                <w:i w:val="0"/>
                <w:iCs w:val="0"/>
                <w:color w:val="000000"/>
                <w:sz w:val="18"/>
                <w:szCs w:val="18"/>
                <w:highlight w:val="none"/>
                <w:u w:val="none"/>
                <w:lang w:eastAsia="zh-CN"/>
              </w:rPr>
              <w:t>评判登记</w:t>
            </w:r>
            <w:r>
              <w:rPr>
                <w:rFonts w:hint="eastAsia" w:ascii="仿宋_GB2312" w:hAnsi="仿宋_GB2312" w:eastAsia="仿宋_GB2312" w:cs="仿宋_GB2312"/>
                <w:i w:val="0"/>
                <w:iCs w:val="0"/>
                <w:color w:val="000000"/>
                <w:sz w:val="18"/>
                <w:szCs w:val="18"/>
                <w:highlight w:val="none"/>
                <w:u w:val="none"/>
              </w:rPr>
              <w:t>赋分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工作资料</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成效明显</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生态效益指标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服务对象满意度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满意度赋分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工作资料</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rPr>
                <w:rFonts w:hint="eastAsia" w:ascii="仿宋_GB2312" w:hAnsi="仿宋_GB2312" w:eastAsia="仿宋_GB2312" w:cs="仿宋_GB2312"/>
                <w:b/>
                <w:bCs/>
                <w:i w:val="0"/>
                <w:iCs w:val="0"/>
                <w:color w:val="000000"/>
                <w:sz w:val="18"/>
                <w:szCs w:val="18"/>
                <w:highlight w:val="none"/>
                <w:u w:val="none"/>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90</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仿宋_GB2312" w:hAnsi="仿宋_GB2312" w:eastAsia="仿宋_GB2312" w:cs="仿宋_GB2312"/>
                <w:i w:val="0"/>
                <w:iCs w:val="0"/>
                <w:color w:val="000000"/>
                <w:sz w:val="18"/>
                <w:szCs w:val="18"/>
                <w:highlight w:val="none"/>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rPr>
                <w:rFonts w:hint="eastAsia" w:ascii="仿宋_GB2312" w:hAnsi="仿宋_GB2312" w:eastAsia="仿宋_GB2312" w:cs="仿宋_GB2312"/>
                <w:i w:val="0"/>
                <w:iCs w:val="0"/>
                <w:color w:val="000000"/>
                <w:sz w:val="18"/>
                <w:szCs w:val="18"/>
                <w:highlight w:val="none"/>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rPr>
                <w:rFonts w:hint="eastAsia" w:ascii="仿宋_GB2312" w:hAnsi="仿宋_GB2312" w:eastAsia="仿宋_GB2312" w:cs="仿宋_GB2312"/>
                <w:i w:val="0"/>
                <w:iCs w:val="0"/>
                <w:color w:val="000000"/>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rPr>
                <w:rFonts w:hint="eastAsia" w:ascii="仿宋_GB2312" w:hAnsi="仿宋_GB2312" w:eastAsia="仿宋_GB2312" w:cs="仿宋_GB2312"/>
                <w:i w:val="0"/>
                <w:iCs w:val="0"/>
                <w:color w:val="000000"/>
                <w:sz w:val="18"/>
                <w:szCs w:val="18"/>
                <w:highlight w:val="none"/>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83.2</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rPr>
                <w:rFonts w:hint="eastAsia" w:ascii="仿宋_GB2312" w:hAnsi="仿宋_GB2312" w:eastAsia="仿宋_GB2312" w:cs="仿宋_GB2312"/>
                <w:i w:val="0"/>
                <w:iCs w:val="0"/>
                <w:color w:val="000000"/>
                <w:sz w:val="18"/>
                <w:szCs w:val="18"/>
                <w:highlight w:val="none"/>
                <w:u w:val="none"/>
              </w:rPr>
            </w:pPr>
          </w:p>
        </w:tc>
      </w:tr>
    </w:tbl>
    <w:p>
      <w:pPr>
        <w:pageBreakBefore w:val="0"/>
        <w:kinsoku/>
        <w:wordWrap/>
        <w:overflowPunct/>
        <w:topLinePunct w:val="0"/>
        <w:autoSpaceDE/>
        <w:autoSpaceDN/>
        <w:bidi w:val="0"/>
        <w:adjustRightInd/>
        <w:snapToGrid/>
        <w:spacing w:line="240" w:lineRule="exact"/>
      </w:pPr>
    </w:p>
    <w:p>
      <w:pPr>
        <w:pageBreakBefore w:val="0"/>
        <w:kinsoku/>
        <w:wordWrap/>
        <w:overflowPunct/>
        <w:topLinePunct w:val="0"/>
        <w:autoSpaceDE/>
        <w:autoSpaceDN/>
        <w:bidi w:val="0"/>
        <w:adjustRightInd/>
        <w:snapToGrid/>
        <w:spacing w:line="560" w:lineRule="exact"/>
        <w:ind w:firstLine="420" w:firstLineChars="200"/>
        <w:rPr>
          <w:rFonts w:hint="default" w:ascii="Times New Roman" w:hAnsi="Times New Roman" w:cs="Times New Roman"/>
          <w:highlight w:val="none"/>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9"/>
          <w:jc w:val="center"/>
        </w:pPr>
        <w:r>
          <w:fldChar w:fldCharType="begin"/>
        </w:r>
        <w:r>
          <w:instrText xml:space="preserve">PAGE   \* MERGEFORMAT</w:instrText>
        </w:r>
        <w:r>
          <w:fldChar w:fldCharType="separate"/>
        </w:r>
        <w:r>
          <w:rPr>
            <w:lang w:val="zh-CN"/>
          </w:rPr>
          <w:t>13</w:t>
        </w:r>
        <w: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4116513E"/>
    <w:multiLevelType w:val="singleLevel"/>
    <w:tmpl w:val="4116513E"/>
    <w:lvl w:ilvl="0" w:tentative="0">
      <w:start w:val="1"/>
      <w:numFmt w:val="decimal"/>
      <w:lvlText w:val="%1."/>
      <w:lvlJc w:val="left"/>
      <w:pPr>
        <w:tabs>
          <w:tab w:val="left" w:pos="312"/>
        </w:tabs>
      </w:p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NDExMGZhMjQzNDhjZWRiNjAzMzczNTA4NTdjMjUifQ=="/>
  </w:docVars>
  <w:rsids>
    <w:rsidRoot w:val="FF6C4049"/>
    <w:rsid w:val="006F7242"/>
    <w:rsid w:val="007B168A"/>
    <w:rsid w:val="008B2CFE"/>
    <w:rsid w:val="00F26FF6"/>
    <w:rsid w:val="01610122"/>
    <w:rsid w:val="023477FE"/>
    <w:rsid w:val="02510197"/>
    <w:rsid w:val="03EC461B"/>
    <w:rsid w:val="06B7004D"/>
    <w:rsid w:val="07397B77"/>
    <w:rsid w:val="0AD007F3"/>
    <w:rsid w:val="0E3C619F"/>
    <w:rsid w:val="100F38EC"/>
    <w:rsid w:val="11170296"/>
    <w:rsid w:val="12C66037"/>
    <w:rsid w:val="12CD1ABC"/>
    <w:rsid w:val="13471461"/>
    <w:rsid w:val="13B90F01"/>
    <w:rsid w:val="155E4C4D"/>
    <w:rsid w:val="181066D2"/>
    <w:rsid w:val="18ED6AE2"/>
    <w:rsid w:val="1C671E73"/>
    <w:rsid w:val="1D322C47"/>
    <w:rsid w:val="1EC43F5A"/>
    <w:rsid w:val="1F76699B"/>
    <w:rsid w:val="21CA571C"/>
    <w:rsid w:val="23616034"/>
    <w:rsid w:val="23696C97"/>
    <w:rsid w:val="24480FA2"/>
    <w:rsid w:val="25227A45"/>
    <w:rsid w:val="26AC3A6A"/>
    <w:rsid w:val="2B9D7E25"/>
    <w:rsid w:val="2C7C7A3B"/>
    <w:rsid w:val="2ECA3CCF"/>
    <w:rsid w:val="2F364819"/>
    <w:rsid w:val="2FD63906"/>
    <w:rsid w:val="31265DEB"/>
    <w:rsid w:val="37215DAE"/>
    <w:rsid w:val="38CA40DD"/>
    <w:rsid w:val="395F2B56"/>
    <w:rsid w:val="3B992D92"/>
    <w:rsid w:val="3BBA0580"/>
    <w:rsid w:val="3BECE841"/>
    <w:rsid w:val="3CDE204C"/>
    <w:rsid w:val="3D363C36"/>
    <w:rsid w:val="3D912EE5"/>
    <w:rsid w:val="3E9C3F6D"/>
    <w:rsid w:val="3FF7797D"/>
    <w:rsid w:val="46690BD8"/>
    <w:rsid w:val="49F70BF1"/>
    <w:rsid w:val="4B4340EE"/>
    <w:rsid w:val="503D507A"/>
    <w:rsid w:val="51FA74D0"/>
    <w:rsid w:val="52AA4A52"/>
    <w:rsid w:val="53537F56"/>
    <w:rsid w:val="57CA2675"/>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42B176B"/>
    <w:rsid w:val="643EE26D"/>
    <w:rsid w:val="656019A0"/>
    <w:rsid w:val="65F242EE"/>
    <w:rsid w:val="666D7E19"/>
    <w:rsid w:val="68376930"/>
    <w:rsid w:val="68F91E38"/>
    <w:rsid w:val="6B3158B9"/>
    <w:rsid w:val="6BA02A3F"/>
    <w:rsid w:val="6C1E5A53"/>
    <w:rsid w:val="6C297CF9"/>
    <w:rsid w:val="6DA825D6"/>
    <w:rsid w:val="6F5C41AC"/>
    <w:rsid w:val="6FAF6C78"/>
    <w:rsid w:val="716167CC"/>
    <w:rsid w:val="718A7AD1"/>
    <w:rsid w:val="72A44BC2"/>
    <w:rsid w:val="7317C656"/>
    <w:rsid w:val="734ED73F"/>
    <w:rsid w:val="73C82B32"/>
    <w:rsid w:val="73F94DAE"/>
    <w:rsid w:val="74220495"/>
    <w:rsid w:val="747D1B6F"/>
    <w:rsid w:val="749E5641"/>
    <w:rsid w:val="760F2E94"/>
    <w:rsid w:val="76271066"/>
    <w:rsid w:val="76351737"/>
    <w:rsid w:val="77FD8BE9"/>
    <w:rsid w:val="78000AED"/>
    <w:rsid w:val="79A9BD3F"/>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customStyle="1" w:styleId="2">
    <w:name w:val="Heading3"/>
    <w:basedOn w:val="1"/>
    <w:next w:val="1"/>
    <w:qFormat/>
    <w:uiPriority w:val="0"/>
    <w:pPr>
      <w:keepNext/>
      <w:keepLines/>
      <w:jc w:val="both"/>
      <w:textAlignment w:val="baseline"/>
    </w:pPr>
    <w:rPr>
      <w:rFonts w:cs="Times New Roman"/>
      <w:kern w:val="2"/>
      <w:sz w:val="21"/>
      <w:szCs w:val="32"/>
      <w:lang w:val="en-US" w:eastAsia="zh-CN" w:bidi="ar-SA"/>
    </w:rPr>
  </w:style>
  <w:style w:type="paragraph" w:styleId="5">
    <w:name w:val="annotation text"/>
    <w:basedOn w:val="1"/>
    <w:link w:val="24"/>
    <w:qFormat/>
    <w:uiPriority w:val="0"/>
    <w:pPr>
      <w:jc w:val="left"/>
    </w:p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leftChars="200"/>
    </w:pPr>
    <w:rPr>
      <w:rFonts w:ascii="Calibri" w:hAnsi="Calibri"/>
    </w:rPr>
  </w:style>
  <w:style w:type="paragraph" w:styleId="8">
    <w:name w:val="Balloon Text"/>
    <w:basedOn w:val="1"/>
    <w:link w:val="22"/>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annotation subject"/>
    <w:basedOn w:val="5"/>
    <w:next w:val="5"/>
    <w:link w:val="25"/>
    <w:qFormat/>
    <w:uiPriority w:val="0"/>
    <w:rPr>
      <w:b/>
      <w:bCs/>
    </w:rPr>
  </w:style>
  <w:style w:type="paragraph" w:styleId="14">
    <w:name w:val="Body Text First Indent"/>
    <w:basedOn w:val="6"/>
    <w:qFormat/>
    <w:uiPriority w:val="0"/>
    <w:pPr>
      <w:spacing w:after="0"/>
      <w:ind w:firstLine="200" w:firstLineChars="200"/>
    </w:pPr>
  </w:style>
  <w:style w:type="paragraph" w:styleId="15">
    <w:name w:val="Body Text First Indent 2"/>
    <w:basedOn w:val="7"/>
    <w:qFormat/>
    <w:uiPriority w:val="0"/>
    <w:pPr>
      <w:ind w:firstLine="420" w:firstLineChars="200"/>
    </w:pPr>
  </w:style>
  <w:style w:type="character" w:styleId="18">
    <w:name w:val="Strong"/>
    <w:basedOn w:val="17"/>
    <w:qFormat/>
    <w:uiPriority w:val="0"/>
    <w:rPr>
      <w:b/>
      <w:bCs/>
    </w:rPr>
  </w:style>
  <w:style w:type="character" w:styleId="19">
    <w:name w:val="annotation reference"/>
    <w:basedOn w:val="17"/>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7"/>
    <w:link w:val="8"/>
    <w:qFormat/>
    <w:uiPriority w:val="0"/>
    <w:rPr>
      <w:rFonts w:ascii="Times New Roman" w:hAnsi="Times New Roman" w:eastAsia="宋体" w:cs="Times New Roman"/>
      <w:kern w:val="2"/>
      <w:sz w:val="18"/>
      <w:szCs w:val="18"/>
    </w:rPr>
  </w:style>
  <w:style w:type="character" w:customStyle="1" w:styleId="23">
    <w:name w:val="页眉 字符"/>
    <w:basedOn w:val="17"/>
    <w:link w:val="10"/>
    <w:qFormat/>
    <w:uiPriority w:val="0"/>
    <w:rPr>
      <w:rFonts w:ascii="Times New Roman" w:hAnsi="Times New Roman" w:eastAsia="宋体" w:cs="Times New Roman"/>
      <w:kern w:val="2"/>
      <w:sz w:val="18"/>
      <w:szCs w:val="18"/>
    </w:rPr>
  </w:style>
  <w:style w:type="character" w:customStyle="1" w:styleId="24">
    <w:name w:val="批注文字 字符"/>
    <w:basedOn w:val="17"/>
    <w:link w:val="5"/>
    <w:qFormat/>
    <w:uiPriority w:val="0"/>
    <w:rPr>
      <w:rFonts w:ascii="Times New Roman" w:hAnsi="Times New Roman" w:eastAsia="宋体" w:cs="Times New Roman"/>
      <w:kern w:val="2"/>
      <w:sz w:val="21"/>
      <w:szCs w:val="24"/>
    </w:rPr>
  </w:style>
  <w:style w:type="character" w:customStyle="1" w:styleId="25">
    <w:name w:val="批注主题 字符"/>
    <w:basedOn w:val="24"/>
    <w:link w:val="13"/>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2211</Words>
  <Characters>2278</Characters>
  <Lines>58</Lines>
  <Paragraphs>16</Paragraphs>
  <TotalTime>155</TotalTime>
  <ScaleCrop>false</ScaleCrop>
  <LinksUpToDate>false</LinksUpToDate>
  <CharactersWithSpaces>2278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2025-07-22T12:19:41Z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