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2024年基本公共卫生服务资金</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pStyle w:val="12"/>
        <w:jc w:val="both"/>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2024年基本公共卫生服务资金项目</w:t>
      </w: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特克斯县卫生健康委员会</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张玲</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24" w:firstLineChars="200"/>
        <w:rPr>
          <w:rStyle w:val="17"/>
          <w:rFonts w:hint="default" w:ascii="Times New Roman" w:hAnsi="Times New Roman" w:eastAsia="黑体" w:cs="Times New Roman"/>
          <w:b w:val="0"/>
          <w:bCs/>
          <w:spacing w:val="-4"/>
          <w:sz w:val="32"/>
          <w:szCs w:val="32"/>
          <w:highlight w:val="none"/>
          <w:lang w:eastAsia="zh-CN"/>
        </w:rPr>
      </w:pPr>
      <w:r>
        <w:rPr>
          <w:rStyle w:val="17"/>
          <w:rFonts w:hint="eastAsia" w:ascii="仿宋_GB2312" w:hAnsi="仿宋_GB2312" w:eastAsia="仿宋_GB2312" w:cs="仿宋_GB2312"/>
          <w:b w:val="0"/>
          <w:bCs/>
          <w:spacing w:val="-4"/>
          <w:sz w:val="32"/>
          <w:szCs w:val="32"/>
          <w:highlight w:val="none"/>
          <w:lang w:val="en-US" w:eastAsia="zh-CN"/>
        </w:rPr>
        <w:t>通过实施国家基本公共卫生服务项目，明确政府职责，对城乡居民健康问题实施干预措施，减少主要健康危险因素，有效预防和控制主要传染病，提高基本公共卫生服务和突发公共卫生事件应急处置能力，使城乡居民逐步享有均等化的基本公共卫生服务，到2011年国家基本公共卫生服务项目得到普及，城乡和地区间公共卫生服务差距明显缩小。到2020年，基本公共卫生服务逐步均等化的机制基本完善，重大疾病和主要健康危险因素得到有效控制，城乡居民健康水平得到进一步提高</w:t>
      </w:r>
      <w:r>
        <w:rPr>
          <w:rStyle w:val="17"/>
          <w:rFonts w:hint="default" w:ascii="Times New Roman" w:hAnsi="Times New Roman" w:eastAsia="黑体" w:cs="Times New Roman"/>
          <w:b w:val="0"/>
          <w:bCs/>
          <w:spacing w:val="-4"/>
          <w:sz w:val="32"/>
          <w:szCs w:val="32"/>
          <w:highlight w:val="none"/>
          <w:lang w:eastAsia="zh-CN"/>
        </w:rPr>
        <w:t>。</w:t>
      </w:r>
    </w:p>
    <w:p>
      <w:pPr>
        <w:pStyle w:val="1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00" w:firstLineChars="200"/>
        <w:textAlignment w:val="auto"/>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b/>
          <w:bCs/>
          <w:sz w:val="32"/>
          <w:szCs w:val="32"/>
          <w:lang w:val="en-US" w:eastAsia="zh-CN"/>
        </w:rPr>
        <w:t>一是</w:t>
      </w:r>
      <w:r>
        <w:rPr>
          <w:rFonts w:hint="eastAsia" w:ascii="Times New Roman" w:hAnsi="Times New Roman" w:eastAsia="仿宋_GB2312"/>
          <w:sz w:val="32"/>
          <w:szCs w:val="32"/>
        </w:rPr>
        <w:t>项目实施主体和覆盖范围。根据</w:t>
      </w:r>
      <w:r>
        <w:rPr>
          <w:rFonts w:hint="eastAsia" w:ascii="Times New Roman" w:hAnsi="Times New Roman" w:eastAsia="仿宋_GB2312"/>
          <w:sz w:val="32"/>
          <w:szCs w:val="32"/>
          <w:lang w:val="en-US" w:eastAsia="zh-CN"/>
        </w:rPr>
        <w:t>自治区</w:t>
      </w:r>
      <w:r>
        <w:rPr>
          <w:rFonts w:hint="eastAsia" w:ascii="Times New Roman" w:hAnsi="Times New Roman" w:eastAsia="仿宋_GB2312"/>
          <w:sz w:val="32"/>
          <w:szCs w:val="32"/>
        </w:rPr>
        <w:t>《关于做好202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年基本公共卫生服务项目工作的通知》等文件精神，按照《国家基本公共卫生服务规范（第三版）》要求，在全</w:t>
      </w:r>
      <w:r>
        <w:rPr>
          <w:rFonts w:hint="eastAsia" w:ascii="Times New Roman" w:hAnsi="Times New Roman" w:eastAsia="仿宋_GB2312"/>
          <w:sz w:val="32"/>
          <w:szCs w:val="32"/>
          <w:lang w:val="en-US" w:eastAsia="zh-CN"/>
        </w:rPr>
        <w:t>县</w:t>
      </w:r>
      <w:r>
        <w:rPr>
          <w:rFonts w:hint="eastAsia" w:ascii="Times New Roman" w:hAnsi="Times New Roman" w:eastAsia="仿宋_GB2312"/>
          <w:sz w:val="32"/>
          <w:szCs w:val="32"/>
        </w:rPr>
        <w:t>所有基层医疗卫生服务机构开展基本公共卫生服务项目。</w:t>
      </w:r>
      <w:r>
        <w:rPr>
          <w:rFonts w:hint="eastAsia" w:ascii="Times New Roman" w:hAnsi="Times New Roman" w:eastAsia="仿宋_GB2312"/>
          <w:b/>
          <w:bCs/>
          <w:sz w:val="32"/>
          <w:szCs w:val="32"/>
          <w:lang w:val="en-US" w:eastAsia="zh-CN"/>
        </w:rPr>
        <w:t>二是</w:t>
      </w:r>
      <w:r>
        <w:rPr>
          <w:rFonts w:hint="eastAsia" w:ascii="Times New Roman" w:hAnsi="Times New Roman" w:eastAsia="仿宋_GB2312"/>
          <w:sz w:val="32"/>
          <w:szCs w:val="32"/>
        </w:rPr>
        <w:t>项目</w:t>
      </w:r>
      <w:r>
        <w:rPr>
          <w:rFonts w:hint="eastAsia" w:ascii="Times New Roman" w:hAnsi="Times New Roman" w:eastAsia="仿宋_GB2312"/>
          <w:sz w:val="32"/>
          <w:szCs w:val="32"/>
          <w:lang w:val="en-US" w:eastAsia="zh-CN"/>
        </w:rPr>
        <w:t>受益</w:t>
      </w:r>
      <w:r>
        <w:rPr>
          <w:rFonts w:hint="eastAsia" w:ascii="Times New Roman" w:hAnsi="Times New Roman" w:eastAsia="仿宋_GB2312"/>
          <w:sz w:val="32"/>
          <w:szCs w:val="32"/>
        </w:rPr>
        <w:t>人群和主要内容。</w:t>
      </w:r>
      <w:r>
        <w:rPr>
          <w:rFonts w:hint="eastAsia" w:ascii="Times New Roman" w:hAnsi="Times New Roman" w:eastAsia="仿宋_GB2312"/>
          <w:sz w:val="32"/>
          <w:szCs w:val="32"/>
          <w:lang w:val="en-US" w:eastAsia="zh-CN"/>
        </w:rPr>
        <w:t>全县</w:t>
      </w:r>
      <w:r>
        <w:rPr>
          <w:rFonts w:hint="eastAsia" w:ascii="Times New Roman" w:hAnsi="Times New Roman" w:eastAsia="仿宋_GB2312"/>
          <w:sz w:val="32"/>
          <w:szCs w:val="32"/>
        </w:rPr>
        <w:t>辖区内常住人口均可免费享受基本公共卫生服务，以0-6岁儿童、孕产妇、老年人、慢性病患者等人群为重点。项目实施内容包括建立居民健康档案、健康教育、预防接种、0-6岁儿童健康管理、孕产妇健康管理、65岁及以上老年人、慢性病（高血压、2型糖尿病）患者健康管理、严重精神障碍患者健康管理、传染病及突发公共卫生事件报告和处理、中医药健康管理、卫生计生监督协管等12类基本公共卫生服务项目。</w:t>
      </w:r>
    </w:p>
    <w:p>
      <w:pPr>
        <w:pStyle w:val="11"/>
        <w:keepNext w:val="0"/>
        <w:keepLines w:val="0"/>
        <w:pageBreakBefore w:val="0"/>
        <w:widowControl/>
        <w:kinsoku/>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rPr>
        <w:t>项目实施情况：</w:t>
      </w:r>
      <w:r>
        <w:rPr>
          <w:rFonts w:hint="eastAsia" w:ascii="仿宋_GB2312" w:eastAsia="仿宋_GB2312"/>
          <w:color w:val="000000"/>
          <w:spacing w:val="-6"/>
          <w:sz w:val="32"/>
          <w:szCs w:val="32"/>
          <w:highlight w:val="none"/>
          <w:u w:val="none" w:color="000000"/>
          <w:shd w:val="clear" w:color="auto" w:fill="FFFFFF"/>
        </w:rPr>
        <w:t>截至202</w:t>
      </w:r>
      <w:r>
        <w:rPr>
          <w:rFonts w:hint="eastAsia" w:ascii="仿宋_GB2312" w:eastAsia="仿宋_GB2312"/>
          <w:color w:val="000000"/>
          <w:spacing w:val="-6"/>
          <w:sz w:val="32"/>
          <w:szCs w:val="32"/>
          <w:highlight w:val="none"/>
          <w:u w:val="none" w:color="000000"/>
          <w:shd w:val="clear" w:color="auto" w:fill="FFFFFF"/>
          <w:lang w:val="en-US" w:eastAsia="zh-CN"/>
        </w:rPr>
        <w:t>4</w:t>
      </w:r>
      <w:r>
        <w:rPr>
          <w:rFonts w:hint="eastAsia" w:ascii="仿宋_GB2312" w:eastAsia="仿宋_GB2312"/>
          <w:color w:val="000000"/>
          <w:spacing w:val="-6"/>
          <w:sz w:val="32"/>
          <w:szCs w:val="32"/>
          <w:highlight w:val="none"/>
          <w:u w:val="none" w:color="000000"/>
          <w:shd w:val="clear" w:color="auto" w:fill="FFFFFF"/>
        </w:rPr>
        <w:t>年</w:t>
      </w:r>
      <w:r>
        <w:rPr>
          <w:rFonts w:hint="eastAsia" w:ascii="仿宋_GB2312" w:eastAsia="仿宋_GB2312"/>
          <w:color w:val="000000"/>
          <w:spacing w:val="-6"/>
          <w:sz w:val="32"/>
          <w:szCs w:val="32"/>
          <w:highlight w:val="none"/>
          <w:u w:val="none" w:color="000000"/>
          <w:shd w:val="clear" w:color="auto" w:fill="FFFFFF"/>
          <w:lang w:val="en-US" w:eastAsia="zh-CN"/>
        </w:rPr>
        <w:t>底</w:t>
      </w:r>
      <w:r>
        <w:rPr>
          <w:rFonts w:hint="eastAsia" w:ascii="仿宋_GB2312" w:eastAsia="仿宋_GB2312"/>
          <w:color w:val="000000"/>
          <w:spacing w:val="-6"/>
          <w:sz w:val="32"/>
          <w:szCs w:val="32"/>
          <w:highlight w:val="none"/>
          <w:u w:val="none" w:color="000000"/>
          <w:shd w:val="clear" w:color="auto" w:fill="FFFFFF"/>
        </w:rPr>
        <w:t>全县累计建立居民健康档案</w:t>
      </w:r>
      <w:r>
        <w:rPr>
          <w:rFonts w:hint="eastAsia" w:ascii="仿宋_GB2312" w:eastAsia="仿宋_GB2312"/>
          <w:color w:val="000000"/>
          <w:spacing w:val="-6"/>
          <w:sz w:val="32"/>
          <w:szCs w:val="32"/>
          <w:highlight w:val="none"/>
          <w:u w:val="none" w:color="000000"/>
          <w:shd w:val="clear" w:color="auto" w:fill="FFFFFF"/>
          <w:lang w:val="en-US" w:eastAsia="zh-CN"/>
        </w:rPr>
        <w:t>135585</w:t>
      </w:r>
      <w:r>
        <w:rPr>
          <w:rFonts w:hint="eastAsia" w:ascii="仿宋_GB2312" w:eastAsia="仿宋_GB2312"/>
          <w:color w:val="000000"/>
          <w:spacing w:val="-6"/>
          <w:sz w:val="32"/>
          <w:szCs w:val="32"/>
          <w:highlight w:val="none"/>
          <w:u w:val="none" w:color="000000"/>
          <w:shd w:val="clear" w:color="auto" w:fill="FFFFFF"/>
        </w:rPr>
        <w:t>份，建档率</w:t>
      </w:r>
      <w:r>
        <w:rPr>
          <w:rFonts w:hint="eastAsia" w:ascii="仿宋_GB2312" w:eastAsia="仿宋_GB2312"/>
          <w:color w:val="000000"/>
          <w:spacing w:val="-6"/>
          <w:sz w:val="32"/>
          <w:szCs w:val="32"/>
          <w:highlight w:val="none"/>
          <w:u w:val="none" w:color="000000"/>
          <w:shd w:val="clear" w:color="auto" w:fill="FFFFFF"/>
          <w:lang w:eastAsia="zh-CN"/>
        </w:rPr>
        <w:t>达</w:t>
      </w:r>
      <w:r>
        <w:rPr>
          <w:rFonts w:hint="eastAsia" w:ascii="仿宋_GB2312" w:eastAsia="仿宋_GB2312"/>
          <w:color w:val="000000"/>
          <w:spacing w:val="-6"/>
          <w:sz w:val="32"/>
          <w:szCs w:val="32"/>
          <w:highlight w:val="none"/>
          <w:u w:val="none" w:color="000000"/>
          <w:shd w:val="clear" w:color="auto" w:fill="FFFFFF"/>
          <w:lang w:val="en-US" w:eastAsia="zh-CN"/>
        </w:rPr>
        <w:t>97.26</w:t>
      </w:r>
      <w:r>
        <w:rPr>
          <w:rFonts w:hint="eastAsia" w:ascii="仿宋_GB2312" w:eastAsia="仿宋_GB2312"/>
          <w:color w:val="000000"/>
          <w:spacing w:val="-6"/>
          <w:sz w:val="32"/>
          <w:szCs w:val="32"/>
          <w:highlight w:val="none"/>
          <w:u w:val="none" w:color="000000"/>
          <w:shd w:val="clear" w:color="auto" w:fill="FFFFFF"/>
        </w:rPr>
        <w:t>%</w:t>
      </w:r>
      <w:r>
        <w:rPr>
          <w:rFonts w:hint="eastAsia" w:ascii="仿宋_GB2312" w:eastAsia="仿宋_GB2312"/>
          <w:color w:val="000000"/>
          <w:spacing w:val="-6"/>
          <w:sz w:val="32"/>
          <w:szCs w:val="32"/>
          <w:highlight w:val="none"/>
          <w:u w:val="none" w:color="000000"/>
          <w:shd w:val="clear" w:color="auto" w:fill="FFFFFF"/>
          <w:lang w:eastAsia="zh-CN"/>
        </w:rPr>
        <w:t>，已完成</w:t>
      </w:r>
      <w:r>
        <w:rPr>
          <w:rFonts w:hint="eastAsia" w:ascii="仿宋_GB2312" w:eastAsia="仿宋_GB2312"/>
          <w:color w:val="000000"/>
          <w:spacing w:val="-6"/>
          <w:sz w:val="32"/>
          <w:szCs w:val="32"/>
          <w:highlight w:val="none"/>
          <w:u w:val="none" w:color="000000"/>
          <w:shd w:val="clear" w:color="auto" w:fill="FFFFFF"/>
          <w:lang w:val="en-US" w:eastAsia="zh-CN"/>
        </w:rPr>
        <w:t>目标值</w:t>
      </w:r>
      <w:r>
        <w:rPr>
          <w:rFonts w:hint="eastAsia" w:ascii="仿宋_GB2312" w:eastAsia="仿宋_GB2312"/>
          <w:color w:val="000000"/>
          <w:spacing w:val="-6"/>
          <w:sz w:val="32"/>
          <w:szCs w:val="32"/>
          <w:highlight w:val="none"/>
          <w:u w:val="none" w:color="000000"/>
          <w:shd w:val="clear" w:color="auto" w:fill="FFFFFF"/>
          <w:lang w:eastAsia="zh-CN"/>
        </w:rPr>
        <w:t>；</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2024年底适龄儿童免疫规划疫苗接种率达96.5%，已完成目标管理率；</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w:t>
      </w:r>
      <w:r>
        <w:rPr>
          <w:rFonts w:hint="eastAsia" w:ascii="仿宋_GB2312" w:hAnsi="仿宋_GB2312" w:eastAsia="仿宋_GB2312" w:cs="仿宋_GB2312"/>
          <w:sz w:val="32"/>
          <w:szCs w:val="32"/>
          <w:highlight w:val="none"/>
          <w:lang w:eastAsia="zh-CN"/>
        </w:rPr>
        <w:t>新生儿访视率</w:t>
      </w:r>
      <w:r>
        <w:rPr>
          <w:rFonts w:hint="eastAsia" w:ascii="仿宋_GB2312" w:hAnsi="仿宋_GB2312" w:eastAsia="仿宋_GB2312" w:cs="仿宋_GB2312"/>
          <w:sz w:val="32"/>
          <w:szCs w:val="32"/>
          <w:highlight w:val="none"/>
          <w:lang w:val="en-US" w:eastAsia="zh-CN"/>
        </w:rPr>
        <w:t>96.51%</w:t>
      </w:r>
      <w:r>
        <w:rPr>
          <w:rFonts w:hint="eastAsia" w:ascii="仿宋_GB2312" w:hAnsi="仿宋_GB2312" w:eastAsia="仿宋_GB2312" w:cs="仿宋_GB2312"/>
          <w:sz w:val="32"/>
          <w:szCs w:val="32"/>
          <w:highlight w:val="none"/>
          <w:lang w:eastAsia="zh-CN"/>
        </w:rPr>
        <w:t>、0-6岁儿童健康管理率达</w:t>
      </w:r>
      <w:r>
        <w:rPr>
          <w:rFonts w:hint="eastAsia" w:ascii="仿宋_GB2312" w:hAnsi="仿宋_GB2312" w:eastAsia="仿宋_GB2312" w:cs="仿宋_GB2312"/>
          <w:sz w:val="32"/>
          <w:szCs w:val="32"/>
          <w:highlight w:val="none"/>
          <w:lang w:val="en-US" w:eastAsia="zh-CN"/>
        </w:rPr>
        <w:t>97.33%；</w:t>
      </w:r>
      <w:r>
        <w:rPr>
          <w:rFonts w:hint="eastAsia" w:ascii="仿宋_GB2312" w:hAnsi="仿宋_GB2312" w:eastAsia="仿宋_GB2312" w:cs="仿宋_GB2312"/>
          <w:sz w:val="32"/>
          <w:szCs w:val="32"/>
          <w:highlight w:val="none"/>
          <w:lang w:eastAsia="zh-CN"/>
        </w:rPr>
        <w:t>孕产妇系统管理</w:t>
      </w:r>
      <w:r>
        <w:rPr>
          <w:rFonts w:hint="eastAsia" w:ascii="仿宋_GB2312" w:hAnsi="仿宋_GB2312" w:eastAsia="仿宋_GB2312" w:cs="仿宋_GB2312"/>
          <w:sz w:val="32"/>
          <w:szCs w:val="32"/>
          <w:highlight w:val="none"/>
          <w:lang w:val="en-US" w:eastAsia="zh-CN"/>
        </w:rPr>
        <w:t>早孕建册90.73%、产后访视91.84%均已完成年度目标值；</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年底老年人健康管理率达77.55%，已完成年度目标值；</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w:t>
      </w:r>
      <w:r>
        <w:rPr>
          <w:rFonts w:hint="eastAsia" w:ascii="仿宋_GB2312" w:hAnsi="仿宋_GB2312" w:eastAsia="仿宋_GB2312" w:cs="仿宋_GB2312"/>
          <w:sz w:val="32"/>
          <w:szCs w:val="32"/>
          <w:highlight w:val="none"/>
          <w:lang w:eastAsia="zh-CN"/>
        </w:rPr>
        <w:t>老年人中医药健康管理率达</w:t>
      </w:r>
      <w:r>
        <w:rPr>
          <w:rFonts w:hint="eastAsia" w:ascii="仿宋_GB2312" w:hAnsi="仿宋_GB2312" w:eastAsia="仿宋_GB2312" w:cs="仿宋_GB2312"/>
          <w:sz w:val="32"/>
          <w:szCs w:val="32"/>
          <w:highlight w:val="none"/>
          <w:lang w:val="en-US" w:eastAsia="zh-CN"/>
        </w:rPr>
        <w:t>83.04%，</w:t>
      </w:r>
      <w:r>
        <w:rPr>
          <w:rFonts w:hint="eastAsia" w:ascii="仿宋_GB2312" w:hAnsi="仿宋_GB2312" w:eastAsia="仿宋_GB2312" w:cs="仿宋_GB2312"/>
          <w:sz w:val="32"/>
          <w:szCs w:val="32"/>
          <w:highlight w:val="none"/>
          <w:lang w:eastAsia="zh-CN"/>
        </w:rPr>
        <w:t>0-36个月儿童中医药健康管理率达</w:t>
      </w:r>
      <w:r>
        <w:rPr>
          <w:rFonts w:hint="eastAsia" w:ascii="仿宋_GB2312" w:hAnsi="仿宋_GB2312" w:eastAsia="仿宋_GB2312" w:cs="仿宋_GB2312"/>
          <w:sz w:val="32"/>
          <w:szCs w:val="32"/>
          <w:highlight w:val="none"/>
          <w:lang w:val="en-US" w:eastAsia="zh-CN"/>
        </w:rPr>
        <w:t>99.46%，均已完成年度目标值；</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年底高血压规范管理率达78.67%，糖尿病规范管理率达77.52%，年度目标值均已完成；</w:t>
      </w:r>
      <w:r>
        <w:rPr>
          <w:rFonts w:hint="eastAsia" w:ascii="仿宋_GB2312" w:hAnsi="仿宋_GB2312" w:eastAsia="仿宋_GB2312" w:cs="仿宋_GB2312"/>
          <w:sz w:val="32"/>
          <w:szCs w:val="32"/>
          <w:highlight w:val="none"/>
          <w:lang w:eastAsia="zh-CN"/>
        </w:rPr>
        <w:t>截至</w:t>
      </w:r>
      <w:r>
        <w:rPr>
          <w:rFonts w:hint="eastAsia" w:ascii="仿宋_GB2312" w:hAnsi="仿宋_GB2312" w:eastAsia="仿宋_GB2312" w:cs="仿宋_GB2312"/>
          <w:sz w:val="32"/>
          <w:szCs w:val="32"/>
          <w:highlight w:val="none"/>
          <w:lang w:val="en-US" w:eastAsia="zh-CN"/>
        </w:rPr>
        <w:t>年底规范管理率达87.2%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年度目标值已完成；截至年底</w:t>
      </w:r>
      <w:r>
        <w:rPr>
          <w:rFonts w:hint="eastAsia" w:ascii="仿宋_GB2312" w:hAnsi="仿宋_GB2312" w:eastAsia="仿宋_GB2312" w:cs="仿宋_GB2312"/>
          <w:bCs/>
          <w:sz w:val="32"/>
          <w:szCs w:val="32"/>
          <w:highlight w:val="none"/>
          <w:lang w:val="en-US" w:eastAsia="zh-CN"/>
        </w:rPr>
        <w:t>肺结核患者管理率100%，已完成目标值；</w:t>
      </w:r>
      <w:r>
        <w:rPr>
          <w:rFonts w:hint="eastAsia" w:ascii="仿宋_GB2312" w:eastAsia="仿宋_GB2312"/>
          <w:color w:val="000000"/>
          <w:spacing w:val="-6"/>
          <w:sz w:val="32"/>
          <w:szCs w:val="32"/>
          <w:highlight w:val="none"/>
          <w:u w:val="none" w:color="000000"/>
          <w:shd w:val="clear" w:color="auto" w:fill="FFFFFF"/>
          <w:lang w:val="en-US" w:eastAsia="zh-CN"/>
        </w:rPr>
        <w:t>截至年底</w:t>
      </w:r>
      <w:r>
        <w:rPr>
          <w:rFonts w:hint="eastAsia" w:ascii="仿宋_GB2312" w:hAnsi="仿宋_GB2312" w:eastAsia="仿宋_GB2312" w:cs="仿宋_GB2312"/>
          <w:sz w:val="32"/>
          <w:szCs w:val="32"/>
          <w:highlight w:val="none"/>
          <w:lang w:eastAsia="zh-CN"/>
        </w:rPr>
        <w:t>传染病和突发公共卫生事件网络报告例数</w:t>
      </w:r>
      <w:r>
        <w:rPr>
          <w:rFonts w:hint="eastAsia" w:ascii="仿宋_GB2312" w:hAnsi="仿宋_GB2312" w:eastAsia="仿宋_GB2312" w:cs="仿宋_GB2312"/>
          <w:sz w:val="32"/>
          <w:szCs w:val="32"/>
          <w:highlight w:val="none"/>
          <w:lang w:val="en-US" w:eastAsia="zh-CN"/>
        </w:rPr>
        <w:t>0例，</w:t>
      </w:r>
      <w:r>
        <w:rPr>
          <w:rFonts w:hint="eastAsia" w:ascii="仿宋_GB2312" w:hAnsi="仿宋_GB2312" w:eastAsia="仿宋_GB2312" w:cs="仿宋_GB2312"/>
          <w:sz w:val="32"/>
          <w:szCs w:val="32"/>
          <w:highlight w:val="none"/>
          <w:lang w:eastAsia="zh-CN"/>
        </w:rPr>
        <w:t>报告率</w:t>
      </w:r>
      <w:r>
        <w:rPr>
          <w:rFonts w:hint="eastAsia" w:ascii="仿宋_GB2312" w:hAnsi="仿宋_GB2312" w:eastAsia="仿宋_GB2312" w:cs="仿宋_GB2312"/>
          <w:sz w:val="32"/>
          <w:szCs w:val="32"/>
          <w:highlight w:val="none"/>
          <w:lang w:val="en-US" w:eastAsia="zh-CN"/>
        </w:rPr>
        <w:t>100%，传染病疫情报告及时率100%。</w:t>
      </w:r>
      <w:r>
        <w:rPr>
          <w:rFonts w:hint="eastAsia" w:ascii="仿宋_GB2312" w:eastAsia="仿宋_GB2312"/>
          <w:color w:val="000000"/>
          <w:spacing w:val="-6"/>
          <w:sz w:val="32"/>
          <w:szCs w:val="32"/>
          <w:highlight w:val="none"/>
          <w:u w:val="none" w:color="000000"/>
          <w:shd w:val="clear" w:color="auto" w:fill="FFFFFF"/>
        </w:rPr>
        <w:t>全县卫生监督协管工作报告</w:t>
      </w:r>
      <w:r>
        <w:rPr>
          <w:rFonts w:hint="eastAsia" w:ascii="仿宋_GB2312" w:eastAsia="仿宋_GB2312"/>
          <w:spacing w:val="-6"/>
          <w:sz w:val="32"/>
          <w:szCs w:val="32"/>
          <w:highlight w:val="none"/>
          <w:u w:val="none" w:color="000000"/>
          <w:shd w:val="clear" w:color="auto" w:fill="FFFFFF"/>
          <w:lang w:val="en-US" w:eastAsia="zh-CN"/>
        </w:rPr>
        <w:t>0</w:t>
      </w:r>
      <w:r>
        <w:rPr>
          <w:rFonts w:hint="eastAsia" w:ascii="仿宋_GB2312" w:eastAsia="仿宋_GB2312"/>
          <w:spacing w:val="-6"/>
          <w:sz w:val="32"/>
          <w:szCs w:val="32"/>
          <w:highlight w:val="none"/>
          <w:u w:val="none" w:color="000000"/>
          <w:shd w:val="clear" w:color="auto" w:fill="FFFFFF"/>
        </w:rPr>
        <w:t>次，报告及时率100%，协助开展饮用水卫生安全、校园卫生、非法行医实地巡查</w:t>
      </w:r>
      <w:r>
        <w:rPr>
          <w:rFonts w:hint="eastAsia" w:ascii="仿宋_GB2312" w:eastAsia="仿宋_GB2312"/>
          <w:spacing w:val="-6"/>
          <w:sz w:val="32"/>
          <w:szCs w:val="32"/>
          <w:highlight w:val="none"/>
          <w:u w:val="none" w:color="000000"/>
          <w:shd w:val="clear" w:color="auto" w:fill="FFFFFF"/>
          <w:lang w:val="en-US" w:eastAsia="zh-CN"/>
        </w:rPr>
        <w:t>1213</w:t>
      </w:r>
      <w:r>
        <w:rPr>
          <w:rFonts w:hint="eastAsia" w:ascii="仿宋_GB2312" w:eastAsia="仿宋_GB2312"/>
          <w:spacing w:val="-6"/>
          <w:sz w:val="32"/>
          <w:szCs w:val="32"/>
          <w:highlight w:val="none"/>
          <w:u w:val="none" w:color="000000"/>
          <w:shd w:val="clear" w:color="auto" w:fill="FFFFFF"/>
        </w:rPr>
        <w:t>次</w:t>
      </w:r>
      <w:r>
        <w:rPr>
          <w:rStyle w:val="17"/>
          <w:rFonts w:hint="default" w:ascii="Times New Roman" w:hAnsi="Times New Roman" w:eastAsia="黑体" w:cs="Times New Roman"/>
          <w:b w:val="0"/>
          <w:bCs/>
          <w:spacing w:val="-4"/>
          <w:sz w:val="32"/>
          <w:szCs w:val="32"/>
          <w:highlight w:val="none"/>
          <w:lang w:eastAsia="zh-CN"/>
        </w:rPr>
        <w:t>。</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799.1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959.1</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799.1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959.1</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958.7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99.96</w:t>
      </w:r>
      <w:r>
        <w:rPr>
          <w:rFonts w:hint="default" w:ascii="Times New Roman" w:hAnsi="Times New Roman" w:eastAsia="仿宋_GB2312" w:cs="Times New Roman"/>
          <w:sz w:val="32"/>
          <w:szCs w:val="32"/>
          <w:highlight w:val="none"/>
          <w:lang w:val="en-US" w:eastAsia="zh-CN"/>
        </w:rPr>
        <w:t>%，主要用于：组织实施基本公共卫生服务项目。</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监测了解全区饮用水卫生基本状况，掌握重点公共场所主要健康危害因素，评价健康风险，掌握新疆农村环境卫生健康危害因素水平及动态变化。立项依据：特卫健发【2023】25号特克斯县2023年度国家基本公共卫生服务项目实施方案</w:t>
      </w:r>
      <w:r>
        <w:rPr>
          <w:rFonts w:hint="eastAsia" w:ascii="Times New Roman" w:hAnsi="Times New Roman" w:eastAsia="仿宋_GB2312" w:cs="Times New Roman"/>
          <w:sz w:val="32"/>
          <w:szCs w:val="32"/>
          <w:highlight w:val="none"/>
          <w:lang w:val="en-US" w:eastAsia="zh-CN"/>
        </w:rPr>
        <w:t>。</w:t>
      </w:r>
    </w:p>
    <w:p>
      <w:pPr>
        <w:numPr>
          <w:ilvl w:val="0"/>
          <w:numId w:val="1"/>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：1、</w:t>
      </w:r>
      <w:r>
        <w:rPr>
          <w:rFonts w:hint="eastAsia" w:ascii="仿宋_GB2312" w:eastAsia="仿宋_GB2312"/>
          <w:spacing w:val="-6"/>
          <w:sz w:val="32"/>
          <w:szCs w:val="32"/>
          <w:u w:val="none" w:color="000000"/>
          <w:shd w:val="clear" w:color="auto" w:fill="FFFFFF"/>
          <w:lang w:eastAsia="zh-CN"/>
        </w:rPr>
        <w:t>居民电子健康档案建档率≧75%，</w:t>
      </w:r>
      <w:r>
        <w:rPr>
          <w:rFonts w:hint="eastAsia" w:ascii="仿宋_GB2312" w:eastAsia="仿宋_GB2312"/>
          <w:spacing w:val="-6"/>
          <w:sz w:val="32"/>
          <w:szCs w:val="32"/>
          <w:u w:val="none" w:color="000000"/>
          <w:shd w:val="clear" w:color="auto" w:fill="FFFFFF"/>
        </w:rPr>
        <w:t>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6</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底</w:t>
      </w:r>
      <w:r>
        <w:rPr>
          <w:rFonts w:hint="eastAsia" w:ascii="仿宋_GB2312" w:eastAsia="仿宋_GB2312"/>
          <w:spacing w:val="-6"/>
          <w:sz w:val="32"/>
          <w:szCs w:val="32"/>
          <w:u w:val="none" w:color="000000"/>
          <w:shd w:val="clear" w:color="auto" w:fill="FFFFFF"/>
        </w:rPr>
        <w:t>全县累计建立居民健康档案</w:t>
      </w:r>
      <w:r>
        <w:rPr>
          <w:rFonts w:hint="eastAsia" w:ascii="仿宋_GB2312" w:eastAsia="仿宋_GB2312"/>
          <w:spacing w:val="-6"/>
          <w:sz w:val="32"/>
          <w:szCs w:val="32"/>
          <w:u w:val="none" w:color="000000"/>
          <w:shd w:val="clear" w:color="auto" w:fill="FFFFFF"/>
          <w:lang w:val="en-US" w:eastAsia="zh-CN"/>
        </w:rPr>
        <w:t>138360</w:t>
      </w:r>
      <w:r>
        <w:rPr>
          <w:rFonts w:hint="eastAsia" w:ascii="仿宋_GB2312" w:eastAsia="仿宋_GB2312"/>
          <w:spacing w:val="-6"/>
          <w:sz w:val="32"/>
          <w:szCs w:val="32"/>
          <w:u w:val="none" w:color="000000"/>
          <w:shd w:val="clear" w:color="auto" w:fill="FFFFFF"/>
        </w:rPr>
        <w:t>份，建档率</w:t>
      </w:r>
      <w:r>
        <w:rPr>
          <w:rFonts w:hint="eastAsia" w:ascii="仿宋_GB2312" w:eastAsia="仿宋_GB2312"/>
          <w:spacing w:val="-6"/>
          <w:sz w:val="32"/>
          <w:szCs w:val="32"/>
          <w:u w:val="none" w:color="000000"/>
          <w:shd w:val="clear" w:color="auto" w:fill="FFFFFF"/>
          <w:lang w:eastAsia="zh-CN"/>
        </w:rPr>
        <w:t>达</w:t>
      </w:r>
      <w:r>
        <w:rPr>
          <w:rFonts w:hint="eastAsia" w:ascii="仿宋_GB2312" w:eastAsia="仿宋_GB2312"/>
          <w:spacing w:val="-6"/>
          <w:sz w:val="32"/>
          <w:szCs w:val="32"/>
          <w:u w:val="none" w:color="000000"/>
          <w:shd w:val="clear" w:color="auto" w:fill="FFFFFF"/>
          <w:lang w:val="en-US" w:eastAsia="zh-CN"/>
        </w:rPr>
        <w:t>99.25</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2、</w:t>
      </w:r>
      <w:r>
        <w:rPr>
          <w:rFonts w:hint="eastAsia" w:ascii="仿宋_GB2312" w:eastAsia="仿宋_GB2312"/>
          <w:spacing w:val="-6"/>
          <w:sz w:val="32"/>
          <w:szCs w:val="32"/>
          <w:u w:val="none" w:color="000000"/>
          <w:shd w:val="clear" w:color="auto" w:fill="FFFFFF"/>
          <w:lang w:eastAsia="zh-CN"/>
        </w:rPr>
        <w:t>免疫规划疫苗接种率≧90%，截至</w:t>
      </w:r>
      <w:r>
        <w:rPr>
          <w:rFonts w:hint="eastAsia" w:ascii="仿宋_GB2312" w:eastAsia="仿宋_GB2312"/>
          <w:spacing w:val="-6"/>
          <w:sz w:val="32"/>
          <w:szCs w:val="32"/>
          <w:u w:val="none" w:color="000000"/>
          <w:shd w:val="clear" w:color="auto" w:fill="FFFFFF"/>
          <w:lang w:val="en-US" w:eastAsia="zh-CN"/>
        </w:rPr>
        <w:t>6月底全县传染病防治及适龄儿童免疫规划疫苗接种率达95%以上，均达到国家要求目标管理率。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w:t>
      </w:r>
      <w:r>
        <w:rPr>
          <w:rFonts w:hint="eastAsia" w:ascii="仿宋_GB2312" w:eastAsia="仿宋_GB2312"/>
          <w:spacing w:val="-6"/>
          <w:sz w:val="32"/>
          <w:szCs w:val="32"/>
          <w:u w:val="none" w:color="000000"/>
          <w:shd w:val="clear" w:color="auto" w:fill="FFFFFF"/>
          <w:lang w:eastAsia="zh-CN"/>
        </w:rPr>
        <w:t>新生儿访视率、孕产妇系统管理率≧</w:t>
      </w:r>
      <w:r>
        <w:rPr>
          <w:rFonts w:hint="eastAsia" w:ascii="仿宋_GB2312" w:eastAsia="仿宋_GB2312"/>
          <w:spacing w:val="-6"/>
          <w:sz w:val="32"/>
          <w:szCs w:val="32"/>
          <w:u w:val="none" w:color="000000"/>
          <w:shd w:val="clear" w:color="auto" w:fill="FFFFFF"/>
          <w:lang w:val="en-US" w:eastAsia="zh-CN"/>
        </w:rPr>
        <w:t>90</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w:t>
      </w:r>
      <w:r>
        <w:rPr>
          <w:rFonts w:hint="eastAsia" w:ascii="仿宋_GB2312" w:eastAsia="仿宋_GB2312"/>
          <w:spacing w:val="-6"/>
          <w:sz w:val="32"/>
          <w:szCs w:val="32"/>
          <w:u w:val="none" w:color="000000"/>
          <w:shd w:val="clear" w:color="auto" w:fill="FFFFFF"/>
          <w:lang w:eastAsia="zh-CN"/>
        </w:rPr>
        <w:t>新生儿访视率</w:t>
      </w:r>
      <w:r>
        <w:rPr>
          <w:rFonts w:hint="eastAsia" w:ascii="仿宋_GB2312" w:eastAsia="仿宋_GB2312"/>
          <w:spacing w:val="-6"/>
          <w:sz w:val="32"/>
          <w:szCs w:val="32"/>
          <w:u w:val="none" w:color="000000"/>
          <w:shd w:val="clear" w:color="auto" w:fill="FFFFFF"/>
          <w:lang w:val="en-US" w:eastAsia="zh-CN"/>
        </w:rPr>
        <w:t>96.7%</w:t>
      </w:r>
      <w:r>
        <w:rPr>
          <w:rFonts w:hint="eastAsia" w:ascii="仿宋_GB2312" w:eastAsia="仿宋_GB2312"/>
          <w:spacing w:val="-6"/>
          <w:sz w:val="32"/>
          <w:szCs w:val="32"/>
          <w:u w:val="none" w:color="000000"/>
          <w:shd w:val="clear" w:color="auto" w:fill="FFFFFF"/>
          <w:lang w:eastAsia="zh-CN"/>
        </w:rPr>
        <w:t>、孕产妇系统管理率达</w:t>
      </w:r>
      <w:r>
        <w:rPr>
          <w:rFonts w:hint="eastAsia" w:ascii="仿宋_GB2312" w:eastAsia="仿宋_GB2312"/>
          <w:spacing w:val="-6"/>
          <w:sz w:val="32"/>
          <w:szCs w:val="32"/>
          <w:u w:val="none" w:color="000000"/>
          <w:shd w:val="clear" w:color="auto" w:fill="FFFFFF"/>
          <w:lang w:val="en-US" w:eastAsia="zh-CN"/>
        </w:rPr>
        <w:t>95.71%，均已完成目标值。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lang w:eastAsia="zh-CN"/>
        </w:rPr>
        <w:t>老年人健康管理率≧</w:t>
      </w:r>
      <w:r>
        <w:rPr>
          <w:rFonts w:hint="eastAsia" w:ascii="仿宋_GB2312" w:eastAsia="仿宋_GB2312"/>
          <w:spacing w:val="-6"/>
          <w:sz w:val="32"/>
          <w:szCs w:val="32"/>
          <w:u w:val="none" w:color="000000"/>
          <w:shd w:val="clear" w:color="auto" w:fill="FFFFFF"/>
          <w:lang w:val="en-US" w:eastAsia="zh-CN"/>
        </w:rPr>
        <w:t>70</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6月底老年人健康管理率43.38%，按照规范要求12月30日前完成目标值；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lang w:eastAsia="zh-CN"/>
        </w:rPr>
        <w:t>老年人中医药健康管理率≧</w:t>
      </w:r>
      <w:r>
        <w:rPr>
          <w:rFonts w:hint="eastAsia" w:ascii="仿宋_GB2312" w:eastAsia="仿宋_GB2312"/>
          <w:spacing w:val="-6"/>
          <w:sz w:val="32"/>
          <w:szCs w:val="32"/>
          <w:u w:val="none" w:color="000000"/>
          <w:shd w:val="clear" w:color="auto" w:fill="FFFFFF"/>
          <w:lang w:val="en-US" w:eastAsia="zh-CN"/>
        </w:rPr>
        <w:t>70</w:t>
      </w:r>
      <w:r>
        <w:rPr>
          <w:rFonts w:hint="eastAsia" w:ascii="仿宋_GB2312" w:eastAsia="仿宋_GB2312"/>
          <w:spacing w:val="-6"/>
          <w:sz w:val="32"/>
          <w:szCs w:val="32"/>
          <w:u w:val="none" w:color="000000"/>
          <w:shd w:val="clear" w:color="auto" w:fill="FFFFFF"/>
          <w:lang w:eastAsia="zh-CN"/>
        </w:rPr>
        <w:t>%、0-36个月儿童中医药健康管理率≧</w:t>
      </w:r>
      <w:r>
        <w:rPr>
          <w:rFonts w:hint="eastAsia" w:ascii="仿宋_GB2312" w:eastAsia="仿宋_GB2312"/>
          <w:spacing w:val="-6"/>
          <w:sz w:val="32"/>
          <w:szCs w:val="32"/>
          <w:u w:val="none" w:color="000000"/>
          <w:shd w:val="clear" w:color="auto" w:fill="FFFFFF"/>
          <w:lang w:val="en-US" w:eastAsia="zh-CN"/>
        </w:rPr>
        <w:t>77</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w:t>
      </w:r>
      <w:r>
        <w:rPr>
          <w:rFonts w:hint="eastAsia" w:ascii="仿宋_GB2312" w:eastAsia="仿宋_GB2312"/>
          <w:spacing w:val="-6"/>
          <w:sz w:val="32"/>
          <w:szCs w:val="32"/>
          <w:u w:val="none" w:color="000000"/>
          <w:shd w:val="clear" w:color="auto" w:fill="FFFFFF"/>
          <w:lang w:eastAsia="zh-CN"/>
        </w:rPr>
        <w:t>老年人中医药健康管理率</w:t>
      </w:r>
      <w:r>
        <w:rPr>
          <w:rFonts w:hint="eastAsia" w:ascii="仿宋_GB2312" w:eastAsia="仿宋_GB2312"/>
          <w:spacing w:val="-6"/>
          <w:sz w:val="32"/>
          <w:szCs w:val="32"/>
          <w:u w:val="none" w:color="000000"/>
          <w:shd w:val="clear" w:color="auto" w:fill="FFFFFF"/>
          <w:lang w:val="en-US" w:eastAsia="zh-CN"/>
        </w:rPr>
        <w:t>57.12%，</w:t>
      </w:r>
      <w:r>
        <w:rPr>
          <w:rFonts w:hint="eastAsia" w:ascii="仿宋_GB2312" w:eastAsia="仿宋_GB2312"/>
          <w:spacing w:val="-6"/>
          <w:sz w:val="32"/>
          <w:szCs w:val="32"/>
          <w:u w:val="none" w:color="000000"/>
          <w:shd w:val="clear" w:color="auto" w:fill="FFFFFF"/>
          <w:lang w:eastAsia="zh-CN"/>
        </w:rPr>
        <w:t>0-36个月儿童中医药健康管理率</w:t>
      </w:r>
      <w:r>
        <w:rPr>
          <w:rFonts w:hint="eastAsia" w:ascii="仿宋_GB2312" w:eastAsia="仿宋_GB2312"/>
          <w:spacing w:val="-6"/>
          <w:sz w:val="32"/>
          <w:szCs w:val="32"/>
          <w:u w:val="none" w:color="000000"/>
          <w:shd w:val="clear" w:color="auto" w:fill="FFFFFF"/>
          <w:lang w:val="en-US" w:eastAsia="zh-CN"/>
        </w:rPr>
        <w:t>63.49%，按照年度规范管理要求，需12月30日前完成目标值；</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6、</w:t>
      </w:r>
      <w:r>
        <w:rPr>
          <w:rFonts w:hint="eastAsia" w:ascii="仿宋_GB2312" w:eastAsia="仿宋_GB2312"/>
          <w:spacing w:val="-6"/>
          <w:sz w:val="32"/>
          <w:szCs w:val="32"/>
          <w:u w:val="none" w:color="000000"/>
          <w:shd w:val="clear" w:color="auto" w:fill="FFFFFF"/>
          <w:lang w:eastAsia="zh-CN"/>
        </w:rPr>
        <w:t>高血压、糖尿病规范管理率≧</w:t>
      </w:r>
      <w:r>
        <w:rPr>
          <w:rFonts w:hint="eastAsia" w:ascii="仿宋_GB2312" w:eastAsia="仿宋_GB2312"/>
          <w:spacing w:val="-6"/>
          <w:sz w:val="32"/>
          <w:szCs w:val="32"/>
          <w:u w:val="none" w:color="000000"/>
          <w:shd w:val="clear" w:color="auto" w:fill="FFFFFF"/>
          <w:lang w:val="en-US" w:eastAsia="zh-CN"/>
        </w:rPr>
        <w:t>72</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6月底高血压规范管理率达86.16%，糖尿病规范管理率达84.72%，季度目标值均已完成；</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7、</w:t>
      </w:r>
      <w:r>
        <w:rPr>
          <w:rFonts w:hint="eastAsia" w:ascii="仿宋_GB2312" w:eastAsia="仿宋_GB2312"/>
          <w:spacing w:val="-6"/>
          <w:sz w:val="32"/>
          <w:szCs w:val="32"/>
          <w:u w:val="none" w:color="000000"/>
          <w:shd w:val="clear" w:color="auto" w:fill="FFFFFF"/>
          <w:lang w:eastAsia="zh-CN"/>
        </w:rPr>
        <w:t>严重精神障碍患者健康管理率≧</w:t>
      </w:r>
      <w:r>
        <w:rPr>
          <w:rFonts w:hint="eastAsia" w:ascii="仿宋_GB2312" w:eastAsia="仿宋_GB2312"/>
          <w:spacing w:val="-6"/>
          <w:sz w:val="32"/>
          <w:szCs w:val="32"/>
          <w:u w:val="none" w:color="000000"/>
          <w:shd w:val="clear" w:color="auto" w:fill="FFFFFF"/>
          <w:lang w:val="en-US" w:eastAsia="zh-CN"/>
        </w:rPr>
        <w:t>80</w:t>
      </w:r>
      <w:r>
        <w:rPr>
          <w:rFonts w:hint="eastAsia" w:ascii="仿宋_GB2312" w:eastAsia="仿宋_GB2312"/>
          <w:spacing w:val="-6"/>
          <w:sz w:val="32"/>
          <w:szCs w:val="32"/>
          <w:u w:val="none" w:color="000000"/>
          <w:shd w:val="clear" w:color="auto" w:fill="FFFFFF"/>
          <w:lang w:eastAsia="zh-CN"/>
        </w:rPr>
        <w:t>%，截至</w:t>
      </w:r>
      <w:r>
        <w:rPr>
          <w:rFonts w:hint="eastAsia" w:ascii="仿宋_GB2312" w:eastAsia="仿宋_GB2312"/>
          <w:spacing w:val="-6"/>
          <w:sz w:val="32"/>
          <w:szCs w:val="32"/>
          <w:u w:val="none" w:color="000000"/>
          <w:shd w:val="clear" w:color="auto" w:fill="FFFFFF"/>
          <w:lang w:val="en-US" w:eastAsia="zh-CN"/>
        </w:rPr>
        <w:t>6月底规范管理率达90.38%</w:t>
      </w:r>
      <w:r>
        <w:rPr>
          <w:rFonts w:hint="eastAsia" w:ascii="仿宋_GB2312" w:eastAsia="仿宋_GB2312"/>
          <w:spacing w:val="-6"/>
          <w:sz w:val="32"/>
          <w:szCs w:val="32"/>
          <w:u w:val="none" w:color="000000"/>
          <w:shd w:val="clear" w:color="auto" w:fill="FFFFFF"/>
          <w:lang w:eastAsia="zh-CN"/>
        </w:rPr>
        <w:t>，</w:t>
      </w:r>
      <w:r>
        <w:rPr>
          <w:rFonts w:hint="eastAsia" w:ascii="仿宋_GB2312" w:eastAsia="仿宋_GB2312"/>
          <w:spacing w:val="-6"/>
          <w:sz w:val="32"/>
          <w:szCs w:val="32"/>
          <w:u w:val="none" w:color="000000"/>
          <w:shd w:val="clear" w:color="auto" w:fill="FFFFFF"/>
          <w:lang w:val="en-US" w:eastAsia="zh-CN"/>
        </w:rPr>
        <w:t>季度目标值已完成。</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lang w:eastAsia="zh-CN"/>
        </w:rPr>
        <w:t>肺结核患者管理率≧90%，</w:t>
      </w:r>
      <w:r>
        <w:rPr>
          <w:rFonts w:hint="eastAsia" w:ascii="仿宋_GB2312" w:eastAsia="仿宋_GB2312"/>
          <w:spacing w:val="-6"/>
          <w:sz w:val="32"/>
          <w:szCs w:val="32"/>
          <w:u w:val="none" w:color="000000"/>
          <w:shd w:val="clear" w:color="auto" w:fill="FFFFFF"/>
          <w:lang w:val="en-US" w:eastAsia="zh-CN"/>
        </w:rPr>
        <w:t>截至6月底肺结核患者管理率100%，已完成。</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9、</w:t>
      </w:r>
      <w:r>
        <w:rPr>
          <w:rFonts w:hint="eastAsia" w:ascii="仿宋_GB2312" w:eastAsia="仿宋_GB2312"/>
          <w:spacing w:val="-6"/>
          <w:sz w:val="32"/>
          <w:szCs w:val="32"/>
          <w:u w:val="none" w:color="000000"/>
          <w:shd w:val="clear" w:color="auto" w:fill="FFFFFF"/>
          <w:lang w:eastAsia="zh-CN"/>
        </w:rPr>
        <w:t>传染病和突发公共卫生事件报告率≧95%，</w:t>
      </w:r>
      <w:r>
        <w:rPr>
          <w:rFonts w:hint="eastAsia" w:ascii="仿宋_GB2312" w:eastAsia="仿宋_GB2312"/>
          <w:spacing w:val="-6"/>
          <w:sz w:val="32"/>
          <w:szCs w:val="32"/>
          <w:u w:val="none" w:color="000000"/>
          <w:shd w:val="clear" w:color="auto" w:fill="FFFFFF"/>
          <w:lang w:val="en-US" w:eastAsia="zh-CN"/>
        </w:rPr>
        <w:t>截至6月底</w:t>
      </w:r>
      <w:r>
        <w:rPr>
          <w:rFonts w:hint="eastAsia" w:ascii="仿宋_GB2312" w:eastAsia="仿宋_GB2312"/>
          <w:spacing w:val="-6"/>
          <w:sz w:val="32"/>
          <w:szCs w:val="32"/>
          <w:u w:val="none" w:color="000000"/>
          <w:shd w:val="clear" w:color="auto" w:fill="FFFFFF"/>
          <w:lang w:eastAsia="zh-CN"/>
        </w:rPr>
        <w:t>传染病和突发公共卫生事件网络报告例数</w:t>
      </w:r>
      <w:r>
        <w:rPr>
          <w:rFonts w:hint="eastAsia" w:ascii="仿宋_GB2312" w:eastAsia="仿宋_GB2312"/>
          <w:spacing w:val="-6"/>
          <w:sz w:val="32"/>
          <w:szCs w:val="32"/>
          <w:u w:val="none" w:color="000000"/>
          <w:shd w:val="clear" w:color="auto" w:fill="FFFFFF"/>
          <w:lang w:val="en-US" w:eastAsia="zh-CN"/>
        </w:rPr>
        <w:t>0例，</w:t>
      </w:r>
      <w:r>
        <w:rPr>
          <w:rFonts w:hint="eastAsia" w:ascii="仿宋_GB2312" w:eastAsia="仿宋_GB2312"/>
          <w:spacing w:val="-6"/>
          <w:sz w:val="32"/>
          <w:szCs w:val="32"/>
          <w:u w:val="none" w:color="000000"/>
          <w:shd w:val="clear" w:color="auto" w:fill="FFFFFF"/>
          <w:lang w:eastAsia="zh-CN"/>
        </w:rPr>
        <w:t>报告率</w:t>
      </w:r>
      <w:r>
        <w:rPr>
          <w:rFonts w:hint="eastAsia" w:ascii="仿宋_GB2312" w:eastAsia="仿宋_GB2312"/>
          <w:spacing w:val="-6"/>
          <w:sz w:val="32"/>
          <w:szCs w:val="32"/>
          <w:u w:val="none" w:color="000000"/>
          <w:shd w:val="clear" w:color="auto" w:fill="FFFFFF"/>
          <w:lang w:val="en-US" w:eastAsia="zh-CN"/>
        </w:rPr>
        <w:t>100%，传染病疫情报告及时率100%，已完成。</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10、卫生监督协管报告率</w:t>
      </w:r>
      <w:r>
        <w:rPr>
          <w:rFonts w:hint="eastAsia" w:ascii="仿宋_GB2312" w:eastAsia="仿宋_GB2312"/>
          <w:spacing w:val="-6"/>
          <w:sz w:val="32"/>
          <w:szCs w:val="32"/>
          <w:u w:val="none" w:color="000000"/>
          <w:shd w:val="clear" w:color="auto" w:fill="FFFFFF"/>
          <w:lang w:eastAsia="zh-CN"/>
        </w:rPr>
        <w:t>≧</w:t>
      </w:r>
      <w:r>
        <w:rPr>
          <w:rFonts w:hint="eastAsia" w:ascii="仿宋_GB2312" w:eastAsia="仿宋_GB2312"/>
          <w:spacing w:val="-6"/>
          <w:sz w:val="32"/>
          <w:szCs w:val="32"/>
          <w:u w:val="none" w:color="000000"/>
          <w:shd w:val="clear" w:color="auto" w:fill="FFFFFF"/>
          <w:lang w:val="en-US" w:eastAsia="zh-CN"/>
        </w:rPr>
        <w:t>100%，</w:t>
      </w:r>
      <w:r>
        <w:rPr>
          <w:rFonts w:hint="eastAsia" w:ascii="仿宋_GB2312" w:eastAsia="仿宋_GB2312"/>
          <w:spacing w:val="-6"/>
          <w:sz w:val="32"/>
          <w:szCs w:val="32"/>
          <w:u w:val="none" w:color="000000"/>
          <w:shd w:val="clear" w:color="auto" w:fill="FFFFFF"/>
        </w:rPr>
        <w:t>全县卫生监督协管工作报告</w:t>
      </w:r>
      <w:r>
        <w:rPr>
          <w:rFonts w:hint="eastAsia" w:ascii="仿宋_GB2312" w:eastAsia="仿宋_GB2312"/>
          <w:spacing w:val="-6"/>
          <w:sz w:val="32"/>
          <w:szCs w:val="32"/>
          <w:u w:val="none" w:color="000000"/>
          <w:shd w:val="clear" w:color="auto" w:fill="FFFFFF"/>
          <w:lang w:val="en-US" w:eastAsia="zh-CN"/>
        </w:rPr>
        <w:t>0</w:t>
      </w:r>
      <w:r>
        <w:rPr>
          <w:rFonts w:hint="eastAsia" w:ascii="仿宋_GB2312" w:eastAsia="仿宋_GB2312"/>
          <w:spacing w:val="-6"/>
          <w:sz w:val="32"/>
          <w:szCs w:val="32"/>
          <w:u w:val="none" w:color="000000"/>
          <w:shd w:val="clear" w:color="auto" w:fill="FFFFFF"/>
        </w:rPr>
        <w:t>次，报告及时率100%，协助开展饮用水卫生安全、</w:t>
      </w:r>
      <w:r>
        <w:rPr>
          <w:rFonts w:hint="eastAsia" w:ascii="仿宋_GB2312" w:eastAsia="仿宋_GB2312"/>
          <w:spacing w:val="-6"/>
          <w:sz w:val="32"/>
          <w:szCs w:val="32"/>
          <w:u w:val="none" w:color="000000"/>
          <w:shd w:val="clear" w:color="auto" w:fill="FFFFFF"/>
          <w:lang w:val="en-US" w:eastAsia="zh-CN"/>
        </w:rPr>
        <w:t>学校</w:t>
      </w:r>
      <w:r>
        <w:rPr>
          <w:rFonts w:hint="eastAsia" w:ascii="仿宋_GB2312" w:eastAsia="仿宋_GB2312"/>
          <w:spacing w:val="-6"/>
          <w:sz w:val="32"/>
          <w:szCs w:val="32"/>
          <w:u w:val="none" w:color="000000"/>
          <w:shd w:val="clear" w:color="auto" w:fill="FFFFFF"/>
        </w:rPr>
        <w:t>卫生、非法行医实地巡查</w:t>
      </w:r>
      <w:r>
        <w:rPr>
          <w:rFonts w:hint="eastAsia" w:ascii="仿宋_GB2312" w:eastAsia="仿宋_GB2312"/>
          <w:spacing w:val="-6"/>
          <w:sz w:val="32"/>
          <w:szCs w:val="32"/>
          <w:u w:val="none" w:color="000000"/>
          <w:shd w:val="clear" w:color="auto" w:fill="FFFFFF"/>
          <w:lang w:val="en-US" w:eastAsia="zh-CN"/>
        </w:rPr>
        <w:t>487</w:t>
      </w:r>
      <w:r>
        <w:rPr>
          <w:rFonts w:hint="eastAsia" w:ascii="仿宋_GB2312" w:eastAsia="仿宋_GB2312"/>
          <w:spacing w:val="-6"/>
          <w:sz w:val="32"/>
          <w:szCs w:val="32"/>
          <w:u w:val="none" w:color="000000"/>
          <w:shd w:val="clear" w:color="auto" w:fill="FFFFFF"/>
        </w:rPr>
        <w:t>次。</w:t>
      </w:r>
    </w:p>
    <w:p>
      <w:pPr>
        <w:shd w:val="clear"/>
        <w:spacing w:line="600" w:lineRule="exact"/>
        <w:ind w:firstLine="640" w:firstLineChars="200"/>
        <w:outlineLvl w:val="0"/>
        <w:rPr>
          <w:rFonts w:hint="default" w:ascii="Times New Roman" w:hAnsi="Times New Roman" w:cs="Times New Roman"/>
        </w:rPr>
      </w:pPr>
      <w:r>
        <w:rPr>
          <w:rFonts w:hint="eastAsia" w:ascii="仿宋_GB2312" w:hAnsi="仿宋_GB2312" w:eastAsia="仿宋_GB2312" w:cs="仿宋_GB2312"/>
          <w:sz w:val="32"/>
          <w:szCs w:val="32"/>
          <w:lang w:eastAsia="zh-CN"/>
        </w:rPr>
        <w:t>下半年工作完成情况：</w:t>
      </w:r>
      <w:r>
        <w:rPr>
          <w:rFonts w:hint="default" w:ascii="Times New Roman" w:hAnsi="Times New Roman" w:eastAsia="仿宋_GB2312" w:cs="Times New Roman"/>
          <w:sz w:val="32"/>
          <w:szCs w:val="32"/>
          <w:highlight w:val="none"/>
        </w:rPr>
        <w:t>指标1：适龄儿童国家免疫规划疫苗接种率，指标值：&gt;=90%，实际完成值：96%</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 xml:space="preserve">：7岁以下儿童健康管理率，指标值：&gt;=85%  ，实际完成值： 97.33% </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 xml:space="preserve">：孕产妇系统管理率，指标值：&gt;=90%，实际完成值：90.73% </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：高血压患者管理人数  ，指标值：=11541人 ，实际完成值：</w:t>
      </w:r>
      <w:r>
        <w:rPr>
          <w:rFonts w:hint="eastAsia" w:eastAsia="仿宋_GB2312" w:cs="Times New Roman"/>
          <w:sz w:val="32"/>
          <w:szCs w:val="32"/>
          <w:highlight w:val="none"/>
          <w:lang w:val="en-US" w:eastAsia="zh-CN"/>
        </w:rPr>
        <w:t>13816</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val="en-US" w:eastAsia="zh-CN"/>
        </w:rPr>
        <w:t>人</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：2型糖尿病患者管理人数 ，指标值：=2512人 ，实际完成值：</w:t>
      </w:r>
      <w:r>
        <w:rPr>
          <w:rFonts w:hint="eastAsia" w:eastAsia="仿宋_GB2312" w:cs="Times New Roman"/>
          <w:sz w:val="32"/>
          <w:szCs w:val="32"/>
          <w:highlight w:val="none"/>
          <w:lang w:val="en-US" w:eastAsia="zh-CN"/>
        </w:rPr>
        <w:t>3545人</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：肺结核患者管理率 ，指标值：&gt;=90% ，实际完成值：100%</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：社区在册居家严重精神障碍患者健康管理率，指标值：&gt;=80%，实际完成值：87.2%</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：儿童中医药健康管理率，指标值：&gt;=77% ，实际完成值：99.46%</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：老年人中医药健康管理率，指标值：&gt;=70%，实际完成值： 83.04%</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：卫生监督协管各专业年巡查（访）2次完成率，指标值： &gt;=90%，实际完成值：100%</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居民规范化电子健康档案覆盖率完成率</w:t>
      </w:r>
      <w:r>
        <w:rPr>
          <w:rFonts w:hint="default" w:ascii="Times New Roman" w:hAnsi="Times New Roman" w:eastAsia="仿宋_GB2312" w:cs="Times New Roman"/>
          <w:sz w:val="32"/>
          <w:szCs w:val="32"/>
          <w:highlight w:val="none"/>
        </w:rPr>
        <w:t xml:space="preserve">  ，指标值：&gt;=62%，实际完成值：88.2%</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 xml:space="preserve"> 高血压患者基层规范管理服务率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&gt;=62%</w:t>
      </w:r>
      <w:r>
        <w:rPr>
          <w:rFonts w:hint="default" w:ascii="Times New Roman" w:hAnsi="Times New Roman" w:eastAsia="仿宋_GB2312" w:cs="Times New Roman"/>
          <w:sz w:val="32"/>
          <w:szCs w:val="32"/>
          <w:highlight w:val="none"/>
        </w:rPr>
        <w:t>，实际完成值：78.67%</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 xml:space="preserve">2型糖尿病患者基层规范管理服务率 </w:t>
      </w:r>
      <w:r>
        <w:rPr>
          <w:rFonts w:hint="default" w:ascii="Times New Roman" w:hAnsi="Times New Roman" w:eastAsia="仿宋_GB2312" w:cs="Times New Roman"/>
          <w:sz w:val="32"/>
          <w:szCs w:val="32"/>
          <w:highlight w:val="none"/>
        </w:rPr>
        <w:t>，指标值：&gt;=62%，实际完成值：77.52%</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黑体" w:cs="Times New Roman"/>
          <w:b w:val="0"/>
          <w:bCs/>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14</w:t>
      </w:r>
      <w:r>
        <w:rPr>
          <w:rFonts w:hint="default" w:ascii="Times New Roman" w:hAnsi="Times New Roman" w:eastAsia="仿宋_GB2312" w:cs="Times New Roman"/>
          <w:sz w:val="32"/>
          <w:szCs w:val="32"/>
          <w:highlight w:val="none"/>
        </w:rPr>
        <w:t>：65岁及以上老年人城乡社区规范健康管理服务率，指标值： &gt;=67% ，实际完成值：77.55%</w:t>
      </w:r>
      <w:r>
        <w:rPr>
          <w:rFonts w:hint="eastAsia" w:ascii="Times New Roman" w:hAnsi="Times New Roman" w:eastAsia="仿宋_GB2312" w:cs="Times New Roman"/>
          <w:sz w:val="32"/>
          <w:szCs w:val="32"/>
          <w:highlight w:val="none"/>
          <w:lang w:eastAsia="zh-CN"/>
        </w:rPr>
        <w:t>。</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本项目预算绩效评价报告的评价对象是2024年基本公共卫生服务资金及其预算执行情况。该项目由</w:t>
      </w:r>
      <w:r>
        <w:rPr>
          <w:rFonts w:hint="eastAsia" w:ascii="Times New Roman" w:hAnsi="Times New Roman" w:eastAsia="仿宋_GB2312" w:cs="Times New Roman"/>
          <w:b w:val="0"/>
          <w:bCs w:val="0"/>
          <w:highlight w:val="none"/>
          <w:lang w:val="en-US" w:eastAsia="zh-CN"/>
        </w:rPr>
        <w:t>特克斯县卫生健康委员会</w:t>
      </w:r>
      <w:r>
        <w:rPr>
          <w:rFonts w:hint="default" w:ascii="Times New Roman" w:hAnsi="Times New Roman" w:eastAsia="仿宋_GB2312" w:cs="Times New Roman"/>
          <w:b w:val="0"/>
          <w:bCs w:val="0"/>
          <w:highlight w:val="none"/>
        </w:rPr>
        <w:t>负责实施，旨在基本公共卫生服务水平</w:t>
      </w:r>
      <w:r>
        <w:rPr>
          <w:rFonts w:hint="eastAsia" w:ascii="Times New Roman" w:hAnsi="Times New Roman" w:eastAsia="仿宋_GB2312" w:cs="Times New Roman"/>
          <w:b w:val="0"/>
          <w:bCs w:val="0"/>
          <w:highlight w:val="none"/>
          <w:lang w:val="en-US" w:eastAsia="zh-CN"/>
        </w:rPr>
        <w:t>不断提升</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2025年1月1日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2025年12月31日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958.7</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w:t>
      </w:r>
      <w:r>
        <w:rPr>
          <w:rFonts w:hint="eastAsia" w:ascii="Times New Roman" w:hAnsi="Times New Roman" w:eastAsia="仿宋_GB2312" w:cs="Times New Roman"/>
          <w:b w:val="0"/>
          <w:bCs w:val="0"/>
          <w:highlight w:val="none"/>
          <w:lang w:eastAsia="zh-CN"/>
        </w:rPr>
        <w:t>基本公卫资金项目对社会和生态效益有着深远的积极影响，是保障居民健康，促进社会和谐发展的重要举措，推动健康观念转变，增强社会稳定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（4）公开透明。绩效评价结果应依法依规公开，并自觉接受社会监督。</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（1）确定评价指标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（2）确定权重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确定各个指标相对于项目总体绩效的权重分值。在绩效评价指标体系中，项目决策权重为20分，项目过程权重为20分，项目产出权重为40分，项目效益权重为20分。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（3）确定指标标准值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绩效评价总分值100分，根据综合评分结果，90（含）-100分为优、80（含）-90分为良、60（含）-80分为中、60分以下为差。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具体评价指标体系详情见附件1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绩效评价方法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sz w:val="32"/>
          <w:szCs w:val="32"/>
          <w:highlight w:val="none"/>
        </w:rPr>
        <w:t>绩效评价从项目决策、项目过程、项目产出、项目效益四个维度进行评价。评价对象为项目目标实施情况，评价核心为资金的支出完成情况和项目的产出效益</w:t>
      </w:r>
      <w:r>
        <w:rPr>
          <w:rFonts w:hint="default" w:ascii="Times New Roman" w:hAnsi="Times New Roman" w:eastAsia="仿宋_GB2312" w:cs="Times New Roman"/>
          <w:color w:val="000000"/>
          <w:spacing w:val="17"/>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rPr>
        <w:t>）因素分析法。是指综合分析影响绩效目标实现、实施效果的内外部因素的方法。</w:t>
      </w:r>
      <w:r>
        <w:rPr>
          <w:rFonts w:hint="eastAsia" w:ascii="Times New Roman" w:hAnsi="Times New Roman" w:eastAsia="仿宋_GB2312" w:cs="Times New Roman"/>
          <w:sz w:val="32"/>
          <w:szCs w:val="32"/>
          <w:highlight w:val="none"/>
          <w:lang w:val="en-US" w:eastAsia="zh-CN"/>
        </w:rPr>
        <w:t>选择因素分析法因其全面性、灵活性以及能够提供定量依据的特点。</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2"/>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yellow"/>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2024年基本公共卫生服务资金</w:t>
      </w:r>
      <w:r>
        <w:rPr>
          <w:rFonts w:hint="default" w:ascii="Times New Roman" w:hAnsi="Times New Roman" w:eastAsia="仿宋_GB2312" w:cs="Times New Roman"/>
          <w:sz w:val="32"/>
          <w:szCs w:val="32"/>
          <w:highlight w:val="none"/>
        </w:rPr>
        <w:t>在高血压患者基层规范管理服务率等方面表现出色，达到了预期的标准与要求。同时，项目也在</w:t>
      </w:r>
      <w:r>
        <w:rPr>
          <w:rFonts w:hint="eastAsia" w:eastAsia="仿宋_GB2312" w:cs="Times New Roman"/>
          <w:color w:val="auto"/>
          <w:sz w:val="32"/>
          <w:szCs w:val="32"/>
          <w:highlight w:val="none"/>
          <w:lang w:val="en-US" w:eastAsia="zh-CN"/>
        </w:rPr>
        <w:t>基本公卫</w:t>
      </w:r>
      <w:r>
        <w:rPr>
          <w:rFonts w:hint="default" w:ascii="Times New Roman" w:hAnsi="Times New Roman" w:eastAsia="仿宋_GB2312" w:cs="Times New Roman"/>
          <w:sz w:val="32"/>
          <w:szCs w:val="32"/>
          <w:highlight w:val="none"/>
        </w:rPr>
        <w:t>取得了显著的成效，如基本公共卫生服务水平</w:t>
      </w:r>
      <w:r>
        <w:rPr>
          <w:rFonts w:hint="eastAsia" w:eastAsia="仿宋_GB2312" w:cs="Times New Roman"/>
          <w:sz w:val="32"/>
          <w:szCs w:val="32"/>
          <w:highlight w:val="none"/>
          <w:lang w:eastAsia="zh-CN"/>
        </w:rPr>
        <w:t>满意度达到</w:t>
      </w:r>
      <w:r>
        <w:rPr>
          <w:rFonts w:hint="eastAsia" w:eastAsia="仿宋_GB2312" w:cs="Times New Roman"/>
          <w:sz w:val="32"/>
          <w:szCs w:val="32"/>
          <w:highlight w:val="none"/>
          <w:lang w:val="en-US" w:eastAsia="zh-CN"/>
        </w:rPr>
        <w:t>96.67%</w:t>
      </w:r>
      <w:r>
        <w:rPr>
          <w:rFonts w:hint="default" w:ascii="Times New Roman" w:hAnsi="Times New Roman" w:eastAsia="仿宋_GB2312" w:cs="Times New Roman"/>
          <w:sz w:val="32"/>
          <w:szCs w:val="32"/>
          <w:highlight w:val="none"/>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特克斯县卫生健康委员会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效益等方面产生了积极的影响。具体而言，传染病和突发公共卫生事件报告率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城乡居民公共卫生差距等方面的提升，为项目的利益相关者带来了实实在在的利益。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default" w:ascii="Times New Roman" w:hAnsi="Times New Roman" w:eastAsia="仿宋_GB2312" w:cs="Times New Roman"/>
          <w:color w:val="auto"/>
          <w:sz w:val="32"/>
          <w:szCs w:val="32"/>
          <w:highlight w:val="none"/>
        </w:rPr>
        <w:t>2024年基本公共卫生服务资金</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总投资959.1万元，财政资金及时足额到位，到位率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预算资金支出958.70万元，预算执行率为99.96%</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4"/>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 xml:space="preserve">指标1：适龄儿童国家免疫规划疫苗接种率，指标值： &gt;=90%，实际完成值：96%，指标完成率 </w:t>
      </w:r>
      <w:r>
        <w:rPr>
          <w:rFonts w:hint="eastAsia" w:eastAsia="仿宋_GB2312" w:cs="Times New Roman"/>
          <w:sz w:val="32"/>
          <w:szCs w:val="32"/>
          <w:highlight w:val="none"/>
          <w:lang w:val="en-US" w:eastAsia="zh-CN"/>
        </w:rPr>
        <w:t>106.67</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，偏差原因：适龄儿童国家免疫规划疫苗接种率均达到或高于国家年度任务。</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 xml:space="preserve">：7岁以下儿童健康管理率，指标值：&gt;=85%  ，实际完成值： 97.33% ，指标完成率 </w:t>
      </w:r>
      <w:r>
        <w:rPr>
          <w:rFonts w:hint="eastAsia" w:eastAsia="仿宋_GB2312" w:cs="Times New Roman"/>
          <w:sz w:val="32"/>
          <w:szCs w:val="32"/>
          <w:highlight w:val="none"/>
          <w:lang w:val="en-US" w:eastAsia="zh-CN"/>
        </w:rPr>
        <w:t>114.51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，偏差原因：7岁以下儿童健康管理率均达到或高于国家年度任务。</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 xml:space="preserve">：孕产妇系统管理率，指标值：&gt;=90%，实际完成值：90.73% ，指标完成率 </w:t>
      </w:r>
      <w:r>
        <w:rPr>
          <w:rFonts w:hint="eastAsia" w:eastAsia="仿宋_GB2312" w:cs="Times New Roman"/>
          <w:sz w:val="32"/>
          <w:szCs w:val="32"/>
          <w:highlight w:val="none"/>
          <w:lang w:val="en-US" w:eastAsia="zh-CN"/>
        </w:rPr>
        <w:t>100.81</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偏差原因：</w:t>
      </w:r>
      <w:r>
        <w:rPr>
          <w:rFonts w:hint="default" w:ascii="Times New Roman" w:hAnsi="Times New Roman" w:eastAsia="仿宋_GB2312" w:cs="Times New Roman"/>
          <w:sz w:val="32"/>
          <w:szCs w:val="32"/>
          <w:highlight w:val="none"/>
        </w:rPr>
        <w:t>孕产妇系统管理率</w:t>
      </w:r>
      <w:r>
        <w:rPr>
          <w:rFonts w:hint="default" w:ascii="Times New Roman" w:hAnsi="Times New Roman" w:eastAsia="仿宋_GB2312" w:cs="Times New Roman"/>
          <w:sz w:val="32"/>
          <w:szCs w:val="32"/>
          <w:highlight w:val="none"/>
          <w:lang w:eastAsia="zh-CN"/>
        </w:rPr>
        <w:t>均达到或高于国家年度任务</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：高血压患者管理人数，指标值：=11541人 ，实际完成值：</w:t>
      </w:r>
      <w:r>
        <w:rPr>
          <w:rFonts w:hint="eastAsia" w:eastAsia="仿宋_GB2312" w:cs="Times New Roman"/>
          <w:sz w:val="32"/>
          <w:szCs w:val="32"/>
          <w:highlight w:val="none"/>
          <w:lang w:val="en-US" w:eastAsia="zh-CN"/>
        </w:rPr>
        <w:t>13816人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119.71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，偏差原因：健康教育覆盖城乡，个体化健康教育得到推广。重点人群健康管理持续强化。</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：2型糖尿病患者管理人数，指标值：=2512人，实际完成值：</w:t>
      </w:r>
      <w:r>
        <w:rPr>
          <w:rFonts w:hint="eastAsia" w:eastAsia="仿宋_GB2312" w:cs="Times New Roman"/>
          <w:sz w:val="32"/>
          <w:szCs w:val="32"/>
          <w:highlight w:val="none"/>
          <w:lang w:val="en-US" w:eastAsia="zh-CN"/>
        </w:rPr>
        <w:t>3545人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141.12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，偏差原因：2型糖尿病患者基层规范管理服务率均达到或高于国家年度任务。</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：肺结核患者管理率，指标值：&gt;=90%，实际完成值：100%，指标完成率</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。偏差原因：肺结核患者管理率均达到或高于国家年度任务</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：社区在册居家严重精神障碍患者健康管理率，指标值：&gt;=80%，实际完成值：87.2%，指标完成率</w:t>
      </w:r>
      <w:r>
        <w:rPr>
          <w:rFonts w:hint="eastAsia" w:eastAsia="仿宋_GB2312" w:cs="Times New Roman"/>
          <w:sz w:val="32"/>
          <w:szCs w:val="32"/>
          <w:highlight w:val="none"/>
          <w:lang w:val="en-US" w:eastAsia="zh-CN"/>
        </w:rPr>
        <w:t>109</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，偏差原因：社区在册居家严重精神障碍患者健康管理率均达到或高于国家年度任务。</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：儿童中医药健康管理率，指标值：&gt;=77% ，实际完成值：99.46%，指标完成率</w:t>
      </w:r>
      <w:r>
        <w:rPr>
          <w:rFonts w:hint="eastAsia" w:eastAsia="仿宋_GB2312" w:cs="Times New Roman"/>
          <w:sz w:val="32"/>
          <w:szCs w:val="32"/>
          <w:highlight w:val="none"/>
          <w:lang w:val="en-US" w:eastAsia="zh-CN"/>
        </w:rPr>
        <w:t>129.17</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，偏差原因：儿童中医药健康管理率均达到或高于国家年度任务。</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：老年人中医药健康管理率，指标值：&gt;=70%，实际完成值：83.04%，指标完成率</w:t>
      </w:r>
      <w:r>
        <w:rPr>
          <w:rFonts w:hint="eastAsia" w:eastAsia="仿宋_GB2312" w:cs="Times New Roman"/>
          <w:sz w:val="32"/>
          <w:szCs w:val="32"/>
          <w:highlight w:val="none"/>
          <w:lang w:val="en-US" w:eastAsia="zh-CN"/>
        </w:rPr>
        <w:t>118.63</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。偏差原因：老年人中医药健康管理率均达到或高于国家年度任务</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 xml:space="preserve">：卫生监督协管各专业年巡查（访）2次完成率，指标值：&gt;=90%，实际完成值：100%，指标完成率 </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，偏差原因：卫生监督协管各专业年巡查（访）2次均完成</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居民规范化电子健康档案覆盖率完成率</w:t>
      </w:r>
      <w:r>
        <w:rPr>
          <w:rFonts w:hint="default" w:ascii="Times New Roman" w:hAnsi="Times New Roman" w:eastAsia="仿宋_GB2312" w:cs="Times New Roman"/>
          <w:sz w:val="32"/>
          <w:szCs w:val="32"/>
          <w:highlight w:val="none"/>
        </w:rPr>
        <w:t xml:space="preserve">  ，指标值：&gt;=62%，实际完成值：88.2%，指标完成率</w:t>
      </w:r>
      <w:r>
        <w:rPr>
          <w:rFonts w:hint="eastAsia" w:eastAsia="仿宋_GB2312" w:cs="Times New Roman"/>
          <w:sz w:val="32"/>
          <w:szCs w:val="32"/>
          <w:highlight w:val="none"/>
          <w:lang w:val="en-US" w:eastAsia="zh-CN"/>
        </w:rPr>
        <w:t>142.26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，偏差原因：居民规范化电子健康档案覆盖率均达到或高于国家年度任务。</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高血压患者基层规范管理服务率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&gt;=62%</w:t>
      </w:r>
      <w:r>
        <w:rPr>
          <w:rFonts w:hint="default" w:ascii="Times New Roman" w:hAnsi="Times New Roman" w:eastAsia="仿宋_GB2312" w:cs="Times New Roman"/>
          <w:sz w:val="32"/>
          <w:szCs w:val="32"/>
          <w:highlight w:val="none"/>
        </w:rPr>
        <w:t>，实际完成值：78.67%，指标完成率</w:t>
      </w:r>
      <w:r>
        <w:rPr>
          <w:rFonts w:hint="eastAsia" w:eastAsia="仿宋_GB2312" w:cs="Times New Roman"/>
          <w:sz w:val="32"/>
          <w:szCs w:val="32"/>
          <w:highlight w:val="none"/>
          <w:lang w:val="en-US" w:eastAsia="zh-CN"/>
        </w:rPr>
        <w:t>126.89</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，偏差原因：高血压患者基层规范管理服务率均达到或高于国家年度任务。</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 xml:space="preserve">2型糖尿病患者基层规范管理服务率 </w:t>
      </w:r>
      <w:r>
        <w:rPr>
          <w:rFonts w:hint="default" w:ascii="Times New Roman" w:hAnsi="Times New Roman" w:eastAsia="仿宋_GB2312" w:cs="Times New Roman"/>
          <w:sz w:val="32"/>
          <w:szCs w:val="32"/>
          <w:highlight w:val="none"/>
        </w:rPr>
        <w:t>，指标值：&gt;=62%，实际完成值：77.52%，指标完成率</w:t>
      </w:r>
      <w:r>
        <w:rPr>
          <w:rFonts w:hint="eastAsia" w:eastAsia="仿宋_GB2312" w:cs="Times New Roman"/>
          <w:sz w:val="32"/>
          <w:szCs w:val="32"/>
          <w:highlight w:val="none"/>
          <w:lang w:val="en-US" w:eastAsia="zh-CN"/>
        </w:rPr>
        <w:t>125.03</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，偏差原因：2型糖尿病患者基层规范管理服务率均达到或高于国家年度任务。</w:t>
      </w:r>
    </w:p>
    <w:p>
      <w:pPr>
        <w:shd w:val="clear"/>
        <w:spacing w:line="600" w:lineRule="exact"/>
        <w:ind w:firstLine="640" w:firstLineChars="200"/>
        <w:outlineLvl w:val="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：65岁及以上老年人城乡社区规范健康管理服务率，指标值：&gt;=67% ，实际完成值：77.55%，指标完成率</w:t>
      </w:r>
      <w:r>
        <w:rPr>
          <w:rFonts w:hint="eastAsia" w:eastAsia="仿宋_GB2312" w:cs="Times New Roman"/>
          <w:sz w:val="32"/>
          <w:szCs w:val="32"/>
          <w:highlight w:val="none"/>
          <w:lang w:val="en-US" w:eastAsia="zh-CN"/>
        </w:rPr>
        <w:t>115.75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。偏差原因：65岁及以上老年人城乡社区规范健康管理服务率均达到或高于国家年度任务</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：资金支付及时率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，指标值：=100%，实际完成值：=100%，指标完成率 =100%</w:t>
      </w:r>
      <w:r>
        <w:rPr>
          <w:rFonts w:hint="default" w:ascii="Times New Roman" w:hAnsi="Times New Roman" w:eastAsia="仿宋_GB2312" w:cs="Times New Roman"/>
          <w:sz w:val="32"/>
          <w:szCs w:val="32"/>
          <w:highlight w:val="none"/>
          <w:lang w:eastAsia="zh-CN"/>
        </w:rPr>
        <w:t>。</w:t>
      </w:r>
    </w:p>
    <w:p>
      <w:pPr>
        <w:pStyle w:val="14"/>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6"/>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320" w:firstLineChars="100"/>
        <w:outlineLvl w:val="0"/>
        <w:rPr>
          <w:rFonts w:hint="default" w:ascii="Times New Roman" w:hAnsi="Times New Roman" w:eastAsia="仿宋_GB2312" w:cs="Times New Roman"/>
          <w:color w:val="FF0000"/>
          <w:sz w:val="32"/>
          <w:szCs w:val="32"/>
          <w:highlight w:val="yellow"/>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r>
        <w:rPr>
          <w:rFonts w:hint="eastAsia" w:eastAsia="仿宋_GB2312" w:cs="Times New Roman"/>
          <w:sz w:val="32"/>
          <w:szCs w:val="32"/>
          <w:highlight w:val="none"/>
          <w:lang w:val="en-US" w:eastAsia="zh-CN"/>
        </w:rPr>
        <w:t>传染病和突发公共卫生事件报告率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 xml:space="preserve"> &gt;=95%</w:t>
      </w:r>
      <w:r>
        <w:rPr>
          <w:rFonts w:hint="default" w:ascii="Times New Roman" w:hAnsi="Times New Roman" w:eastAsia="仿宋_GB2312" w:cs="Times New Roman"/>
          <w:sz w:val="32"/>
          <w:szCs w:val="32"/>
          <w:highlight w:val="none"/>
        </w:rPr>
        <w:t>，实际完成值：100%，指标完成率</w:t>
      </w:r>
      <w:r>
        <w:rPr>
          <w:rFonts w:hint="eastAsia"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传染病和突发公共卫生事件报告率均达到或高于国家年度任务</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②生态效益指标</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城乡居民公共卫生差距</w:t>
      </w:r>
      <w:r>
        <w:rPr>
          <w:rFonts w:hint="default" w:ascii="Times New Roman" w:hAnsi="Times New Roman" w:eastAsia="仿宋_GB2312" w:cs="Times New Roman"/>
          <w:sz w:val="32"/>
          <w:szCs w:val="32"/>
          <w:highlight w:val="none"/>
        </w:rPr>
        <w:t xml:space="preserve">，指标值：不断缩小，实际完成值：不断缩小，指标完成率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lang w:val="en-US" w:eastAsia="zh-CN"/>
        </w:rPr>
        <w:t>2.满意度</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b w:val="0"/>
          <w:bCs w:val="0"/>
          <w:color w:val="000000" w:themeColor="text1"/>
          <w:sz w:val="32"/>
          <w:szCs w:val="32"/>
          <w:highlight w:val="none"/>
          <w:lang w:val="en-US" w:eastAsia="zh-CN"/>
          <w14:textFill>
            <w14:solidFill>
              <w14:schemeClr w14:val="tx1"/>
            </w14:solidFill>
          </w14:textFill>
        </w:rPr>
        <w:t>基本公共卫生服务水平</w:t>
      </w:r>
      <w:r>
        <w:rPr>
          <w:rFonts w:hint="default" w:ascii="Times New Roman" w:hAnsi="Times New Roman" w:eastAsia="仿宋_GB2312" w:cs="Times New Roman"/>
          <w:sz w:val="32"/>
          <w:szCs w:val="32"/>
          <w:highlight w:val="none"/>
        </w:rPr>
        <w:t>，指标值：&gt;=95%，实际完成值：96.67%，指标完成率</w:t>
      </w:r>
      <w:r>
        <w:rPr>
          <w:rFonts w:hint="eastAsia" w:eastAsia="仿宋_GB2312" w:cs="Times New Roman"/>
          <w:sz w:val="32"/>
          <w:szCs w:val="32"/>
          <w:highlight w:val="none"/>
          <w:lang w:val="en-US" w:eastAsia="zh-CN"/>
        </w:rPr>
        <w:t>101.76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国家基本公共卫生服务项目，是促进基本公共卫生服务逐步均等化的重要内容，通过对儿童、孕产妇、老年人、慢性疾病患者为重点人群，面向全体居民免费提供的最基本的公共卫生服务，农牧民群众获得感、满意度进一步增强。</w:t>
      </w:r>
    </w:p>
    <w:p>
      <w:pPr>
        <w:shd w:val="clear"/>
        <w:spacing w:line="600" w:lineRule="exact"/>
        <w:outlineLvl w:val="0"/>
        <w:rPr>
          <w:rFonts w:hint="default" w:ascii="Times New Roman" w:hAnsi="Times New Roman" w:eastAsia="仿宋_GB2312" w:cs="Times New Roman"/>
          <w:sz w:val="32"/>
          <w:szCs w:val="32"/>
          <w:highlight w:val="none"/>
          <w:lang w:val="en-US" w:eastAsia="zh-CN"/>
        </w:rPr>
      </w:pP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0"/>
        <w:spacing w:line="560" w:lineRule="exact"/>
        <w:ind w:firstLine="640"/>
        <w:rPr>
          <w:rFonts w:hint="default" w:ascii="Times New Roman" w:hAnsi="Times New Roman" w:eastAsia="方正仿宋_GBK" w:cs="Times New Roman"/>
          <w:sz w:val="32"/>
          <w:szCs w:val="32"/>
          <w:highlight w:val="yellow"/>
        </w:rPr>
      </w:pPr>
      <w:r>
        <w:rPr>
          <w:rFonts w:hint="eastAsia" w:ascii="Times New Roman" w:hAnsi="Times New Roman" w:eastAsia="仿宋_GB2312" w:cs="Times New Roman"/>
          <w:kern w:val="2"/>
          <w:sz w:val="32"/>
          <w:szCs w:val="32"/>
          <w:lang w:val="en-US" w:eastAsia="zh-CN" w:bidi="ar-SA"/>
        </w:rPr>
        <w:t>基本公卫</w:t>
      </w:r>
      <w:r>
        <w:rPr>
          <w:rFonts w:hint="default" w:ascii="Times New Roman" w:hAnsi="Times New Roman" w:eastAsia="仿宋_GB2312" w:cs="Times New Roman"/>
          <w:kern w:val="2"/>
          <w:sz w:val="32"/>
          <w:szCs w:val="32"/>
          <w:lang w:val="en-US" w:eastAsia="zh-CN" w:bidi="ar-SA"/>
        </w:rPr>
        <w:t>项目年初预算799.1万元，全年预算959.1万元，实际支出958.7万元，预算执行率为99.96%，项目绩效指标总体完成率为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0.04</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：结余资金未使用完</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合理制定预算计划并严格按照预算执行</w:t>
      </w:r>
      <w:r>
        <w:rPr>
          <w:rFonts w:hint="default" w:ascii="Times New Roman" w:hAnsi="Times New Roman" w:eastAsia="仿宋_GB2312" w:cs="Times New Roman"/>
          <w:kern w:val="2"/>
          <w:sz w:val="32"/>
          <w:szCs w:val="32"/>
          <w:lang w:val="en-US" w:eastAsia="zh-CN" w:bidi="ar-SA"/>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2"/>
        <w:spacing w:after="0" w:line="560" w:lineRule="exact"/>
        <w:ind w:left="0" w:leftChars="0" w:firstLine="640"/>
        <w:rPr>
          <w:rFonts w:hint="eastAsia" w:ascii="Times New Roman" w:hAnsi="Times New Roman" w:eastAsia="仿宋_GB2312" w:cs="Times New Roman"/>
          <w:sz w:val="32"/>
          <w:szCs w:val="32"/>
          <w:lang w:eastAsia="zh-CN"/>
        </w:rPr>
      </w:pPr>
    </w:p>
    <w:p>
      <w:pPr>
        <w:pStyle w:val="2"/>
        <w:spacing w:after="0" w:line="560" w:lineRule="exact"/>
        <w:ind w:left="0" w:leftChars="0" w:firstLine="640"/>
        <w:rPr>
          <w:rFonts w:hint="eastAsia" w:ascii="Times New Roman" w:hAnsi="Times New Roman" w:eastAsia="仿宋_GB2312" w:cs="Times New Roman"/>
          <w:sz w:val="32"/>
          <w:szCs w:val="32"/>
          <w:lang w:eastAsia="zh-CN"/>
        </w:rPr>
      </w:pPr>
    </w:p>
    <w:p>
      <w:pPr>
        <w:pStyle w:val="2"/>
        <w:spacing w:after="0" w:line="560" w:lineRule="exact"/>
        <w:ind w:left="0" w:leftChars="0" w:firstLine="640"/>
        <w:rPr>
          <w:rFonts w:hint="eastAsia" w:ascii="Times New Roman" w:hAnsi="Times New Roman" w:eastAsia="仿宋_GB2312" w:cs="Times New Roman"/>
          <w:sz w:val="32"/>
          <w:szCs w:val="32"/>
          <w:lang w:eastAsia="zh-CN"/>
        </w:rPr>
      </w:pPr>
    </w:p>
    <w:p>
      <w:pPr>
        <w:pStyle w:val="2"/>
        <w:spacing w:after="0" w:line="560" w:lineRule="exact"/>
        <w:rPr>
          <w:rFonts w:hint="default" w:ascii="Times New Roman" w:hAnsi="Times New Roman" w:eastAsia="仿宋_GB2312" w:cs="Times New Roman"/>
          <w:sz w:val="32"/>
          <w:szCs w:val="32"/>
        </w:rPr>
      </w:pPr>
    </w:p>
    <w:p>
      <w:pPr>
        <w:pStyle w:val="2"/>
        <w:spacing w:after="0" w:line="560" w:lineRule="exact"/>
        <w:ind w:left="0" w:leftChars="0" w:firstLine="640"/>
        <w:rPr>
          <w:rFonts w:hint="default" w:ascii="Times New Roman" w:hAnsi="Times New Roman" w:eastAsia="仿宋_GB2312" w:cs="Times New Roman"/>
          <w:sz w:val="32"/>
          <w:szCs w:val="32"/>
        </w:rPr>
      </w:pP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kern w:val="0"/>
          <w:sz w:val="28"/>
          <w:szCs w:val="40"/>
          <w:highlight w:val="none"/>
          <w:lang w:val="en-US" w:eastAsia="zh-CN" w:bidi="ar-SA"/>
        </w:rPr>
        <w:t>2024年基本公共卫生服务资金</w:t>
      </w:r>
      <w:r>
        <w:rPr>
          <w:rFonts w:hint="default" w:ascii="仿宋_GB2312" w:hAnsi="仿宋_GB2312" w:eastAsia="仿宋_GB2312" w:cs="仿宋_GB2312"/>
          <w:b/>
          <w:bCs/>
          <w:kern w:val="0"/>
          <w:sz w:val="28"/>
          <w:szCs w:val="40"/>
          <w:highlight w:val="none"/>
          <w:lang w:val="en-US" w:eastAsia="zh-CN" w:bidi="ar-SA"/>
        </w:rPr>
        <w:t>项目</w:t>
      </w:r>
      <w:r>
        <w:rPr>
          <w:rFonts w:hint="eastAsia" w:ascii="仿宋_GB2312" w:hAnsi="仿宋_GB2312" w:eastAsia="仿宋_GB2312" w:cs="仿宋_GB2312"/>
          <w:b/>
          <w:bCs/>
          <w:kern w:val="0"/>
          <w:sz w:val="28"/>
          <w:szCs w:val="40"/>
          <w:highlight w:val="none"/>
          <w:lang w:val="en-US" w:eastAsia="zh-CN" w:bidi="ar-SA"/>
        </w:rPr>
        <w:t>项</w:t>
      </w:r>
      <w:r>
        <w:rPr>
          <w:rFonts w:hint="eastAsia" w:ascii="仿宋_GB2312" w:hAnsi="仿宋_GB2312" w:eastAsia="仿宋_GB2312" w:cs="仿宋_GB2312"/>
          <w:b/>
          <w:bCs/>
          <w:sz w:val="28"/>
          <w:szCs w:val="40"/>
          <w:highlight w:val="none"/>
        </w:rPr>
        <w:t>目绩效评价指标体系及综合</w:t>
      </w:r>
      <w:r>
        <w:rPr>
          <w:rFonts w:hint="eastAsia" w:ascii="仿宋_GB2312" w:hAnsi="仿宋_GB2312" w:eastAsia="仿宋_GB2312" w:cs="仿宋_GB2312"/>
          <w:b/>
          <w:bCs/>
          <w:sz w:val="28"/>
          <w:szCs w:val="40"/>
        </w:rPr>
        <w:t>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w:t>
            </w:r>
            <w:bookmarkStart w:id="3" w:name="_GoBack"/>
            <w:bookmarkEnd w:id="3"/>
            <w:r>
              <w:rPr>
                <w:rFonts w:hint="default" w:ascii="Times New Roman" w:hAnsi="Times New Roman" w:eastAsia="仿宋_GB2312" w:cs="Times New Roman"/>
                <w:color w:val="000000"/>
                <w:kern w:val="0"/>
                <w:sz w:val="18"/>
                <w:szCs w:val="18"/>
              </w:rPr>
              <w:t>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2024年基本公共卫生服务资金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特克斯卫生健康委员会</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特克斯卫生健康委员会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799.10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959.1</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958.70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99.96%</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799.1</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959.1</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监测了解全区饮用水卫生基本状况，掌握重点公共场所主要健康危害因素，评价健康风险，掌握新疆农村环境卫生健康危害因素水平及动态变化。立项依据：特卫健发【2023】25号特克斯县2023年度国家基本公共卫生服务项目实施方案</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免费向城乡居民提供基本公共卫生服务。全县内常住人口，均可免费享受国家基本公共卫生服务规范（第三版）所列的基本公共卫生服务。依据《国家基本公共卫生服务规范（第三版）》，继续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一是做好常态化疫情防控，优化预防接种服务。适龄儿童国家免疫规划疫苗接种率96%，进一步加强流动儿童的接种工作。二是推进电子健康档案应用，有序推进向居民开放。居民规范化电子健康档案覆盖率88.2%。三是深入推进慢病医防融合，提升基本公卫服务质量。落实完善基层慢性病医防融合新模式，加强儿童健康管理。7岁以下儿童健康管理率均保持在≥97.33%以上，高血压、2型糖尿病患者基层规范管理服务率78.67%、77.52%。四是强化绩效评价，发挥激励导向作用。利用信息化手段开展绩效评价，通过采取系统数据监测，服务质量与群众获得感相结合、定性与定量相结合、日常监测与年终评价相结合等方式开展绩效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适龄儿童国家免疫规划疫苗接种率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96%</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106.67%</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适龄儿童国家免疫规划疫苗接种率均达到或高于国家年度任务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7岁以下儿童健康管理率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&gt;=85%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97.33%</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114.51%</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7岁以下儿童健康管理率均达到或高于国家年度任务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孕产妇系统管理率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90.73%</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100.81%</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600" w:lineRule="exact"/>
              <w:ind w:firstLine="360" w:firstLineChars="200"/>
              <w:outlineLvl w:val="0"/>
              <w:rPr>
                <w:rFonts w:hint="eastAsia" w:ascii="Times New Roman" w:hAnsi="Times New Roman" w:eastAsia="仿宋_GB2312" w:cs="Times New Roman"/>
                <w:sz w:val="18"/>
                <w:szCs w:val="18"/>
                <w:highlight w:val="none"/>
                <w:lang w:val="en-US" w:eastAsia="zh-CN"/>
              </w:rPr>
            </w:pPr>
            <w:r>
              <w:rPr>
                <w:rFonts w:hint="default" w:ascii="Times New Roman" w:hAnsi="Times New Roman" w:eastAsia="仿宋_GB2312" w:cs="Times New Roman"/>
                <w:sz w:val="18"/>
                <w:szCs w:val="18"/>
                <w:highlight w:val="none"/>
              </w:rPr>
              <w:t>孕产妇系统管理率</w:t>
            </w:r>
            <w:r>
              <w:rPr>
                <w:rFonts w:hint="default" w:ascii="Times New Roman" w:hAnsi="Times New Roman" w:eastAsia="仿宋_GB2312" w:cs="Times New Roman"/>
                <w:sz w:val="18"/>
                <w:szCs w:val="18"/>
                <w:highlight w:val="none"/>
                <w:lang w:eastAsia="zh-CN"/>
              </w:rPr>
              <w:t>均达到或高于国家年度任务</w:t>
            </w:r>
            <w:r>
              <w:rPr>
                <w:rFonts w:hint="eastAsia" w:eastAsia="仿宋_GB2312" w:cs="Times New Roman"/>
                <w:sz w:val="18"/>
                <w:szCs w:val="18"/>
                <w:highlight w:val="none"/>
                <w:lang w:eastAsia="zh-CN"/>
              </w:rPr>
              <w:t>。</w:t>
            </w:r>
          </w:p>
          <w:p>
            <w:pPr>
              <w:jc w:val="center"/>
              <w:rPr>
                <w:rFonts w:hint="eastAsia" w:ascii="仿宋_GB2312" w:hAnsi="仿宋_GB2312" w:eastAsia="仿宋_GB2312" w:cs="仿宋_GB2312"/>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高血压患者管理人数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=11541人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160059人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13816人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119.71%</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健康教育覆盖城乡，个体化健康教育得到推广。重点人群健康管理持续强化。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2型糖尿病患者管理人数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=2512人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62175人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3545人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141.12%</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健康教育覆盖城乡，个体化健康教育得到推广。重点人群健康管理持续强化。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肺结核患者管理率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111.11%</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肺结核患者管理率均达到或高于国家年度任务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社区在册居家严重精神障碍患者健康管理率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&gt;=80%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87.2%</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109%</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社区在册居家严重精神障碍患者健康管理率均达到或高于国家年度任务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儿童中医药健康管理率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&gt;=77%</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99.46%</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129.17%</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儿童中医药健康管理率均达到或高于国家年度任务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老年人中医药健康管理率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&gt;=70%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83.04%</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118.63%</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老年人中医药健康管理率均达到或高于国家年度任务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卫生监督协管各专业年巡查（访）2次完成率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111.11%</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卫生监督协管各专业年巡查（访）2次均完成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1"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居民规范化电子健康档案覆盖率完成率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&gt;=62%</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88.2%</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142.26%</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居民规范化电子健康档案覆盖率均达到或高于国家年度任务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1"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高血压患者基层规范管理服务率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&gt;=62%</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78.67%</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126.89%</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高血压患者基层规范管理服务率均达到或高于国家年度任务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1"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2型糖尿病患者基层规范管理服务率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&gt;=62%</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77.52%</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125.03%</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2型糖尿病患者基层规范管理服务率均达到或高于国家年度任务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1"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65岁及以上老年人城乡社区规范健康管理服务率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&gt;=67%</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77.55%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115.75%</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65岁及以上老年人城乡社区规范健康管理服务率均达到或高于国家年度任务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资金支付及时率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传染病和突发公共卫生事件报告率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105.26%</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传染病和突发公共卫生事件报告率均达到或高于国家年度任务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城乡居民公共卫生差距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不断缩小</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不断缩小</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不断缩小</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基本公共卫生服务水平</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96.67%</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101.76%</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偏差原因：国家基本公共卫生服务项目，是促进基本公共卫生服务逐步均等化的重要内容，通过对儿童、孕产妇、老年人、慢性疾病患者为重点人群，面向全体居民免费提供的最基本的公共卫生服务，农牧民群众获得感、满意度进一步增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418C9C5"/>
    <w:multiLevelType w:val="singleLevel"/>
    <w:tmpl w:val="6418C9C5"/>
    <w:lvl w:ilvl="0" w:tentative="0">
      <w:start w:val="2"/>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abstractNum w:abstractNumId="6">
    <w:nsid w:val="7E5826EA"/>
    <w:multiLevelType w:val="singleLevel"/>
    <w:tmpl w:val="7E5826EA"/>
    <w:lvl w:ilvl="0" w:tentative="0">
      <w:start w:val="1"/>
      <w:numFmt w:val="decimal"/>
      <w:lvlText w:val="%1."/>
      <w:lvlJc w:val="left"/>
      <w:pPr>
        <w:tabs>
          <w:tab w:val="left" w:pos="312"/>
        </w:tabs>
      </w:pPr>
    </w:lvl>
  </w:abstractNum>
  <w:num w:numId="1">
    <w:abstractNumId w:val="4"/>
  </w:num>
  <w:num w:numId="2">
    <w:abstractNumId w:val="0"/>
  </w:num>
  <w:num w:numId="3">
    <w:abstractNumId w:val="3"/>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E335FF"/>
    <w:rsid w:val="00F26FF6"/>
    <w:rsid w:val="010409AF"/>
    <w:rsid w:val="013A280A"/>
    <w:rsid w:val="0150374F"/>
    <w:rsid w:val="01610122"/>
    <w:rsid w:val="0187403F"/>
    <w:rsid w:val="02510197"/>
    <w:rsid w:val="02EF0AC5"/>
    <w:rsid w:val="03EC461B"/>
    <w:rsid w:val="07397B77"/>
    <w:rsid w:val="07FC2953"/>
    <w:rsid w:val="0A7313CB"/>
    <w:rsid w:val="0AD007F3"/>
    <w:rsid w:val="0BDA2FAB"/>
    <w:rsid w:val="0C4979FC"/>
    <w:rsid w:val="0E3C619F"/>
    <w:rsid w:val="0ED84EBC"/>
    <w:rsid w:val="0FDC6702"/>
    <w:rsid w:val="0FDD5E19"/>
    <w:rsid w:val="100F38EC"/>
    <w:rsid w:val="105C6685"/>
    <w:rsid w:val="11170296"/>
    <w:rsid w:val="12C66037"/>
    <w:rsid w:val="12CD1ABC"/>
    <w:rsid w:val="13471461"/>
    <w:rsid w:val="13B90F01"/>
    <w:rsid w:val="14B453C6"/>
    <w:rsid w:val="153876C0"/>
    <w:rsid w:val="155E4C4D"/>
    <w:rsid w:val="181066D2"/>
    <w:rsid w:val="19F82B8C"/>
    <w:rsid w:val="1AEA2A58"/>
    <w:rsid w:val="1B981705"/>
    <w:rsid w:val="1C671E73"/>
    <w:rsid w:val="1CBF5022"/>
    <w:rsid w:val="1D322C47"/>
    <w:rsid w:val="1DC647C6"/>
    <w:rsid w:val="1F872141"/>
    <w:rsid w:val="2079326F"/>
    <w:rsid w:val="21417858"/>
    <w:rsid w:val="22E70074"/>
    <w:rsid w:val="23616034"/>
    <w:rsid w:val="23696C97"/>
    <w:rsid w:val="24480FA2"/>
    <w:rsid w:val="24A65CC9"/>
    <w:rsid w:val="25227A45"/>
    <w:rsid w:val="26AC3A6A"/>
    <w:rsid w:val="274230F2"/>
    <w:rsid w:val="27561C28"/>
    <w:rsid w:val="276E0FDC"/>
    <w:rsid w:val="28B20A44"/>
    <w:rsid w:val="28E80784"/>
    <w:rsid w:val="29622E26"/>
    <w:rsid w:val="2A157B78"/>
    <w:rsid w:val="2B9D7E25"/>
    <w:rsid w:val="2C7C7A3B"/>
    <w:rsid w:val="2D047A30"/>
    <w:rsid w:val="2F364819"/>
    <w:rsid w:val="2F6D0E4E"/>
    <w:rsid w:val="2FD63906"/>
    <w:rsid w:val="311E5F0C"/>
    <w:rsid w:val="317B30D3"/>
    <w:rsid w:val="33450FAA"/>
    <w:rsid w:val="354D4B24"/>
    <w:rsid w:val="363C1751"/>
    <w:rsid w:val="36BD137C"/>
    <w:rsid w:val="37215DAE"/>
    <w:rsid w:val="378E027E"/>
    <w:rsid w:val="38CA0A91"/>
    <w:rsid w:val="38CA40DD"/>
    <w:rsid w:val="391E0F46"/>
    <w:rsid w:val="393F0BCF"/>
    <w:rsid w:val="395F2B56"/>
    <w:rsid w:val="3BBA0580"/>
    <w:rsid w:val="3BECE841"/>
    <w:rsid w:val="3C190E40"/>
    <w:rsid w:val="3CDE204C"/>
    <w:rsid w:val="3D363C36"/>
    <w:rsid w:val="3E2713A2"/>
    <w:rsid w:val="3E9C3F6D"/>
    <w:rsid w:val="3FB82422"/>
    <w:rsid w:val="3FF06666"/>
    <w:rsid w:val="3FF7797D"/>
    <w:rsid w:val="41806EDA"/>
    <w:rsid w:val="41E00614"/>
    <w:rsid w:val="42291644"/>
    <w:rsid w:val="44CD035F"/>
    <w:rsid w:val="44F70A86"/>
    <w:rsid w:val="46690BD8"/>
    <w:rsid w:val="480E7019"/>
    <w:rsid w:val="48F01B9A"/>
    <w:rsid w:val="49F70BF1"/>
    <w:rsid w:val="4A436929"/>
    <w:rsid w:val="4A7A4BEA"/>
    <w:rsid w:val="4B4340EE"/>
    <w:rsid w:val="4C107D48"/>
    <w:rsid w:val="4C4157E5"/>
    <w:rsid w:val="4C5A027C"/>
    <w:rsid w:val="503D507A"/>
    <w:rsid w:val="51FA74D0"/>
    <w:rsid w:val="52AA4A52"/>
    <w:rsid w:val="53927439"/>
    <w:rsid w:val="548C39A3"/>
    <w:rsid w:val="56D61851"/>
    <w:rsid w:val="582F6B90"/>
    <w:rsid w:val="59943D66"/>
    <w:rsid w:val="59AD10F9"/>
    <w:rsid w:val="59E051FD"/>
    <w:rsid w:val="59E6355E"/>
    <w:rsid w:val="59EF05E3"/>
    <w:rsid w:val="5B821531"/>
    <w:rsid w:val="5BE50F40"/>
    <w:rsid w:val="5BFF6039"/>
    <w:rsid w:val="5C0F1DCA"/>
    <w:rsid w:val="5D76A616"/>
    <w:rsid w:val="5D7F20B9"/>
    <w:rsid w:val="5DAC7D0E"/>
    <w:rsid w:val="5E74216D"/>
    <w:rsid w:val="5F8E5E09"/>
    <w:rsid w:val="5F98B5AF"/>
    <w:rsid w:val="5FFE8511"/>
    <w:rsid w:val="5FFEACE2"/>
    <w:rsid w:val="60413203"/>
    <w:rsid w:val="609738F3"/>
    <w:rsid w:val="609D5BF6"/>
    <w:rsid w:val="61073070"/>
    <w:rsid w:val="61B9080E"/>
    <w:rsid w:val="61DF3FED"/>
    <w:rsid w:val="63BD7C36"/>
    <w:rsid w:val="642B176B"/>
    <w:rsid w:val="643EE26D"/>
    <w:rsid w:val="656019A0"/>
    <w:rsid w:val="65F242EE"/>
    <w:rsid w:val="666D7E19"/>
    <w:rsid w:val="678A5829"/>
    <w:rsid w:val="68376930"/>
    <w:rsid w:val="68F91E38"/>
    <w:rsid w:val="69907EC9"/>
    <w:rsid w:val="6B3158B9"/>
    <w:rsid w:val="6BA02A3F"/>
    <w:rsid w:val="6BA323BA"/>
    <w:rsid w:val="6C1E5A53"/>
    <w:rsid w:val="6F5C41AC"/>
    <w:rsid w:val="6FAF6C78"/>
    <w:rsid w:val="706F162A"/>
    <w:rsid w:val="716167CC"/>
    <w:rsid w:val="718A7AD1"/>
    <w:rsid w:val="72A44BC2"/>
    <w:rsid w:val="7317C656"/>
    <w:rsid w:val="734B0ABC"/>
    <w:rsid w:val="734ED73F"/>
    <w:rsid w:val="73C82B32"/>
    <w:rsid w:val="73F94DAE"/>
    <w:rsid w:val="74220495"/>
    <w:rsid w:val="743511EA"/>
    <w:rsid w:val="745C526A"/>
    <w:rsid w:val="74717A57"/>
    <w:rsid w:val="747D1B6F"/>
    <w:rsid w:val="749E5641"/>
    <w:rsid w:val="75073EC6"/>
    <w:rsid w:val="76271066"/>
    <w:rsid w:val="76BE5AB5"/>
    <w:rsid w:val="77FD8BE9"/>
    <w:rsid w:val="78000AED"/>
    <w:rsid w:val="79A9BD3F"/>
    <w:rsid w:val="7A2C6C49"/>
    <w:rsid w:val="7B776F12"/>
    <w:rsid w:val="7BFFFDD0"/>
    <w:rsid w:val="7C336E5F"/>
    <w:rsid w:val="7C8D4919"/>
    <w:rsid w:val="7D7A5F86"/>
    <w:rsid w:val="7DAC0324"/>
    <w:rsid w:val="7DFE68B0"/>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38</Pages>
  <Words>7313</Words>
  <Characters>7821</Characters>
  <Lines>58</Lines>
  <Paragraphs>16</Paragraphs>
  <TotalTime>19</TotalTime>
  <ScaleCrop>false</ScaleCrop>
  <LinksUpToDate>false</LinksUpToDate>
  <CharactersWithSpaces>7892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2025-07-21T09:45:33Z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eyJoZGlkIjoiOGY4ZjllZTc5NjFlZmUyNTcxNjBmMzdkOGZkNDIyZDciLCJ1c2VySWQiOiIxMTQzMDA1NzQ2In0=</vt:lpwstr>
  </property>
</Properties>
</file>