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特克斯县供销合作社联合社2024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1.贯彻落实党和政府有关农村经济和社会发展的方针、政策和法规;研究制定全县供销社和农村合作经济组织的发展战略和发展规划。</w:t>
      </w:r>
    </w:p>
    <w:p>
      <w:pPr>
        <w:spacing w:line="580" w:lineRule="exact"/>
        <w:ind w:firstLine="640"/>
        <w:jc w:val="both"/>
      </w:pPr>
      <w:r>
        <w:rPr>
          <w:rFonts w:ascii="仿宋_GB2312" w:hAnsi="仿宋_GB2312" w:eastAsia="仿宋_GB2312"/>
          <w:sz w:val="32"/>
        </w:rPr>
        <w:t>2.负责有关农村流通体制改革，发展和完善有关农村农业生产资料和消费品市场体系建设，指导推进有关农村流通现代化及连锁经营、物流配送.电子商务等现代流通方式，改造传统经营网络。</w:t>
      </w:r>
    </w:p>
    <w:p>
      <w:pPr>
        <w:spacing w:line="580" w:lineRule="exact"/>
        <w:ind w:firstLine="640"/>
        <w:jc w:val="both"/>
      </w:pPr>
      <w:r>
        <w:rPr>
          <w:rFonts w:ascii="仿宋_GB2312" w:hAnsi="仿宋_GB2312" w:eastAsia="仿宋_GB2312"/>
          <w:sz w:val="32"/>
        </w:rPr>
        <w:t>3.按照县人民政府授权，负责对重要农业生产资料、农副产品、农药、边销茶、食用盐、工业用盐，烟花爆竹和再生资源的组织、协调和经营管理工作。</w:t>
      </w:r>
    </w:p>
    <w:p>
      <w:pPr>
        <w:spacing w:line="580" w:lineRule="exact"/>
        <w:ind w:firstLine="640"/>
        <w:jc w:val="both"/>
      </w:pPr>
      <w:r>
        <w:rPr>
          <w:rFonts w:ascii="仿宋_GB2312" w:hAnsi="仿宋_GB2312" w:eastAsia="仿宋_GB2312"/>
          <w:sz w:val="32"/>
        </w:rPr>
        <w:t>4.贯彻落实《农民专业合作社法》，维护各级供销社、社办企业、农村合作经济组织和全体社员的合法权益。</w:t>
      </w:r>
    </w:p>
    <w:p>
      <w:pPr>
        <w:spacing w:line="580" w:lineRule="exact"/>
        <w:ind w:firstLine="640"/>
        <w:jc w:val="both"/>
      </w:pPr>
      <w:r>
        <w:rPr>
          <w:rFonts w:ascii="仿宋_GB2312" w:hAnsi="仿宋_GB2312" w:eastAsia="仿宋_GB2312"/>
          <w:sz w:val="32"/>
        </w:rPr>
        <w:t>5.行使县供销社社有资产出资人代表职能，监督社有资产保值增值，对社属控参股企业进行监管。</w:t>
      </w:r>
    </w:p>
    <w:p>
      <w:pPr>
        <w:spacing w:line="580" w:lineRule="exact"/>
        <w:ind w:firstLine="640"/>
        <w:jc w:val="both"/>
      </w:pPr>
      <w:r>
        <w:rPr>
          <w:rFonts w:ascii="仿宋_GB2312" w:hAnsi="仿宋_GB2312" w:eastAsia="仿宋_GB2312"/>
          <w:sz w:val="32"/>
        </w:rPr>
        <w:t>6.按照干部管理权限，负贵县供销社机关及社属控参股企业的干部人事管理工作;负责全县供销社系统干部和职工的教育与培训工作;指导有关行业协会、学会的工作。</w:t>
      </w:r>
    </w:p>
    <w:p>
      <w:pPr>
        <w:spacing w:line="580" w:lineRule="exact"/>
        <w:ind w:firstLine="640"/>
        <w:jc w:val="both"/>
      </w:pPr>
      <w:r>
        <w:rPr>
          <w:rFonts w:ascii="仿宋_GB2312" w:hAnsi="仿宋_GB2312" w:eastAsia="仿宋_GB2312"/>
          <w:sz w:val="32"/>
        </w:rPr>
        <w:t>7.负责县供销社机关及县盐务局，直属企业党的建设、党风廉政建设工作。</w:t>
      </w:r>
    </w:p>
    <w:p>
      <w:pPr>
        <w:spacing w:line="580" w:lineRule="exact"/>
        <w:ind w:firstLine="640"/>
        <w:jc w:val="both"/>
      </w:pPr>
      <w:r>
        <w:rPr>
          <w:rFonts w:ascii="仿宋_GB2312" w:hAnsi="仿宋_GB2312" w:eastAsia="仿宋_GB2312"/>
          <w:sz w:val="32"/>
        </w:rPr>
        <w:t>8.承办县委、县人民政府和自治州供销合作社交办的其它事项。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特克斯县供销合作社联合社2024年度，实有人数14人，其中：在职人员8人，增加0人；离休人员0人，增加0人；退休人员6人,增加1人。</w:t>
      </w:r>
    </w:p>
    <w:p>
      <w:pPr>
        <w:spacing w:line="580" w:lineRule="exact"/>
        <w:ind w:firstLine="640"/>
        <w:jc w:val="both"/>
      </w:pPr>
      <w:r>
        <w:rPr>
          <w:rFonts w:ascii="仿宋_GB2312" w:hAnsi="仿宋_GB2312" w:eastAsia="仿宋_GB2312"/>
          <w:sz w:val="32"/>
        </w:rPr>
        <w:t>单位无下属预算单位，下设2个科室，分别是：综合办公室、业务办公室。。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2024年度收入总计144.20万元，</w:t>
      </w:r>
      <w:r>
        <w:rPr>
          <w:rFonts w:ascii="仿宋_GB2312" w:hAnsi="仿宋_GB2312" w:eastAsia="仿宋_GB2312"/>
          <w:b w:val="0"/>
          <w:sz w:val="32"/>
        </w:rPr>
        <w:t>其中：本年收入合计144.20万元，使用非财政拨款结余（含专用结余）0.00万元，年初结转和结余0.00万元。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2024年度支出总计144.20万元，</w:t>
      </w:r>
      <w:r>
        <w:rPr>
          <w:rFonts w:ascii="仿宋_GB2312" w:hAnsi="仿宋_GB2312" w:eastAsia="仿宋_GB2312"/>
          <w:b w:val="0"/>
          <w:sz w:val="32"/>
        </w:rPr>
        <w:t>其中：本年支出合计144.20万元，结余分配0.00万元，年末结转和结余0.00万元。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减少10.76万元，下降6.94%，主要原因是：本年在职人员转退休一人，调入一人，工资基数差异，相关人员经费较上年减少。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本年收入144.20万元，</w:t>
      </w:r>
      <w:r>
        <w:rPr>
          <w:rFonts w:ascii="仿宋_GB2312" w:hAnsi="仿宋_GB2312" w:eastAsia="仿宋_GB2312"/>
          <w:b w:val="0"/>
          <w:sz w:val="32"/>
        </w:rPr>
        <w:t>其中：财政拨款收入144.20万元，占100.00%；上级补助收入0.00万元，占0.00%；事业收入0.00万元，占0.00%；经营收入0.00万元，占0.00%；附属单位上缴收入0.00万元，占0.00%；其他收入0.00万元，占0.00%。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本年支出144.20万元，</w:t>
      </w:r>
      <w:r>
        <w:rPr>
          <w:rFonts w:ascii="仿宋_GB2312" w:hAnsi="仿宋_GB2312" w:eastAsia="仿宋_GB2312"/>
          <w:b w:val="0"/>
          <w:sz w:val="32"/>
        </w:rPr>
        <w:t>其中：基本支出144.20万元，占100.00%；项目支出0.00万元，占0.00%；上缴上级支出0.00万元，占0.00%；经营支出0.00万元，占0.00%；对附属单位补助支出0.00万元，占0.00%。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2024年度财政拨款收入总计144.20万元，</w:t>
      </w:r>
      <w:r>
        <w:rPr>
          <w:rFonts w:ascii="仿宋_GB2312" w:hAnsi="仿宋_GB2312" w:eastAsia="仿宋_GB2312"/>
          <w:b w:val="0"/>
          <w:sz w:val="32"/>
        </w:rPr>
        <w:t>其中：年初财政拨款结转和结余0.00万元，本年财政拨款收入144.20万元。</w:t>
      </w:r>
      <w:r>
        <w:rPr>
          <w:rFonts w:ascii="仿宋_GB2312" w:hAnsi="仿宋_GB2312" w:eastAsia="仿宋_GB2312"/>
          <w:b/>
          <w:sz w:val="32"/>
        </w:rPr>
        <w:t>财政拨款支出总计144.20万元，</w:t>
      </w:r>
      <w:r>
        <w:rPr>
          <w:rFonts w:ascii="仿宋_GB2312" w:hAnsi="仿宋_GB2312" w:eastAsia="仿宋_GB2312"/>
          <w:b w:val="0"/>
          <w:sz w:val="32"/>
        </w:rPr>
        <w:t>其中：年末财政拨款结转和结余0.00万元，本年财政拨款支出144.20万元。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减少10.76万元，下降6.94%，主要原因是：本年在职人员转退休一人，调入一人，工资基数差异，相关人员经费较上年减少。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年初预算数161.96万元，决算数144.20万元，预决算差异率-10.97%，主要原因是：本年在职人员转退休一人，调入一人，工资基数差异，年中调减相关人员经费。</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2024年度一般公共预算财政拨款支出144.20万元，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减少10.76万元，下降6.94%，主要原因是：本年在职人员转退休一人，调入一人，工资基数差异，相关人员经费较上年减少。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年初预算数161.96万元，决算数144.20万元，预决算差异率-10.97%，主要原因是：本年在职人员转退休一人，调入一人，工资基数差异，年中调减相关人员经费。</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1.社会保障和就业支出(类)21.07万元,占14.61%。</w:t>
      </w:r>
    </w:p>
    <w:p>
      <w:pPr>
        <w:spacing w:line="580" w:lineRule="exact"/>
        <w:ind w:firstLine="640"/>
        <w:jc w:val="both"/>
      </w:pPr>
      <w:r>
        <w:rPr>
          <w:rFonts w:ascii="仿宋_GB2312" w:hAnsi="仿宋_GB2312" w:eastAsia="仿宋_GB2312"/>
          <w:b w:val="0"/>
          <w:sz w:val="32"/>
        </w:rPr>
        <w:t>2.卫生健康支出(类)5.75万元,占3.99%。</w:t>
      </w:r>
    </w:p>
    <w:p>
      <w:pPr>
        <w:spacing w:line="580" w:lineRule="exact"/>
        <w:ind w:firstLine="640"/>
        <w:jc w:val="both"/>
      </w:pPr>
      <w:r>
        <w:rPr>
          <w:rFonts w:ascii="仿宋_GB2312" w:hAnsi="仿宋_GB2312" w:eastAsia="仿宋_GB2312"/>
          <w:b w:val="0"/>
          <w:sz w:val="32"/>
        </w:rPr>
        <w:t>3.商业服务业等支出(类)106.72万元,占74.01%。</w:t>
      </w:r>
    </w:p>
    <w:p>
      <w:pPr>
        <w:spacing w:line="580" w:lineRule="exact"/>
        <w:ind w:firstLine="640"/>
        <w:jc w:val="both"/>
      </w:pPr>
      <w:r>
        <w:rPr>
          <w:rFonts w:ascii="仿宋_GB2312" w:hAnsi="仿宋_GB2312" w:eastAsia="仿宋_GB2312"/>
          <w:b w:val="0"/>
          <w:sz w:val="32"/>
        </w:rPr>
        <w:t>4.住房保障支出(类)10.67万元,占7.40%。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14.01万元，比上年决算减少0.39万元，下降2.71%,主要原因是：本年在职人员转退休一人，调入一人，工资基数差异，机关事业单位基本养老保险缴费经费较上年减少。</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2.社会保障和就业支出(类)行政事业单位养老支出(款)机关事业单位职业年金缴费支出(项):支出决算数为6.48万元，比上年决算增加6.48万元，增长100.00%,主要原因是：本年度新增退休1人，职业年金增加。</w:t>
      </w:r>
    </w:p>
    <w:p>
      <w:pPr>
        <w:spacing w:line="580" w:lineRule="exact"/>
        <w:ind w:firstLine="640"/>
        <w:jc w:val="both"/>
      </w:pPr>
      <w:r>
        <w:rPr>
          <w:rFonts w:ascii="仿宋_GB2312" w:hAnsi="仿宋_GB2312" w:eastAsia="仿宋_GB2312"/>
          <w:b w:val="0"/>
          <w:sz w:val="32"/>
        </w:rPr>
        <w:t>3.社会保障和就业支出(类)抚恤(款)死亡抚恤(项):支出决算数为0.58万元，比上年决算增加0.00万元，增长0.00%,主要原因是：遗属补助支出较上年无变化。</w:t>
      </w:r>
    </w:p>
    <w:p>
      <w:pPr>
        <w:spacing w:line="580" w:lineRule="exact"/>
        <w:ind w:firstLine="640"/>
        <w:jc w:val="both"/>
      </w:pPr>
      <w:r>
        <w:rPr>
          <w:rFonts w:ascii="仿宋_GB2312" w:hAnsi="仿宋_GB2312" w:eastAsia="仿宋_GB2312"/>
          <w:b w:val="0"/>
          <w:sz w:val="32"/>
        </w:rPr>
        <w:t>4.卫生健康支出(类)行政事业单位医疗(款)事业单位医疗(项):支出决算数为5.66万元，比上年决算减少5.44万元，下降49.01%,主要原因是：本年在职人员转退休一人，调入一人，工资基数差异，医疗保险缴费经费较上年减少。</w:t>
      </w:r>
    </w:p>
    <w:p>
      <w:pPr>
        <w:spacing w:line="580" w:lineRule="exact"/>
        <w:ind w:firstLine="640"/>
        <w:jc w:val="both"/>
      </w:pPr>
      <w:r>
        <w:rPr>
          <w:rFonts w:ascii="仿宋_GB2312" w:hAnsi="仿宋_GB2312" w:eastAsia="仿宋_GB2312"/>
          <w:b w:val="0"/>
          <w:sz w:val="32"/>
        </w:rPr>
        <w:t>5.卫生健康支出(类)行政事业单位医疗(款)其他行政事业单位医疗支出(项):支出决算数为0.09万元，比上年决算减少0.10万元，下降52.63%,主要原因是：本年在职人员转退休一人，调入一人，工资基数差异，其他行政事业单位医疗保险缴费经费较上年减少。</w:t>
      </w:r>
    </w:p>
    <w:p>
      <w:pPr>
        <w:spacing w:line="580" w:lineRule="exact"/>
        <w:ind w:firstLine="640"/>
        <w:jc w:val="both"/>
      </w:pPr>
      <w:r>
        <w:rPr>
          <w:rFonts w:ascii="仿宋_GB2312" w:hAnsi="仿宋_GB2312" w:eastAsia="仿宋_GB2312"/>
          <w:b w:val="0"/>
          <w:sz w:val="32"/>
        </w:rPr>
        <w:t>6.商业服务业等支出(类)商业流通事务(款)事业运行(项):支出决算数为106.72万元，比上年决算减少10.57万元，下降9.01%,主要原因是：本年在职人员转退休一人，调入一人，工资基数差异，相应人员经费较上年减少。</w:t>
      </w:r>
    </w:p>
    <w:p>
      <w:pPr>
        <w:spacing w:line="580" w:lineRule="exact"/>
        <w:ind w:firstLine="640"/>
        <w:jc w:val="both"/>
      </w:pPr>
      <w:r>
        <w:rPr>
          <w:rFonts w:ascii="仿宋_GB2312" w:hAnsi="仿宋_GB2312" w:eastAsia="仿宋_GB2312"/>
          <w:b w:val="0"/>
          <w:sz w:val="32"/>
        </w:rPr>
        <w:t>7.住房保障支出(类)住房改革支出(款)住房公积金(项):支出决算数为10.67万元，比上年决算减少0.73万元，下降6.40%,主要原因是：本年在职人员转退休一人，调入一人，工资基数差异，相应住房公积金较上年减少。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2024年度一般公共预算财政拨款基本支出144.20万元，其中：</w:t>
      </w:r>
      <w:r>
        <w:rPr>
          <w:rFonts w:ascii="仿宋_GB2312" w:hAnsi="仿宋_GB2312" w:eastAsia="仿宋_GB2312"/>
          <w:b/>
          <w:sz w:val="32"/>
        </w:rPr>
        <w:t>人员经费142.38万元，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公用经费1.82万元，</w:t>
      </w:r>
      <w:r>
        <w:rPr>
          <w:rFonts w:ascii="仿宋_GB2312" w:hAnsi="仿宋_GB2312" w:eastAsia="仿宋_GB2312"/>
          <w:b w:val="0"/>
          <w:sz w:val="32"/>
        </w:rPr>
        <w:t>包括：办公费、邮电费、差旅费、工会经费。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比上年减少0.25万元，下降100.00%，主要原因是：本单位公务用车待报废，本年无公务用车运行维护费。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公务用车购置及运行维护费支出0.00万元，占0.00%，比上年减少0.25万元，下降100.00%，主要原因是：本单位公务用车待报废，本年无公务用车运行维护费。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无公务用车运行维护费。公务用车购置数0辆，公务用车保有量0辆。国有资产占用情况中固定资产车辆1辆，与公务用车保有量差异原因是：本单位公务用车待报废，本年无公务用车运行维护费。</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2024年度特克斯县供销合作社联合社（事业单位）公用经费支出1.82万元，比上年增加0.14万元，增长8.33%，主要原因是：本年更新、维护补充办公用品，导致公用经费较上年增加。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辆，价值9.34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144.20万元，实际执行总额144.20万元；预算绩效评价项目0个，全年预算数0.00万元，全年执行数0.00万元。预算绩效管理取得的成效：本单位无绩效自评项目。发现的问题及原因：本单位无绩效自评项目。下一步改进措施：本单位无绩效自评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特克斯县供销合作社联合社</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159.96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159.96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144.20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144.20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159.96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159.96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144.20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144.20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深化供销社综合改革，利用好援疆资金和项目资金加快推进基层供销社恢复重建工作。2、积极开展农业社会化服务，发挥供销社“姓农、为农”的本质。3、继续抓好农村电商工作，扩大农村电子商务应用领域、提高应用能力、改善发展环境，在方便农民生产生活、促进农村就业和农民增收、推进乡村振兴等方面取得新成效。4、以项目为抓手，加快对基层社进行升级改造。</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2024年在县委、县人民政府的坚强领导和在州供销社的业务指导下，通过自身努力，改造农资配送中心1个 、新建农资经营网点 1 个、再生资源经营网点1个、农产品经营网点1个，改造2个、日用品消费经营网点（供销超市）1个、农资调运 8000 吨，完成品牌建设1（八卦城黑小麦），打造高质量示范社1个，新建乡村 振兴金融服务网点4个，基层社新建1个，改造提升1个，农村综合服务社改造提升2个，农业社会化服务3.2万亩。</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基层供销社恢复重建工作</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特克斯县供销社2023年工作总结和2024年工作思路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新建乡镇为民综合服务社</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特克斯县供销社2023年工作总结和2024年工作思路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提升农民专业合作社</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特克斯县供销社2023年工作总结和2024年工作思路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加快对基层社进行升级改造</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特克斯县供销社2023年工作总结和2024年工作思路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黑小麦种植面积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3.2万亩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特克斯县供销社2023年工作总结和2024年工作思路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3.2万亩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本单位2024年度无政府采购支出，授予中小企业合同金额0.00万元。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