
<file path=[Content_Types].xml><?xml version="1.0" encoding="utf-8"?>
<Types xmlns="http://schemas.openxmlformats.org/package/2006/content-types">
  <Default Extension="rels" ContentType="application/vnd.openxmlformats-package.relationships+xml"/>
  <Default Extension="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9B7B76">
      <w:pPr>
        <w:keepNext w:val="0"/>
        <w:keepLines w:val="0"/>
        <w:pageBreakBefore w:val="0"/>
        <w:widowControl w:val="0"/>
        <w:kinsoku/>
        <w:wordWrap/>
        <w:overflowPunct/>
        <w:topLinePunct w:val="0"/>
        <w:bidi w:val="0"/>
        <w:adjustRightInd/>
        <w:snapToGrid/>
        <w:spacing w:line="240" w:lineRule="auto"/>
        <w:textAlignment w:val="auto"/>
        <w:rPr>
          <w:rFonts w:hint="default" w:ascii="黑体" w:hAnsi="黑体" w:eastAsia="黑体"/>
          <w:sz w:val="32"/>
          <w:szCs w:val="32"/>
          <w:highlight w:val="none"/>
          <w:lang w:val="en-US" w:eastAsia="zh-CN"/>
        </w:rPr>
      </w:pPr>
    </w:p>
    <w:p w14:paraId="0FEDF7D7">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59D1D77C">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6360471">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37E3997B">
      <w:pPr>
        <w:keepNext w:val="0"/>
        <w:keepLines w:val="0"/>
        <w:pageBreakBefore w:val="0"/>
        <w:widowControl w:val="0"/>
        <w:kinsoku/>
        <w:wordWrap/>
        <w:overflowPunct/>
        <w:topLinePunct w:val="0"/>
        <w:bidi w:val="0"/>
        <w:adjustRightInd/>
        <w:snapToGrid/>
        <w:spacing w:line="240" w:lineRule="auto"/>
        <w:jc w:val="center"/>
        <w:textAlignment w:val="auto"/>
        <w:rPr>
          <w:rFonts w:hint="eastAsia" w:ascii="方正小标宋_GBK" w:hAnsi="宋体" w:eastAsia="方正小标宋_GBK"/>
          <w:sz w:val="44"/>
          <w:szCs w:val="44"/>
          <w:highlight w:val="none"/>
        </w:rPr>
      </w:pPr>
    </w:p>
    <w:p w14:paraId="4DACF2E4">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lang w:val="en-US" w:eastAsia="zh-CN"/>
        </w:rPr>
        <w:t>特克斯县人力资源和社会保障局2024</w:t>
      </w:r>
      <w:r>
        <w:rPr>
          <w:rFonts w:hint="eastAsia" w:ascii="方正小标宋_GBK" w:hAnsi="宋体" w:eastAsia="方正小标宋_GBK"/>
          <w:sz w:val="44"/>
          <w:szCs w:val="44"/>
          <w:highlight w:val="none"/>
          <w:lang w:eastAsia="zh-CN"/>
        </w:rPr>
        <w:t>年度</w:t>
      </w:r>
      <w:r>
        <w:rPr>
          <w:rFonts w:hint="eastAsia" w:ascii="方正小标宋_GBK" w:hAnsi="宋体" w:eastAsia="方正小标宋_GBK"/>
          <w:sz w:val="44"/>
          <w:szCs w:val="44"/>
          <w:highlight w:val="none"/>
        </w:rPr>
        <w:t>部门决算</w:t>
      </w:r>
    </w:p>
    <w:p w14:paraId="01973149">
      <w:pPr>
        <w:keepNext w:val="0"/>
        <w:keepLines w:val="0"/>
        <w:pageBreakBefore w:val="0"/>
        <w:widowControl w:val="0"/>
        <w:kinsoku/>
        <w:wordWrap/>
        <w:overflowPunct/>
        <w:topLinePunct w:val="0"/>
        <w:autoSpaceDE/>
        <w:autoSpaceDN/>
        <w:bidi w:val="0"/>
        <w:adjustRightInd/>
        <w:snapToGrid/>
        <w:spacing w:line="640" w:lineRule="exact"/>
        <w:jc w:val="center"/>
        <w:textAlignment w:val="auto"/>
        <w:rPr>
          <w:rFonts w:hint="eastAsia" w:ascii="方正小标宋_GBK" w:hAnsi="宋体" w:eastAsia="方正小标宋_GBK"/>
          <w:sz w:val="44"/>
          <w:szCs w:val="44"/>
          <w:highlight w:val="none"/>
        </w:rPr>
      </w:pPr>
      <w:r>
        <w:rPr>
          <w:rFonts w:hint="eastAsia" w:ascii="方正小标宋_GBK" w:hAnsi="宋体" w:eastAsia="方正小标宋_GBK"/>
          <w:sz w:val="44"/>
          <w:szCs w:val="44"/>
          <w:highlight w:val="none"/>
        </w:rPr>
        <w:t>公开说明</w:t>
      </w:r>
    </w:p>
    <w:p w14:paraId="2E37F804">
      <w:pPr>
        <w:keepNext w:val="0"/>
        <w:keepLines w:val="0"/>
        <w:pageBreakBefore w:val="0"/>
        <w:widowControl w:val="0"/>
        <w:kinsoku/>
        <w:wordWrap/>
        <w:overflowPunct/>
        <w:topLinePunct w:val="0"/>
        <w:autoSpaceDE/>
        <w:autoSpaceDN/>
        <w:bidi w:val="0"/>
        <w:adjustRightInd/>
        <w:snapToGrid/>
        <w:spacing w:line="240" w:lineRule="auto"/>
        <w:ind w:left="0" w:leftChars="0"/>
        <w:jc w:val="center"/>
        <w:textAlignment w:val="auto"/>
        <w:rPr>
          <w:rFonts w:hint="eastAsia" w:ascii="仿宋_GB2312" w:hAnsi="仿宋_GB2312" w:eastAsia="仿宋_GB2312" w:cs="仿宋_GB2312"/>
          <w:b w:val="0"/>
          <w:bCs/>
          <w:kern w:val="0"/>
          <w:sz w:val="32"/>
          <w:szCs w:val="32"/>
          <w:highlight w:val="none"/>
        </w:rPr>
      </w:pPr>
      <w:r>
        <w:rPr>
          <w:rFonts w:hint="eastAsia" w:ascii="方正小标宋_GBK" w:hAnsi="宋体" w:eastAsia="方正小标宋_GBK"/>
          <w:sz w:val="44"/>
          <w:szCs w:val="44"/>
          <w:highlight w:val="none"/>
        </w:rPr>
        <w:br w:type="page"/>
      </w:r>
      <w:r>
        <w:rPr>
          <w:rFonts w:hint="eastAsia" w:ascii="仿宋_GB2312" w:hAnsi="仿宋_GB2312" w:eastAsia="仿宋_GB2312" w:cs="仿宋_GB2312"/>
          <w:b/>
          <w:bCs w:val="0"/>
          <w:kern w:val="0"/>
          <w:sz w:val="36"/>
          <w:szCs w:val="36"/>
          <w:highlight w:val="none"/>
        </w:rPr>
        <w:t>目  录</w:t>
      </w:r>
    </w:p>
    <w:p w14:paraId="6D30421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TOC \o "1-3" \n  \h \u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_Toc31918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第一部分 单位概况</w:t>
      </w:r>
      <w:r>
        <w:rPr>
          <w:rFonts w:hint="eastAsia" w:ascii="仿宋_GB2312" w:hAnsi="仿宋_GB2312" w:eastAsia="仿宋_GB2312" w:cs="仿宋_GB2312"/>
          <w:b/>
          <w:bCs/>
          <w:sz w:val="32"/>
          <w:szCs w:val="32"/>
          <w:highlight w:val="none"/>
        </w:rPr>
        <w:fldChar w:fldCharType="end"/>
      </w:r>
    </w:p>
    <w:p w14:paraId="4C839E70">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_Toc2898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一、主要职能</w:t>
      </w:r>
      <w:r>
        <w:rPr>
          <w:rFonts w:hint="eastAsia" w:ascii="仿宋_GB2312" w:hAnsi="仿宋_GB2312" w:eastAsia="仿宋_GB2312" w:cs="仿宋_GB2312"/>
          <w:sz w:val="32"/>
          <w:szCs w:val="32"/>
          <w:highlight w:val="none"/>
        </w:rPr>
        <w:fldChar w:fldCharType="end"/>
      </w:r>
    </w:p>
    <w:p w14:paraId="57C435C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_Toc1387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二、机构设置</w:t>
      </w:r>
      <w:r>
        <w:rPr>
          <w:rFonts w:hint="eastAsia" w:ascii="仿宋_GB2312" w:hAnsi="仿宋_GB2312" w:eastAsia="仿宋_GB2312" w:cs="仿宋_GB2312"/>
          <w:bCs/>
          <w:kern w:val="0"/>
          <w:sz w:val="32"/>
          <w:szCs w:val="32"/>
          <w:highlight w:val="none"/>
          <w:lang w:eastAsia="zh-CN"/>
        </w:rPr>
        <w:t>及人员</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sz w:val="32"/>
          <w:szCs w:val="32"/>
          <w:highlight w:val="none"/>
        </w:rPr>
        <w:fldChar w:fldCharType="end"/>
      </w:r>
    </w:p>
    <w:p w14:paraId="0BE8C167">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_Toc7559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二</w:t>
      </w:r>
      <w:r>
        <w:rPr>
          <w:rFonts w:hint="eastAsia" w:ascii="仿宋_GB2312" w:hAnsi="仿宋_GB2312" w:eastAsia="仿宋_GB2312" w:cs="仿宋_GB2312"/>
          <w:b/>
          <w:bCs/>
          <w:sz w:val="32"/>
          <w:szCs w:val="32"/>
          <w:highlight w:val="none"/>
        </w:rPr>
        <w:t>部分 部门决算情况说明</w:t>
      </w:r>
      <w:r>
        <w:rPr>
          <w:rFonts w:hint="eastAsia" w:ascii="仿宋_GB2312" w:hAnsi="仿宋_GB2312" w:eastAsia="仿宋_GB2312" w:cs="仿宋_GB2312"/>
          <w:b/>
          <w:bCs/>
          <w:sz w:val="32"/>
          <w:szCs w:val="32"/>
          <w:highlight w:val="none"/>
        </w:rPr>
        <w:fldChar w:fldCharType="end"/>
      </w:r>
    </w:p>
    <w:p w14:paraId="148756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_Toc6321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一、收入支出决算总体情况说明</w:t>
      </w:r>
      <w:r>
        <w:rPr>
          <w:rFonts w:hint="eastAsia" w:ascii="仿宋_GB2312" w:hAnsi="仿宋_GB2312" w:eastAsia="仿宋_GB2312" w:cs="仿宋_GB2312"/>
          <w:sz w:val="32"/>
          <w:szCs w:val="32"/>
          <w:highlight w:val="none"/>
        </w:rPr>
        <w:fldChar w:fldCharType="end"/>
      </w:r>
    </w:p>
    <w:p w14:paraId="5C269B25">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_Toc6311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二、</w:t>
      </w:r>
      <w:r>
        <w:rPr>
          <w:rFonts w:hint="eastAsia" w:ascii="仿宋_GB2312" w:hAnsi="仿宋_GB2312" w:eastAsia="仿宋_GB2312" w:cs="仿宋_GB2312"/>
          <w:bCs/>
          <w:kern w:val="0"/>
          <w:sz w:val="32"/>
          <w:szCs w:val="32"/>
          <w:highlight w:val="none"/>
        </w:rPr>
        <w:t>收入</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情况说明</w:t>
      </w:r>
      <w:r>
        <w:rPr>
          <w:rFonts w:hint="eastAsia" w:ascii="仿宋_GB2312" w:hAnsi="仿宋_GB2312" w:eastAsia="仿宋_GB2312" w:cs="仿宋_GB2312"/>
          <w:sz w:val="32"/>
          <w:szCs w:val="32"/>
          <w:highlight w:val="none"/>
        </w:rPr>
        <w:fldChar w:fldCharType="end"/>
      </w:r>
    </w:p>
    <w:p w14:paraId="5AF5F9A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_Toc20629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三、支出决算情况说明</w:t>
      </w:r>
      <w:r>
        <w:rPr>
          <w:rFonts w:hint="eastAsia" w:ascii="仿宋_GB2312" w:hAnsi="仿宋_GB2312" w:eastAsia="仿宋_GB2312" w:cs="仿宋_GB2312"/>
          <w:sz w:val="32"/>
          <w:szCs w:val="32"/>
          <w:highlight w:val="none"/>
        </w:rPr>
        <w:fldChar w:fldCharType="end"/>
      </w:r>
    </w:p>
    <w:p w14:paraId="107F52B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_Toc7371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四、财政拨款收入支出决算总体情况说明</w:t>
      </w:r>
      <w:r>
        <w:rPr>
          <w:rFonts w:hint="eastAsia" w:ascii="仿宋_GB2312" w:hAnsi="仿宋_GB2312" w:eastAsia="仿宋_GB2312" w:cs="仿宋_GB2312"/>
          <w:sz w:val="32"/>
          <w:szCs w:val="32"/>
          <w:highlight w:val="none"/>
        </w:rPr>
        <w:fldChar w:fldCharType="end"/>
      </w:r>
    </w:p>
    <w:p w14:paraId="63D16B9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_Toc18905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五、一般公共预算财政拨款支出决算情况说明</w:t>
      </w:r>
      <w:r>
        <w:rPr>
          <w:rFonts w:hint="eastAsia" w:ascii="仿宋_GB2312" w:hAnsi="仿宋_GB2312" w:eastAsia="仿宋_GB2312" w:cs="仿宋_GB2312"/>
          <w:sz w:val="32"/>
          <w:szCs w:val="32"/>
          <w:highlight w:val="none"/>
        </w:rPr>
        <w:fldChar w:fldCharType="end"/>
      </w:r>
    </w:p>
    <w:p w14:paraId="752323E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_Toc1165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（一）一般公共预算财政拨款支出决算总体情况</w:t>
      </w:r>
      <w:r>
        <w:rPr>
          <w:rFonts w:hint="eastAsia" w:ascii="仿宋_GB2312" w:hAnsi="仿宋_GB2312" w:eastAsia="仿宋_GB2312" w:cs="仿宋_GB2312"/>
          <w:sz w:val="32"/>
          <w:szCs w:val="32"/>
          <w:highlight w:val="none"/>
        </w:rPr>
        <w:fldChar w:fldCharType="end"/>
      </w:r>
    </w:p>
    <w:p w14:paraId="65FD508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_Toc27147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（二）一般公共预算</w:t>
      </w:r>
      <w:r>
        <w:rPr>
          <w:rFonts w:hint="eastAsia" w:ascii="仿宋_GB2312" w:hAnsi="仿宋_GB2312" w:eastAsia="仿宋_GB2312" w:cs="仿宋_GB2312"/>
          <w:sz w:val="32"/>
          <w:szCs w:val="32"/>
          <w:highlight w:val="none"/>
          <w:lang w:val="en-US" w:eastAsia="zh-CN"/>
        </w:rPr>
        <w:t>财政拨款支出决算</w:t>
      </w:r>
      <w:r>
        <w:rPr>
          <w:rFonts w:hint="eastAsia" w:ascii="仿宋_GB2312" w:hAnsi="仿宋_GB2312" w:eastAsia="仿宋_GB2312" w:cs="仿宋_GB2312"/>
          <w:sz w:val="32"/>
          <w:szCs w:val="32"/>
          <w:highlight w:val="none"/>
          <w:lang w:eastAsia="zh-CN"/>
        </w:rPr>
        <w:t>结构情况</w:t>
      </w:r>
      <w:r>
        <w:rPr>
          <w:rFonts w:hint="eastAsia" w:ascii="仿宋_GB2312" w:hAnsi="仿宋_GB2312" w:eastAsia="仿宋_GB2312" w:cs="仿宋_GB2312"/>
          <w:sz w:val="32"/>
          <w:szCs w:val="32"/>
          <w:highlight w:val="none"/>
        </w:rPr>
        <w:fldChar w:fldCharType="end"/>
      </w:r>
    </w:p>
    <w:p w14:paraId="6BD03571">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_Toc10037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（三）一般公共预算财政拨款支出决算具体情况</w:t>
      </w:r>
      <w:r>
        <w:rPr>
          <w:rFonts w:hint="eastAsia" w:ascii="仿宋_GB2312" w:hAnsi="仿宋_GB2312" w:eastAsia="仿宋_GB2312" w:cs="仿宋_GB2312"/>
          <w:sz w:val="32"/>
          <w:szCs w:val="32"/>
          <w:highlight w:val="none"/>
        </w:rPr>
        <w:fldChar w:fldCharType="end"/>
      </w:r>
    </w:p>
    <w:p w14:paraId="1B749B64">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_Toc23415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六、一般公共预算财政拨款基本支出决算情况说明</w:t>
      </w:r>
      <w:r>
        <w:rPr>
          <w:rFonts w:hint="eastAsia" w:ascii="仿宋_GB2312" w:hAnsi="仿宋_GB2312" w:eastAsia="仿宋_GB2312" w:cs="仿宋_GB2312"/>
          <w:sz w:val="32"/>
          <w:szCs w:val="32"/>
          <w:highlight w:val="none"/>
        </w:rPr>
        <w:fldChar w:fldCharType="end"/>
      </w:r>
    </w:p>
    <w:p w14:paraId="46574738">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_Toc7523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七、</w:t>
      </w:r>
      <w:r>
        <w:rPr>
          <w:rFonts w:hint="eastAsia" w:ascii="仿宋_GB2312" w:hAnsi="仿宋_GB2312" w:eastAsia="仿宋_GB2312" w:cs="仿宋_GB2312"/>
          <w:bCs/>
          <w:kern w:val="0"/>
          <w:sz w:val="32"/>
          <w:szCs w:val="32"/>
          <w:highlight w:val="none"/>
          <w:lang w:eastAsia="zh-CN"/>
        </w:rPr>
        <w:t>政府性基金预算财政拨款收入支出决算情况说明</w:t>
      </w:r>
      <w:r>
        <w:rPr>
          <w:rFonts w:hint="eastAsia" w:ascii="仿宋_GB2312" w:hAnsi="仿宋_GB2312" w:eastAsia="仿宋_GB2312" w:cs="仿宋_GB2312"/>
          <w:sz w:val="32"/>
          <w:szCs w:val="32"/>
          <w:highlight w:val="none"/>
        </w:rPr>
        <w:fldChar w:fldCharType="end"/>
      </w:r>
    </w:p>
    <w:p w14:paraId="28638EA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_Toc5563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八</w:t>
      </w:r>
      <w:r>
        <w:rPr>
          <w:rFonts w:hint="eastAsia" w:ascii="仿宋_GB2312" w:hAnsi="仿宋_GB2312" w:eastAsia="仿宋_GB2312" w:cs="仿宋_GB2312"/>
          <w:bCs/>
          <w:kern w:val="0"/>
          <w:sz w:val="32"/>
          <w:szCs w:val="32"/>
          <w:highlight w:val="none"/>
          <w:lang w:eastAsia="zh-CN"/>
        </w:rPr>
        <w:t>、国有资本经营预算财政拨款收入支出决算情况说明</w:t>
      </w:r>
      <w:r>
        <w:rPr>
          <w:rFonts w:hint="eastAsia" w:ascii="仿宋_GB2312" w:hAnsi="仿宋_GB2312" w:eastAsia="仿宋_GB2312" w:cs="仿宋_GB2312"/>
          <w:sz w:val="32"/>
          <w:szCs w:val="32"/>
          <w:highlight w:val="none"/>
        </w:rPr>
        <w:fldChar w:fldCharType="end"/>
      </w:r>
    </w:p>
    <w:p w14:paraId="4BE8723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_Toc9161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lang w:eastAsia="zh-CN"/>
        </w:rPr>
        <w:t>、财政拨款</w:t>
      </w:r>
      <w:r>
        <w:rPr>
          <w:rFonts w:hint="eastAsia" w:ascii="仿宋_GB2312" w:hAnsi="仿宋_GB2312" w:eastAsia="仿宋_GB2312" w:cs="仿宋_GB2312"/>
          <w:bCs/>
          <w:kern w:val="0"/>
          <w:sz w:val="32"/>
          <w:szCs w:val="32"/>
          <w:highlight w:val="none"/>
        </w:rPr>
        <w:t>“三公”经费支出</w:t>
      </w:r>
      <w:r>
        <w:rPr>
          <w:rFonts w:hint="eastAsia" w:ascii="仿宋_GB2312" w:hAnsi="仿宋_GB2312" w:eastAsia="仿宋_GB2312" w:cs="仿宋_GB2312"/>
          <w:bCs/>
          <w:kern w:val="0"/>
          <w:sz w:val="32"/>
          <w:szCs w:val="32"/>
          <w:highlight w:val="none"/>
          <w:lang w:eastAsia="zh-CN"/>
        </w:rPr>
        <w:t>决算</w:t>
      </w:r>
      <w:r>
        <w:rPr>
          <w:rFonts w:hint="eastAsia" w:ascii="仿宋_GB2312" w:hAnsi="仿宋_GB2312" w:eastAsia="仿宋_GB2312" w:cs="仿宋_GB2312"/>
          <w:bCs/>
          <w:kern w:val="0"/>
          <w:sz w:val="32"/>
          <w:szCs w:val="32"/>
          <w:highlight w:val="none"/>
        </w:rPr>
        <w:t>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248C12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_Toc16395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rPr>
        <w:t>、其他重要事项的情况</w:t>
      </w:r>
      <w:r>
        <w:rPr>
          <w:rFonts w:hint="eastAsia" w:ascii="仿宋_GB2312" w:hAnsi="仿宋_GB2312" w:eastAsia="仿宋_GB2312" w:cs="仿宋_GB2312"/>
          <w:bCs/>
          <w:kern w:val="0"/>
          <w:sz w:val="32"/>
          <w:szCs w:val="32"/>
          <w:highlight w:val="none"/>
          <w:lang w:eastAsia="zh-CN"/>
        </w:rPr>
        <w:t>说明</w:t>
      </w:r>
      <w:r>
        <w:rPr>
          <w:rFonts w:hint="eastAsia" w:ascii="仿宋_GB2312" w:hAnsi="仿宋_GB2312" w:eastAsia="仿宋_GB2312" w:cs="仿宋_GB2312"/>
          <w:sz w:val="32"/>
          <w:szCs w:val="32"/>
          <w:highlight w:val="none"/>
        </w:rPr>
        <w:fldChar w:fldCharType="end"/>
      </w:r>
    </w:p>
    <w:p w14:paraId="66AB02AA">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_Toc21748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（一）</w:t>
      </w:r>
      <w:r>
        <w:rPr>
          <w:rFonts w:hint="eastAsia" w:ascii="仿宋_GB2312" w:hAnsi="仿宋_GB2312" w:eastAsia="仿宋_GB2312" w:cs="仿宋_GB2312"/>
          <w:sz w:val="32"/>
          <w:szCs w:val="32"/>
          <w:highlight w:val="none"/>
        </w:rPr>
        <w:t>机关运行经费</w:t>
      </w:r>
      <w:r>
        <w:rPr>
          <w:rFonts w:hint="eastAsia" w:ascii="仿宋_GB2312" w:hAnsi="仿宋_GB2312" w:eastAsia="仿宋_GB2312" w:cs="仿宋_GB2312"/>
          <w:sz w:val="32"/>
          <w:szCs w:val="32"/>
          <w:highlight w:val="none"/>
          <w:lang w:val="en-US" w:eastAsia="zh-CN"/>
        </w:rPr>
        <w:t>及公用经费</w:t>
      </w:r>
      <w:r>
        <w:rPr>
          <w:rFonts w:hint="eastAsia" w:ascii="仿宋_GB2312" w:hAnsi="仿宋_GB2312" w:eastAsia="仿宋_GB2312" w:cs="仿宋_GB2312"/>
          <w:sz w:val="32"/>
          <w:szCs w:val="32"/>
          <w:highlight w:val="none"/>
        </w:rPr>
        <w:t>支出情况</w:t>
      </w:r>
      <w:r>
        <w:rPr>
          <w:rFonts w:hint="eastAsia" w:ascii="仿宋_GB2312" w:hAnsi="仿宋_GB2312" w:eastAsia="仿宋_GB2312" w:cs="仿宋_GB2312"/>
          <w:sz w:val="32"/>
          <w:szCs w:val="32"/>
          <w:highlight w:val="none"/>
        </w:rPr>
        <w:fldChar w:fldCharType="end"/>
      </w:r>
    </w:p>
    <w:p w14:paraId="496130BB">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_Toc25177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（二）政府采购情况</w:t>
      </w:r>
      <w:r>
        <w:rPr>
          <w:rFonts w:hint="eastAsia" w:ascii="仿宋_GB2312" w:hAnsi="仿宋_GB2312" w:eastAsia="仿宋_GB2312" w:cs="仿宋_GB2312"/>
          <w:sz w:val="32"/>
          <w:szCs w:val="32"/>
          <w:highlight w:val="none"/>
        </w:rPr>
        <w:fldChar w:fldCharType="end"/>
      </w:r>
    </w:p>
    <w:p w14:paraId="5BAB1FC4">
      <w:pPr>
        <w:pStyle w:val="3"/>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_Toc31294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sz w:val="32"/>
          <w:szCs w:val="32"/>
          <w:highlight w:val="none"/>
          <w:lang w:eastAsia="zh-CN"/>
        </w:rPr>
        <w:t>（三）国有资产占用情况说明</w:t>
      </w:r>
      <w:r>
        <w:rPr>
          <w:rFonts w:hint="eastAsia" w:ascii="仿宋_GB2312" w:hAnsi="仿宋_GB2312" w:eastAsia="仿宋_GB2312" w:cs="仿宋_GB2312"/>
          <w:sz w:val="32"/>
          <w:szCs w:val="32"/>
          <w:highlight w:val="none"/>
        </w:rPr>
        <w:fldChar w:fldCharType="end"/>
      </w:r>
    </w:p>
    <w:p w14:paraId="0C8104BA">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_Toc17664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eastAsia="zh-CN"/>
        </w:rPr>
        <w:t>十</w:t>
      </w:r>
      <w:r>
        <w:rPr>
          <w:rFonts w:hint="eastAsia" w:ascii="仿宋_GB2312" w:hAnsi="仿宋_GB2312" w:eastAsia="仿宋_GB2312" w:cs="仿宋_GB2312"/>
          <w:bCs/>
          <w:kern w:val="0"/>
          <w:sz w:val="32"/>
          <w:szCs w:val="32"/>
          <w:highlight w:val="none"/>
          <w:lang w:val="en-US" w:eastAsia="zh-CN"/>
        </w:rPr>
        <w:t>一</w:t>
      </w:r>
      <w:r>
        <w:rPr>
          <w:rFonts w:hint="eastAsia" w:ascii="仿宋_GB2312" w:hAnsi="仿宋_GB2312" w:eastAsia="仿宋_GB2312" w:cs="仿宋_GB2312"/>
          <w:bCs/>
          <w:kern w:val="0"/>
          <w:sz w:val="32"/>
          <w:szCs w:val="32"/>
          <w:highlight w:val="none"/>
          <w:lang w:eastAsia="zh-CN"/>
        </w:rPr>
        <w:t>、预算绩效的情况说明</w:t>
      </w:r>
      <w:r>
        <w:rPr>
          <w:rFonts w:hint="eastAsia" w:ascii="仿宋_GB2312" w:hAnsi="仿宋_GB2312" w:eastAsia="仿宋_GB2312" w:cs="仿宋_GB2312"/>
          <w:sz w:val="32"/>
          <w:szCs w:val="32"/>
          <w:highlight w:val="none"/>
        </w:rPr>
        <w:fldChar w:fldCharType="end"/>
      </w:r>
    </w:p>
    <w:p w14:paraId="071C926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lang w:val="en-US" w:eastAsia="zh-CN"/>
        </w:rPr>
        <w:t>十二、其他需说明的事项</w:t>
      </w:r>
      <w:bookmarkStart w:id="0" w:name="_GoBack"/>
      <w:bookmarkEnd w:id="0"/>
    </w:p>
    <w:p w14:paraId="4074BAF6">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_Toc30038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w:t>
      </w:r>
      <w:r>
        <w:rPr>
          <w:rFonts w:hint="eastAsia" w:ascii="仿宋_GB2312" w:hAnsi="仿宋_GB2312" w:eastAsia="仿宋_GB2312" w:cs="仿宋_GB2312"/>
          <w:b/>
          <w:bCs/>
          <w:sz w:val="32"/>
          <w:szCs w:val="32"/>
          <w:highlight w:val="none"/>
          <w:lang w:val="en-US" w:eastAsia="zh-CN"/>
        </w:rPr>
        <w:t>三</w:t>
      </w:r>
      <w:r>
        <w:rPr>
          <w:rFonts w:hint="eastAsia" w:ascii="仿宋_GB2312" w:hAnsi="仿宋_GB2312" w:eastAsia="仿宋_GB2312" w:cs="仿宋_GB2312"/>
          <w:b/>
          <w:bCs/>
          <w:sz w:val="32"/>
          <w:szCs w:val="32"/>
          <w:highlight w:val="none"/>
        </w:rPr>
        <w:t>部分 专业名词解释</w:t>
      </w:r>
      <w:r>
        <w:rPr>
          <w:rFonts w:hint="eastAsia" w:ascii="仿宋_GB2312" w:hAnsi="仿宋_GB2312" w:eastAsia="仿宋_GB2312" w:cs="仿宋_GB2312"/>
          <w:b/>
          <w:bCs/>
          <w:sz w:val="32"/>
          <w:szCs w:val="32"/>
          <w:highlight w:val="none"/>
        </w:rPr>
        <w:fldChar w:fldCharType="end"/>
      </w:r>
    </w:p>
    <w:p w14:paraId="35BDB0CB">
      <w:pPr>
        <w:pStyle w:val="6"/>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b/>
          <w:bCs/>
          <w:sz w:val="32"/>
          <w:szCs w:val="32"/>
          <w:highlight w:val="none"/>
        </w:rPr>
      </w:pPr>
      <w:r>
        <w:rPr>
          <w:rFonts w:hint="eastAsia" w:ascii="仿宋_GB2312" w:hAnsi="仿宋_GB2312" w:eastAsia="仿宋_GB2312" w:cs="仿宋_GB2312"/>
          <w:b/>
          <w:bCs/>
          <w:sz w:val="32"/>
          <w:szCs w:val="32"/>
          <w:highlight w:val="none"/>
        </w:rPr>
        <w:fldChar w:fldCharType="begin"/>
      </w:r>
      <w:r>
        <w:rPr>
          <w:rFonts w:hint="eastAsia" w:ascii="仿宋_GB2312" w:hAnsi="仿宋_GB2312" w:eastAsia="仿宋_GB2312" w:cs="仿宋_GB2312"/>
          <w:b/>
          <w:bCs/>
          <w:sz w:val="32"/>
          <w:szCs w:val="32"/>
          <w:highlight w:val="none"/>
        </w:rPr>
        <w:instrText xml:space="preserve"> HYPERLINK \l _Toc6831 </w:instrText>
      </w:r>
      <w:r>
        <w:rPr>
          <w:rFonts w:hint="eastAsia" w:ascii="仿宋_GB2312" w:hAnsi="仿宋_GB2312" w:eastAsia="仿宋_GB2312" w:cs="仿宋_GB2312"/>
          <w:b/>
          <w:bCs/>
          <w:sz w:val="32"/>
          <w:szCs w:val="32"/>
          <w:highlight w:val="none"/>
        </w:rPr>
        <w:fldChar w:fldCharType="separate"/>
      </w:r>
      <w:r>
        <w:rPr>
          <w:rFonts w:hint="eastAsia" w:ascii="仿宋_GB2312" w:hAnsi="仿宋_GB2312" w:eastAsia="仿宋_GB2312" w:cs="仿宋_GB2312"/>
          <w:b/>
          <w:bCs/>
          <w:sz w:val="32"/>
          <w:szCs w:val="32"/>
          <w:highlight w:val="none"/>
        </w:rPr>
        <w:t>第四部分 部门决算报表（见附表）</w:t>
      </w:r>
      <w:r>
        <w:rPr>
          <w:rFonts w:hint="eastAsia" w:ascii="仿宋_GB2312" w:hAnsi="仿宋_GB2312" w:eastAsia="仿宋_GB2312" w:cs="仿宋_GB2312"/>
          <w:b/>
          <w:bCs/>
          <w:sz w:val="32"/>
          <w:szCs w:val="32"/>
          <w:highlight w:val="none"/>
        </w:rPr>
        <w:fldChar w:fldCharType="end"/>
      </w:r>
    </w:p>
    <w:p w14:paraId="2F2F73B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_Toc3845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一、《收入支出决算总表》</w:t>
      </w:r>
      <w:r>
        <w:rPr>
          <w:rFonts w:hint="eastAsia" w:ascii="仿宋_GB2312" w:hAnsi="仿宋_GB2312" w:eastAsia="仿宋_GB2312" w:cs="仿宋_GB2312"/>
          <w:sz w:val="32"/>
          <w:szCs w:val="32"/>
          <w:highlight w:val="none"/>
        </w:rPr>
        <w:fldChar w:fldCharType="end"/>
      </w:r>
    </w:p>
    <w:p w14:paraId="09075C8C">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_Toc11927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二、《收入决算表》</w:t>
      </w:r>
      <w:r>
        <w:rPr>
          <w:rFonts w:hint="eastAsia" w:ascii="仿宋_GB2312" w:hAnsi="仿宋_GB2312" w:eastAsia="仿宋_GB2312" w:cs="仿宋_GB2312"/>
          <w:sz w:val="32"/>
          <w:szCs w:val="32"/>
          <w:highlight w:val="none"/>
        </w:rPr>
        <w:fldChar w:fldCharType="end"/>
      </w:r>
    </w:p>
    <w:p w14:paraId="1551A43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_Toc7443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三、《支出决算表》</w:t>
      </w:r>
      <w:r>
        <w:rPr>
          <w:rFonts w:hint="eastAsia" w:ascii="仿宋_GB2312" w:hAnsi="仿宋_GB2312" w:eastAsia="仿宋_GB2312" w:cs="仿宋_GB2312"/>
          <w:sz w:val="32"/>
          <w:szCs w:val="32"/>
          <w:highlight w:val="none"/>
        </w:rPr>
        <w:fldChar w:fldCharType="end"/>
      </w:r>
    </w:p>
    <w:p w14:paraId="602EBD53">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_Toc24884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四、《财政拨款收入支出决算总表》</w:t>
      </w:r>
      <w:r>
        <w:rPr>
          <w:rFonts w:hint="eastAsia" w:ascii="仿宋_GB2312" w:hAnsi="仿宋_GB2312" w:eastAsia="仿宋_GB2312" w:cs="仿宋_GB2312"/>
          <w:sz w:val="32"/>
          <w:szCs w:val="32"/>
          <w:highlight w:val="none"/>
        </w:rPr>
        <w:fldChar w:fldCharType="end"/>
      </w:r>
    </w:p>
    <w:p w14:paraId="7CCE8969">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_Toc16518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五、《一般公共预算财政拨款支出决算表》</w:t>
      </w:r>
      <w:r>
        <w:rPr>
          <w:rFonts w:hint="eastAsia" w:ascii="仿宋_GB2312" w:hAnsi="仿宋_GB2312" w:eastAsia="仿宋_GB2312" w:cs="仿宋_GB2312"/>
          <w:sz w:val="32"/>
          <w:szCs w:val="32"/>
          <w:highlight w:val="none"/>
        </w:rPr>
        <w:fldChar w:fldCharType="end"/>
      </w:r>
    </w:p>
    <w:p w14:paraId="0F457412">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_Toc20514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六、《一般公共预算财政拨款基本支出决算表》</w:t>
      </w:r>
      <w:r>
        <w:rPr>
          <w:rFonts w:hint="eastAsia" w:ascii="仿宋_GB2312" w:hAnsi="仿宋_GB2312" w:eastAsia="仿宋_GB2312" w:cs="仿宋_GB2312"/>
          <w:sz w:val="32"/>
          <w:szCs w:val="32"/>
          <w:highlight w:val="none"/>
        </w:rPr>
        <w:fldChar w:fldCharType="end"/>
      </w:r>
    </w:p>
    <w:p w14:paraId="7AFC390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_Toc18055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七、《政府性基金预算财政拨款收入支出决算表》</w:t>
      </w:r>
      <w:r>
        <w:rPr>
          <w:rFonts w:hint="eastAsia" w:ascii="仿宋_GB2312" w:hAnsi="仿宋_GB2312" w:eastAsia="仿宋_GB2312" w:cs="仿宋_GB2312"/>
          <w:sz w:val="32"/>
          <w:szCs w:val="32"/>
          <w:highlight w:val="none"/>
        </w:rPr>
        <w:fldChar w:fldCharType="end"/>
      </w:r>
    </w:p>
    <w:p w14:paraId="76C39016">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_Toc10719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rPr>
        <w:t>八、《</w:t>
      </w:r>
      <w:r>
        <w:rPr>
          <w:rFonts w:hint="eastAsia" w:ascii="仿宋_GB2312" w:hAnsi="仿宋_GB2312" w:eastAsia="仿宋_GB2312" w:cs="仿宋_GB2312"/>
          <w:bCs/>
          <w:kern w:val="0"/>
          <w:sz w:val="32"/>
          <w:szCs w:val="32"/>
          <w:highlight w:val="none"/>
          <w:lang w:eastAsia="zh-CN"/>
        </w:rPr>
        <w:t>国有资本经营</w:t>
      </w:r>
      <w:r>
        <w:rPr>
          <w:rFonts w:hint="eastAsia" w:ascii="仿宋_GB2312" w:hAnsi="仿宋_GB2312" w:eastAsia="仿宋_GB2312" w:cs="仿宋_GB2312"/>
          <w:bCs/>
          <w:kern w:val="0"/>
          <w:sz w:val="32"/>
          <w:szCs w:val="32"/>
          <w:highlight w:val="none"/>
        </w:rPr>
        <w:t>预算财政拨款收入支出决算表》</w:t>
      </w:r>
      <w:r>
        <w:rPr>
          <w:rFonts w:hint="eastAsia" w:ascii="仿宋_GB2312" w:hAnsi="仿宋_GB2312" w:eastAsia="仿宋_GB2312" w:cs="仿宋_GB2312"/>
          <w:sz w:val="32"/>
          <w:szCs w:val="32"/>
          <w:highlight w:val="none"/>
        </w:rPr>
        <w:fldChar w:fldCharType="end"/>
      </w:r>
    </w:p>
    <w:p w14:paraId="307A4C9B">
      <w:pPr>
        <w:pStyle w:val="7"/>
        <w:keepNext w:val="0"/>
        <w:keepLines w:val="0"/>
        <w:pageBreakBefore w:val="0"/>
        <w:widowControl w:val="0"/>
        <w:tabs>
          <w:tab w:val="right" w:leader="do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fldChar w:fldCharType="begin"/>
      </w:r>
      <w:r>
        <w:rPr>
          <w:rFonts w:hint="eastAsia" w:ascii="仿宋_GB2312" w:hAnsi="仿宋_GB2312" w:eastAsia="仿宋_GB2312" w:cs="仿宋_GB2312"/>
          <w:sz w:val="32"/>
          <w:szCs w:val="32"/>
          <w:highlight w:val="none"/>
        </w:rPr>
        <w:instrText xml:space="preserve"> HYPERLINK \l _Toc18861 </w:instrText>
      </w:r>
      <w:r>
        <w:rPr>
          <w:rFonts w:hint="eastAsia" w:ascii="仿宋_GB2312" w:hAnsi="仿宋_GB2312" w:eastAsia="仿宋_GB2312" w:cs="仿宋_GB2312"/>
          <w:sz w:val="32"/>
          <w:szCs w:val="32"/>
          <w:highlight w:val="none"/>
        </w:rPr>
        <w:fldChar w:fldCharType="separate"/>
      </w:r>
      <w:r>
        <w:rPr>
          <w:rFonts w:hint="eastAsia" w:ascii="仿宋_GB2312" w:hAnsi="仿宋_GB2312" w:eastAsia="仿宋_GB2312" w:cs="仿宋_GB2312"/>
          <w:bCs/>
          <w:kern w:val="0"/>
          <w:sz w:val="32"/>
          <w:szCs w:val="32"/>
          <w:highlight w:val="none"/>
          <w:lang w:val="en-US" w:eastAsia="zh-CN"/>
        </w:rPr>
        <w:t>九</w:t>
      </w:r>
      <w:r>
        <w:rPr>
          <w:rFonts w:hint="eastAsia" w:ascii="仿宋_GB2312" w:hAnsi="仿宋_GB2312" w:eastAsia="仿宋_GB2312" w:cs="仿宋_GB2312"/>
          <w:bCs/>
          <w:kern w:val="0"/>
          <w:sz w:val="32"/>
          <w:szCs w:val="32"/>
          <w:highlight w:val="none"/>
        </w:rPr>
        <w:t>、《财政拨款“三公”经费支出决算表》</w:t>
      </w:r>
      <w:r>
        <w:rPr>
          <w:rFonts w:hint="eastAsia" w:ascii="仿宋_GB2312" w:hAnsi="仿宋_GB2312" w:eastAsia="仿宋_GB2312" w:cs="仿宋_GB2312"/>
          <w:sz w:val="32"/>
          <w:szCs w:val="32"/>
          <w:highlight w:val="none"/>
        </w:rPr>
        <w:fldChar w:fldCharType="end"/>
      </w:r>
    </w:p>
    <w:p w14:paraId="784583FA">
      <w:pPr>
        <w:pStyle w:val="7"/>
        <w:keepNext w:val="0"/>
        <w:keepLines w:val="0"/>
        <w:pageBreakBefore w:val="0"/>
        <w:widowControl w:val="0"/>
        <w:tabs>
          <w:tab w:val="right" w:pos="8306"/>
        </w:tabs>
        <w:kinsoku/>
        <w:wordWrap/>
        <w:overflowPunct/>
        <w:topLinePunct w:val="0"/>
        <w:autoSpaceDE/>
        <w:autoSpaceDN/>
        <w:bidi w:val="0"/>
        <w:adjustRightInd/>
        <w:snapToGrid/>
        <w:ind w:left="0" w:leftChars="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sz w:val="32"/>
          <w:szCs w:val="32"/>
          <w:highlight w:val="none"/>
        </w:rPr>
        <w:fldChar w:fldCharType="end"/>
      </w:r>
    </w:p>
    <w:p>
      <w:r>
        <w:br w:type="page"/>
      </w:r>
    </w:p>
    <w:p>
      <w:pPr>
        <w:spacing w:line="640" w:lineRule="exact"/>
        <w:jc w:val="center"/>
        <w:outlineLvl w:val="1"/>
      </w:pPr>
      <w:r>
        <w:rPr>
          <w:rFonts w:ascii="黑体" w:hAnsi="黑体" w:eastAsia="黑体"/>
          <w:sz w:val="32"/>
        </w:rPr>
        <w:t>第一部分 单位概况</w:t>
      </w:r>
    </w:p>
    <w:p>
      <w:pPr>
        <w:spacing w:line="640" w:lineRule="exact"/>
        <w:ind w:firstLine="640"/>
        <w:jc w:val="both"/>
        <w:outlineLvl w:val="2"/>
      </w:pPr>
      <w:r>
        <w:rPr>
          <w:rFonts w:ascii="黑体" w:hAnsi="黑体" w:eastAsia="黑体"/>
          <w:sz w:val="32"/>
        </w:rPr>
        <w:t>一、主要职能</w:t>
      </w:r>
    </w:p>
    <w:p>
      <w:pPr>
        <w:spacing w:line="580" w:lineRule="exact"/>
        <w:ind w:firstLine="640"/>
        <w:jc w:val="both"/>
      </w:pPr>
      <w:r>
        <w:rPr>
          <w:rFonts w:ascii="仿宋_GB2312" w:hAnsi="仿宋_GB2312" w:eastAsia="仿宋_GB2312"/>
          <w:sz w:val="32"/>
        </w:rPr>
        <w:t>（1）贯彻执行国家、自治区、自治州有关人力资源和社会保障工作的方针政策、政策法规；拟订全县人力资源和社会保障事业发展规划并组织实施；对全县人力资源和社会保障工作进行综合管理、监督指导和协调服务。</w:t>
      </w:r>
    </w:p>
    <w:p>
      <w:pPr>
        <w:spacing w:line="580" w:lineRule="exact"/>
        <w:ind w:firstLine="640"/>
        <w:jc w:val="both"/>
      </w:pPr>
      <w:r>
        <w:rPr>
          <w:rFonts w:ascii="仿宋_GB2312" w:hAnsi="仿宋_GB2312" w:eastAsia="仿宋_GB2312"/>
          <w:sz w:val="32"/>
        </w:rPr>
        <w:t>（2）组织实施人力资源市场发展规划和人力资源流动政策，指导监督人力资源服务机构，促进人力资源合理流动、有效配置。</w:t>
      </w:r>
    </w:p>
    <w:p>
      <w:pPr>
        <w:spacing w:line="580" w:lineRule="exact"/>
        <w:ind w:firstLine="640"/>
        <w:jc w:val="both"/>
      </w:pPr>
      <w:r>
        <w:rPr>
          <w:rFonts w:ascii="仿宋_GB2312" w:hAnsi="仿宋_GB2312" w:eastAsia="仿宋_GB2312"/>
          <w:sz w:val="32"/>
        </w:rPr>
        <w:t>（3）负责促进就业工作，拟订统筹城乡的全县就业发展规划和政策，完善公共就业服务体系，组织落实就业援助制度；落实职业资格制度相关政策，统筹建立面向城乡劳动者的职业培训制度；牵头组织实施高校毕业生就业政策，会同有关部门拟定高技能人才，农村实用人才培训和激励政策。</w:t>
      </w:r>
    </w:p>
    <w:p>
      <w:pPr>
        <w:spacing w:line="580" w:lineRule="exact"/>
        <w:ind w:firstLine="640"/>
        <w:jc w:val="both"/>
      </w:pPr>
      <w:r>
        <w:rPr>
          <w:rFonts w:ascii="仿宋_GB2312" w:hAnsi="仿宋_GB2312" w:eastAsia="仿宋_GB2312"/>
          <w:sz w:val="32"/>
        </w:rPr>
        <w:t>（4）统筹建立覆盖城乡的社会保障体系。拟订并组织城乡社会保险及其补充保险政策和标准。统筹拟订机关企事业单位基本养老保险政策。会同有关部门拟订社会保险及其补充保险基金管理和监督办法，编制社会保险基金预决算草案。</w:t>
      </w:r>
    </w:p>
    <w:p>
      <w:pPr>
        <w:spacing w:line="580" w:lineRule="exact"/>
        <w:ind w:firstLine="640"/>
        <w:jc w:val="both"/>
      </w:pPr>
      <w:r>
        <w:rPr>
          <w:rFonts w:ascii="仿宋_GB2312" w:hAnsi="仿宋_GB2312" w:eastAsia="仿宋_GB2312"/>
          <w:sz w:val="32"/>
        </w:rPr>
        <w:t>（5）负责就业、失业、社会保险基金预测预警和信息引导，拟订应对预案，实施预防、调节和控制，保持就业形势稳定和社会保险基金总体收支平衡。</w:t>
      </w:r>
    </w:p>
    <w:p>
      <w:pPr>
        <w:spacing w:line="580" w:lineRule="exact"/>
        <w:ind w:firstLine="640"/>
        <w:jc w:val="both"/>
      </w:pPr>
      <w:r>
        <w:rPr>
          <w:rFonts w:ascii="仿宋_GB2312" w:hAnsi="仿宋_GB2312" w:eastAsia="仿宋_GB2312"/>
          <w:sz w:val="32"/>
        </w:rPr>
        <w:t>（6）会同有关部门拟订企业事业单位人员工资收入分配制度改革实施意见，促进建立企事业单位人员工资正常增长和支付保障机制。执行自治区机关企事业单位人员福利和离退休政策。</w:t>
      </w:r>
    </w:p>
    <w:p>
      <w:pPr>
        <w:spacing w:line="580" w:lineRule="exact"/>
        <w:ind w:firstLine="640"/>
        <w:jc w:val="both"/>
      </w:pPr>
      <w:r>
        <w:rPr>
          <w:rFonts w:ascii="仿宋_GB2312" w:hAnsi="仿宋_GB2312" w:eastAsia="仿宋_GB2312"/>
          <w:sz w:val="32"/>
        </w:rPr>
        <w:t>（7）会同有关部门指导事业单位人事制度改革，落实事业单位人员和机关工勤人员管理政策，参与人才管理工作，落实专业技术人员管理和继续教育政策。推进深化职称制度改革工作。负责专业技术人才选拔、培养和博士后管理工作，贯彻落实自治区国（境）外专家、留学人员来疆（回疆）工作和定居政策。会同相关部门做好高层次人才和紧缺人才引进工作。</w:t>
      </w:r>
    </w:p>
    <w:p>
      <w:pPr>
        <w:spacing w:line="580" w:lineRule="exact"/>
        <w:ind w:firstLine="640"/>
        <w:jc w:val="both"/>
      </w:pPr>
      <w:r>
        <w:rPr>
          <w:rFonts w:ascii="仿宋_GB2312" w:hAnsi="仿宋_GB2312" w:eastAsia="仿宋_GB2312"/>
          <w:sz w:val="32"/>
        </w:rPr>
        <w:t>（8）会同有关部门落实自治区农民工工作综合性政策和规划，协调解决重点难点问题，维护农民工合法权益。</w:t>
      </w:r>
    </w:p>
    <w:p>
      <w:pPr>
        <w:spacing w:line="580" w:lineRule="exact"/>
        <w:ind w:firstLine="640"/>
        <w:jc w:val="both"/>
      </w:pPr>
      <w:r>
        <w:rPr>
          <w:rFonts w:ascii="仿宋_GB2312" w:hAnsi="仿宋_GB2312" w:eastAsia="仿宋_GB2312"/>
          <w:sz w:val="32"/>
        </w:rPr>
        <w:t>（9）受理全县人力资源和社会保障方面信访事项；会同有关部门协调处理有关劳动、人事方面的重大信访事件或突发事件。</w:t>
      </w:r>
    </w:p>
    <w:p>
      <w:pPr>
        <w:spacing w:line="580" w:lineRule="exact"/>
        <w:ind w:firstLine="640"/>
        <w:jc w:val="both"/>
      </w:pPr>
      <w:r>
        <w:rPr>
          <w:rFonts w:ascii="仿宋_GB2312" w:hAnsi="仿宋_GB2312" w:eastAsia="仿宋_GB2312"/>
          <w:sz w:val="32"/>
        </w:rPr>
        <w:t>（10）统筹实施劳动、人事争议调解仲裁制度。贯彻落实劳动关系政策，完善劳动关系协调机制。监督落实消除非法使用童工政策和女工、未成年工的特殊劳动保护政策。组织实施劳动监察，协调劳动者维权工作，依法查处重大案件。</w:t>
      </w:r>
    </w:p>
    <w:p>
      <w:pPr>
        <w:spacing w:line="580" w:lineRule="exact"/>
        <w:ind w:firstLine="640"/>
        <w:jc w:val="both"/>
      </w:pPr>
      <w:r>
        <w:rPr>
          <w:rFonts w:ascii="仿宋_GB2312" w:hAnsi="仿宋_GB2312" w:eastAsia="仿宋_GB2312"/>
          <w:sz w:val="32"/>
        </w:rPr>
        <w:t>（11）承办县委、政府交办的其他事项。</w:t>
      </w:r>
    </w:p>
    <w:p>
      <w:pPr>
        <w:spacing w:line="640" w:lineRule="exact"/>
        <w:ind w:firstLine="640"/>
        <w:jc w:val="both"/>
        <w:outlineLvl w:val="2"/>
      </w:pPr>
      <w:r>
        <w:rPr>
          <w:rFonts w:ascii="黑体" w:hAnsi="黑体" w:eastAsia="黑体"/>
          <w:sz w:val="32"/>
        </w:rPr>
        <w:t>二、机构设置及人员情况</w:t>
      </w:r>
    </w:p>
    <w:p>
      <w:pPr>
        <w:spacing w:line="580" w:lineRule="exact"/>
        <w:ind w:firstLine="640"/>
        <w:jc w:val="both"/>
      </w:pPr>
      <w:r>
        <w:rPr>
          <w:rFonts w:ascii="仿宋_GB2312" w:hAnsi="仿宋_GB2312" w:eastAsia="仿宋_GB2312"/>
          <w:sz w:val="32"/>
        </w:rPr>
        <w:t>特克斯县人力资源和社会保障局2024年度，实有人数74人，其中：在职人员37人，减少3人；离休人员0人，增加0人；退休人员37人,增加1人。</w:t>
      </w:r>
    </w:p>
    <w:p>
      <w:pPr>
        <w:spacing w:line="580" w:lineRule="exact"/>
        <w:ind w:firstLine="640"/>
        <w:jc w:val="both"/>
      </w:pPr>
      <w:r>
        <w:rPr>
          <w:rFonts w:ascii="仿宋_GB2312" w:hAnsi="仿宋_GB2312" w:eastAsia="仿宋_GB2312"/>
          <w:sz w:val="32"/>
        </w:rPr>
        <w:t>从部门决算单位构成看，特克斯县人力资源和社会保障局单位决算包括：特克斯县人力资源和社会保障局（本级）决算及所属单位决算。</w:t>
      </w:r>
    </w:p>
    <w:p>
      <w:pPr>
        <w:spacing w:line="580" w:lineRule="exact"/>
        <w:ind w:firstLine="640"/>
        <w:jc w:val="both"/>
      </w:pPr>
      <w:r>
        <w:rPr>
          <w:rFonts w:ascii="仿宋_GB2312" w:hAnsi="仿宋_GB2312" w:eastAsia="仿宋_GB2312"/>
          <w:sz w:val="32"/>
        </w:rPr>
        <w:t>特克斯县人力资源和社会保障局本级下设13个科室，分别是：办公室、财务室、执法科、职业教育培训中心、劳动人事争议仲裁院、职业技能鉴定所、就业开发办公室、农业富余劳动力转移办公室、小额贷款担保中心、征缴科、待遇支付科、信息科、稽核科。。</w:t>
      </w:r>
    </w:p>
    <w:p>
      <w:pPr>
        <w:spacing w:line="580" w:lineRule="exact"/>
        <w:ind w:firstLine="640"/>
        <w:jc w:val="both"/>
      </w:pPr>
      <w:r>
        <w:rPr>
          <w:rFonts w:ascii="仿宋_GB2312" w:hAnsi="仿宋_GB2312" w:eastAsia="仿宋_GB2312"/>
          <w:sz w:val="32"/>
        </w:rPr>
        <w:t>纳入特克斯县人力资源和社会保障局2024年度单位决算编制范围的下属预算单位包括：</w:t>
      </w:r>
    </w:p>
    <w:p>
      <w:pPr>
        <w:spacing w:line="580" w:lineRule="exact"/>
        <w:ind w:firstLine="640"/>
        <w:jc w:val="both"/>
      </w:pPr>
      <w:r>
        <w:rPr>
          <w:rFonts w:ascii="仿宋_GB2312" w:hAnsi="仿宋_GB2312" w:eastAsia="仿宋_GB2312"/>
          <w:sz w:val="32"/>
        </w:rPr>
        <w:t>1. 特克斯县社会保险管理局</w:t>
      </w:r>
    </w:p>
    <w:p>
      <w:r>
        <w:br w:type="page"/>
      </w:r>
    </w:p>
    <w:p>
      <w:pPr>
        <w:spacing w:line="240" w:lineRule="auto"/>
        <w:jc w:val="center"/>
        <w:outlineLvl w:val="1"/>
      </w:pPr>
      <w:r>
        <w:rPr>
          <w:rFonts w:ascii="黑体" w:hAnsi="黑体" w:eastAsia="黑体"/>
          <w:sz w:val="32"/>
        </w:rPr>
        <w:t>第二部分 部门决算情况说明</w:t>
      </w:r>
    </w:p>
    <w:p>
      <w:pPr>
        <w:spacing w:line="640" w:lineRule="exact"/>
        <w:ind w:firstLine="640"/>
        <w:jc w:val="both"/>
        <w:outlineLvl w:val="2"/>
      </w:pPr>
      <w:r>
        <w:rPr>
          <w:rFonts w:ascii="黑体" w:hAnsi="黑体" w:eastAsia="黑体"/>
          <w:sz w:val="32"/>
        </w:rPr>
        <w:t>一、收入支出决算总体情况说明</w:t>
      </w:r>
    </w:p>
    <w:p>
      <w:pPr>
        <w:spacing w:line="580" w:lineRule="exact"/>
        <w:ind w:firstLine="640"/>
        <w:jc w:val="both"/>
      </w:pPr>
      <w:r>
        <w:rPr>
          <w:rFonts w:ascii="仿宋_GB2312" w:hAnsi="仿宋_GB2312" w:eastAsia="仿宋_GB2312"/>
          <w:b/>
          <w:sz w:val="32"/>
        </w:rPr>
        <w:t>2024年度收入总计7,349.31万元，</w:t>
      </w:r>
      <w:r>
        <w:rPr>
          <w:rFonts w:ascii="仿宋_GB2312" w:hAnsi="仿宋_GB2312" w:eastAsia="仿宋_GB2312"/>
          <w:b w:val="0"/>
          <w:sz w:val="32"/>
        </w:rPr>
        <w:t>其中：本年收入合计7,349.31万元，使用非财政拨款结余（含专用结余）0.00万元，年初结转和结余0.00万元。</w:t>
      </w:r>
    </w:p>
    <w:p>
      <w:pPr>
        <w:spacing w:line="580" w:lineRule="exact"/>
        <w:ind w:firstLine="640"/>
        <w:jc w:val="both"/>
      </w:pPr>
      <w:r>
        <w:rPr>
          <w:rFonts w:ascii="仿宋_GB2312" w:hAnsi="仿宋_GB2312" w:eastAsia="仿宋_GB2312"/>
          <w:b/>
          <w:sz w:val="32"/>
        </w:rPr>
        <w:t>2024年度支出总计7,349.31万元，</w:t>
      </w:r>
      <w:r>
        <w:rPr>
          <w:rFonts w:ascii="仿宋_GB2312" w:hAnsi="仿宋_GB2312" w:eastAsia="仿宋_GB2312"/>
          <w:b w:val="0"/>
          <w:sz w:val="32"/>
        </w:rPr>
        <w:t>其中：本年支出合计7,349.31万元，结余分配0.00万元，年末结转和结余0.00万元。</w:t>
      </w:r>
    </w:p>
    <w:p>
      <w:pPr>
        <w:spacing w:line="580" w:lineRule="exact"/>
        <w:ind w:firstLine="640"/>
        <w:jc w:val="both"/>
      </w:pPr>
      <w:r>
        <w:rPr>
          <w:rFonts w:ascii="仿宋_GB2312" w:hAnsi="仿宋_GB2312" w:eastAsia="仿宋_GB2312"/>
          <w:b w:val="0"/>
          <w:sz w:val="32"/>
        </w:rPr>
        <w:t>收入支出总体与上年相比，</w:t>
      </w:r>
      <w:r>
        <w:rPr>
          <w:rFonts w:ascii="仿宋_GB2312" w:hAnsi="仿宋_GB2312" w:eastAsia="仿宋_GB2312"/>
          <w:b w:val="0"/>
          <w:sz w:val="32"/>
        </w:rPr>
        <w:t>增加4,454.70万元，增长153.90%，主要原因是：本年增加财政拨款劳动保障监察劳动争议调解仲裁经费、特克斯县技工学校教育基地建设项目、五个好党支部示范点补助经费，非财政拨款增加援疆资金（2024年劳动力转移就业保障项目）、援疆资金公用经费补助（零工市场）、五个好党支部示范点补助经费。</w:t>
      </w:r>
    </w:p>
    <w:p>
      <w:pPr>
        <w:spacing w:line="640" w:lineRule="exact"/>
        <w:ind w:firstLine="640"/>
        <w:jc w:val="both"/>
        <w:outlineLvl w:val="2"/>
      </w:pPr>
      <w:r>
        <w:rPr>
          <w:rFonts w:ascii="黑体" w:hAnsi="黑体" w:eastAsia="黑体"/>
          <w:sz w:val="32"/>
        </w:rPr>
        <w:t>二、收入决算情况说明</w:t>
      </w:r>
    </w:p>
    <w:p>
      <w:pPr>
        <w:spacing w:line="580" w:lineRule="exact"/>
        <w:ind w:firstLine="640"/>
        <w:jc w:val="both"/>
      </w:pPr>
      <w:r>
        <w:rPr>
          <w:rFonts w:ascii="仿宋_GB2312" w:hAnsi="仿宋_GB2312" w:eastAsia="仿宋_GB2312"/>
          <w:b/>
          <w:sz w:val="32"/>
        </w:rPr>
        <w:t>本年收入7,349.31万元，</w:t>
      </w:r>
      <w:r>
        <w:rPr>
          <w:rFonts w:ascii="仿宋_GB2312" w:hAnsi="仿宋_GB2312" w:eastAsia="仿宋_GB2312"/>
          <w:b w:val="0"/>
          <w:sz w:val="32"/>
        </w:rPr>
        <w:t>其中：财政拨款收入7,312.41万元，占99.50%；上级补助收入0.00万元，占0.00%；事业收入0.00万元，占0.00%；经营收入0.00万元，占0.00%；附属单位上缴收入0.00万元，占0.00%；其他收入36.89万元，占0.50%。</w:t>
      </w:r>
    </w:p>
    <w:p>
      <w:pPr>
        <w:spacing w:line="640" w:lineRule="exact"/>
        <w:ind w:firstLine="640"/>
        <w:jc w:val="both"/>
        <w:outlineLvl w:val="2"/>
      </w:pPr>
      <w:r>
        <w:rPr>
          <w:rFonts w:ascii="黑体" w:hAnsi="黑体" w:eastAsia="黑体"/>
          <w:sz w:val="32"/>
        </w:rPr>
        <w:t>三、支出决算情况说明</w:t>
      </w:r>
    </w:p>
    <w:p>
      <w:pPr>
        <w:spacing w:line="580" w:lineRule="exact"/>
        <w:ind w:firstLine="640"/>
        <w:jc w:val="both"/>
      </w:pPr>
      <w:r>
        <w:rPr>
          <w:rFonts w:ascii="仿宋_GB2312" w:hAnsi="仿宋_GB2312" w:eastAsia="仿宋_GB2312"/>
          <w:b/>
          <w:sz w:val="32"/>
        </w:rPr>
        <w:t>本年支出7,349.31万元，</w:t>
      </w:r>
      <w:r>
        <w:rPr>
          <w:rFonts w:ascii="仿宋_GB2312" w:hAnsi="仿宋_GB2312" w:eastAsia="仿宋_GB2312"/>
          <w:b w:val="0"/>
          <w:sz w:val="32"/>
        </w:rPr>
        <w:t>其中：基本支出676.70万元，占9.21%；项目支出6,672.60万元，占90.79%；上缴上级支出0.00万元，占0.00%；经营支出0.00万元，占0.00%；对附属单位补助支出0.00万元，占0.00%。</w:t>
      </w:r>
    </w:p>
    <w:p>
      <w:pPr>
        <w:spacing w:line="640" w:lineRule="exact"/>
        <w:ind w:firstLine="640"/>
        <w:jc w:val="both"/>
        <w:outlineLvl w:val="2"/>
      </w:pPr>
      <w:r>
        <w:rPr>
          <w:rFonts w:ascii="黑体" w:hAnsi="黑体" w:eastAsia="黑体"/>
          <w:sz w:val="32"/>
        </w:rPr>
        <w:t>四、财政拨款收入支出决算总体情况说明</w:t>
      </w:r>
    </w:p>
    <w:p>
      <w:pPr>
        <w:spacing w:line="580" w:lineRule="exact"/>
        <w:ind w:firstLine="640"/>
        <w:jc w:val="both"/>
      </w:pPr>
      <w:r>
        <w:rPr>
          <w:rFonts w:ascii="仿宋_GB2312" w:hAnsi="仿宋_GB2312" w:eastAsia="仿宋_GB2312"/>
          <w:b/>
          <w:sz w:val="32"/>
        </w:rPr>
        <w:t>2024年度财政拨款收入总计7,312.41万元，</w:t>
      </w:r>
      <w:r>
        <w:rPr>
          <w:rFonts w:ascii="仿宋_GB2312" w:hAnsi="仿宋_GB2312" w:eastAsia="仿宋_GB2312"/>
          <w:b w:val="0"/>
          <w:sz w:val="32"/>
        </w:rPr>
        <w:t>其中：年初财政拨款结转和结余0.00万元，本年财政拨款收入7,312.41万元。</w:t>
      </w:r>
      <w:r>
        <w:rPr>
          <w:rFonts w:ascii="仿宋_GB2312" w:hAnsi="仿宋_GB2312" w:eastAsia="仿宋_GB2312"/>
          <w:b/>
          <w:sz w:val="32"/>
        </w:rPr>
        <w:t>财政拨款支出总计7,312.41万元，</w:t>
      </w:r>
      <w:r>
        <w:rPr>
          <w:rFonts w:ascii="仿宋_GB2312" w:hAnsi="仿宋_GB2312" w:eastAsia="仿宋_GB2312"/>
          <w:b w:val="0"/>
          <w:sz w:val="32"/>
        </w:rPr>
        <w:t>其中：年末财政拨款结转和结余0.00万元，本年财政拨款支出7,312.41万元。</w:t>
      </w:r>
    </w:p>
    <w:p>
      <w:pPr>
        <w:spacing w:line="580" w:lineRule="exact"/>
        <w:ind w:firstLine="640"/>
        <w:jc w:val="both"/>
      </w:pPr>
      <w:r>
        <w:rPr>
          <w:rFonts w:ascii="仿宋_GB2312" w:hAnsi="仿宋_GB2312" w:eastAsia="仿宋_GB2312"/>
          <w:b/>
          <w:sz w:val="32"/>
        </w:rPr>
        <w:t>财政拨款收入支出总体与上年相比，</w:t>
      </w:r>
      <w:r>
        <w:rPr>
          <w:rFonts w:ascii="仿宋_GB2312" w:hAnsi="仿宋_GB2312" w:eastAsia="仿宋_GB2312"/>
          <w:b w:val="0"/>
          <w:sz w:val="32"/>
        </w:rPr>
        <w:t>增加4,417.80万元，增长152.62%，主要原因是：本年增加劳动保障监察劳动争议调解仲裁经费、特克斯县技工学校教育基地建设项目、五个好党支部示范点补助经费。</w:t>
      </w:r>
      <w:r>
        <w:rPr>
          <w:rFonts w:ascii="仿宋_GB2312" w:hAnsi="仿宋_GB2312" w:eastAsia="仿宋_GB2312"/>
          <w:b/>
          <w:sz w:val="32"/>
        </w:rPr>
        <w:t>与年初预算相比，</w:t>
      </w:r>
      <w:r>
        <w:rPr>
          <w:rFonts w:ascii="仿宋_GB2312" w:hAnsi="仿宋_GB2312" w:eastAsia="仿宋_GB2312"/>
          <w:b w:val="0"/>
          <w:sz w:val="32"/>
        </w:rPr>
        <w:t>年初预算数1,820.33万元，决算数7,312.41万元，预决算差异率301.71%，主要原因是：年中追加劳动保障监察劳动争议调解仲裁经费、特克斯县技工学校教育基地建设项目、企业退休人员生活补贴项目、“三支一扶”人员经费项目、被征地农民参保补贴资金，导致预决算存在差异。</w:t>
      </w:r>
    </w:p>
    <w:p>
      <w:pPr>
        <w:spacing w:line="640" w:lineRule="exact"/>
        <w:ind w:firstLine="640"/>
        <w:jc w:val="both"/>
        <w:outlineLvl w:val="2"/>
      </w:pPr>
      <w:r>
        <w:rPr>
          <w:rFonts w:ascii="黑体" w:hAnsi="黑体" w:eastAsia="黑体"/>
          <w:sz w:val="32"/>
        </w:rPr>
        <w:t>五、一般公共预算财政拨款支出决算情况说明</w:t>
      </w:r>
    </w:p>
    <w:p>
      <w:pPr>
        <w:spacing w:line="640" w:lineRule="exact"/>
        <w:ind w:firstLine="640"/>
        <w:jc w:val="both"/>
        <w:outlineLvl w:val="3"/>
      </w:pPr>
      <w:r>
        <w:rPr>
          <w:rFonts w:ascii="楷体_GB2312" w:hAnsi="楷体_GB2312" w:eastAsia="楷体_GB2312"/>
          <w:b/>
          <w:sz w:val="32"/>
        </w:rPr>
        <w:t>（一）一般公共预算财政拨款支出决算总体情况</w:t>
      </w:r>
    </w:p>
    <w:p>
      <w:pPr>
        <w:spacing w:line="580" w:lineRule="exact"/>
        <w:ind w:firstLine="640"/>
        <w:jc w:val="both"/>
      </w:pPr>
      <w:r>
        <w:rPr>
          <w:rFonts w:ascii="仿宋_GB2312" w:hAnsi="仿宋_GB2312" w:eastAsia="仿宋_GB2312"/>
          <w:b/>
          <w:sz w:val="32"/>
        </w:rPr>
        <w:t>2024年度一般公共预算财政拨款支出7,260.49万元，</w:t>
      </w:r>
      <w:r>
        <w:rPr>
          <w:rFonts w:ascii="仿宋_GB2312" w:hAnsi="仿宋_GB2312" w:eastAsia="仿宋_GB2312"/>
          <w:b w:val="0"/>
          <w:sz w:val="32"/>
        </w:rPr>
        <w:t>占本年支出合计的98.79%。</w:t>
      </w:r>
      <w:r>
        <w:rPr>
          <w:rFonts w:ascii="仿宋_GB2312" w:hAnsi="仿宋_GB2312" w:eastAsia="仿宋_GB2312"/>
          <w:b/>
          <w:sz w:val="32"/>
        </w:rPr>
        <w:t>与上年相比，</w:t>
      </w:r>
      <w:r>
        <w:rPr>
          <w:rFonts w:ascii="仿宋_GB2312" w:hAnsi="仿宋_GB2312" w:eastAsia="仿宋_GB2312"/>
          <w:b w:val="0"/>
          <w:sz w:val="32"/>
        </w:rPr>
        <w:t>增加4,617.61万元，增长174.72%，主要原因是：本年增加劳动保障监察劳动争议调解仲裁经费、特克斯县技工学校教育基地建设项目、五个好党支部示范点补助经费。</w:t>
      </w:r>
      <w:r>
        <w:rPr>
          <w:rFonts w:ascii="仿宋_GB2312" w:hAnsi="仿宋_GB2312" w:eastAsia="仿宋_GB2312"/>
          <w:b/>
          <w:sz w:val="32"/>
        </w:rPr>
        <w:t>与年初预算相比,</w:t>
      </w:r>
      <w:r>
        <w:rPr>
          <w:rFonts w:ascii="仿宋_GB2312" w:hAnsi="仿宋_GB2312" w:eastAsia="仿宋_GB2312"/>
          <w:b w:val="0"/>
          <w:sz w:val="32"/>
        </w:rPr>
        <w:t>年初预算数1,780.33万元，决算数7,260.49万元，预决算差异率307.82%，主要原因是：年中追加劳动保障监察劳动争议调解仲裁经费、特克斯县技工学校教育基地建设项目、“三支一扶”人员经费项目，导致预决算存在差异。</w:t>
      </w:r>
    </w:p>
    <w:p>
      <w:pPr>
        <w:spacing w:line="640" w:lineRule="exact"/>
        <w:ind w:firstLine="640"/>
        <w:jc w:val="both"/>
        <w:outlineLvl w:val="3"/>
      </w:pPr>
      <w:r>
        <w:rPr>
          <w:rFonts w:ascii="楷体_GB2312" w:hAnsi="楷体_GB2312" w:eastAsia="楷体_GB2312"/>
          <w:b/>
          <w:sz w:val="32"/>
        </w:rPr>
        <w:t>（二）一般公共预算财政拨款支出决算结构情况</w:t>
      </w:r>
    </w:p>
    <w:p>
      <w:pPr>
        <w:spacing w:line="580" w:lineRule="exact"/>
        <w:ind w:firstLine="640"/>
        <w:jc w:val="both"/>
      </w:pPr>
      <w:r>
        <w:rPr>
          <w:rFonts w:ascii="仿宋_GB2312" w:hAnsi="仿宋_GB2312" w:eastAsia="仿宋_GB2312"/>
          <w:b w:val="0"/>
          <w:sz w:val="32"/>
        </w:rPr>
        <w:t>1.社会保障和就业支出(类)7,115.46万元,占98.00%。</w:t>
      </w:r>
    </w:p>
    <w:p>
      <w:pPr>
        <w:spacing w:line="580" w:lineRule="exact"/>
        <w:ind w:firstLine="640"/>
        <w:jc w:val="both"/>
      </w:pPr>
      <w:r>
        <w:rPr>
          <w:rFonts w:ascii="仿宋_GB2312" w:hAnsi="仿宋_GB2312" w:eastAsia="仿宋_GB2312"/>
          <w:b w:val="0"/>
          <w:sz w:val="32"/>
        </w:rPr>
        <w:t>2.卫生健康支出(类)27.68万元,占0.38%。</w:t>
      </w:r>
    </w:p>
    <w:p>
      <w:pPr>
        <w:spacing w:line="580" w:lineRule="exact"/>
        <w:ind w:firstLine="640"/>
        <w:jc w:val="both"/>
      </w:pPr>
      <w:r>
        <w:rPr>
          <w:rFonts w:ascii="仿宋_GB2312" w:hAnsi="仿宋_GB2312" w:eastAsia="仿宋_GB2312"/>
          <w:b w:val="0"/>
          <w:sz w:val="32"/>
        </w:rPr>
        <w:t>3.农林水支出(类)68.48万元,占0.94%。</w:t>
      </w:r>
    </w:p>
    <w:p>
      <w:pPr>
        <w:spacing w:line="580" w:lineRule="exact"/>
        <w:ind w:firstLine="640"/>
        <w:jc w:val="both"/>
      </w:pPr>
      <w:r>
        <w:rPr>
          <w:rFonts w:ascii="仿宋_GB2312" w:hAnsi="仿宋_GB2312" w:eastAsia="仿宋_GB2312"/>
          <w:b w:val="0"/>
          <w:sz w:val="32"/>
        </w:rPr>
        <w:t>4.住房保障支出(类)48.87万元,占0.67%。</w:t>
      </w:r>
    </w:p>
    <w:p>
      <w:pPr>
        <w:spacing w:line="640" w:lineRule="exact"/>
        <w:ind w:firstLine="640"/>
        <w:jc w:val="both"/>
        <w:outlineLvl w:val="3"/>
      </w:pPr>
      <w:r>
        <w:rPr>
          <w:rFonts w:ascii="楷体_GB2312" w:hAnsi="楷体_GB2312" w:eastAsia="楷体_GB2312"/>
          <w:b/>
          <w:sz w:val="32"/>
        </w:rPr>
        <w:t>（三）一般公共预算财政拨款支出决算具体情况</w:t>
      </w:r>
    </w:p>
    <w:p>
      <w:pPr>
        <w:spacing w:line="580" w:lineRule="exact"/>
        <w:ind w:firstLine="640"/>
        <w:jc w:val="both"/>
      </w:pPr>
      <w:r>
        <w:rPr>
          <w:rFonts w:ascii="仿宋_GB2312" w:hAnsi="仿宋_GB2312" w:eastAsia="仿宋_GB2312"/>
          <w:b w:val="0"/>
          <w:sz w:val="32"/>
        </w:rPr>
        <w:t>1.社会保障和就业支出(类)人力资源和社会保障管理事务(款)行政运行(项):支出决算数为488.72万元，比上年决算减少2.32万元，下降0.47%,主要原因是：本年在职人员减少，相应人员经费较上年减少。</w:t>
      </w:r>
    </w:p>
    <w:p>
      <w:pPr>
        <w:spacing w:line="580" w:lineRule="exact"/>
        <w:ind w:firstLine="640"/>
        <w:jc w:val="both"/>
      </w:pPr>
      <w:r>
        <w:rPr>
          <w:rFonts w:ascii="仿宋_GB2312" w:hAnsi="仿宋_GB2312" w:eastAsia="仿宋_GB2312"/>
          <w:b w:val="0"/>
          <w:sz w:val="32"/>
        </w:rPr>
        <w:t>2.社会保障和就业支出(类)人力资源和社会保障管理事务(款)劳动保障监察(项):支出决算数为4.50万元，比上年决算增加4.50万元，增长100.00%,主要原因是：本年增加劳动保障监察劳动争议调解仲裁经费。</w:t>
      </w:r>
    </w:p>
    <w:p>
      <w:pPr>
        <w:spacing w:line="580" w:lineRule="exact"/>
        <w:ind w:firstLine="640"/>
        <w:jc w:val="both"/>
      </w:pPr>
      <w:r>
        <w:rPr>
          <w:rFonts w:ascii="仿宋_GB2312" w:hAnsi="仿宋_GB2312" w:eastAsia="仿宋_GB2312"/>
          <w:b w:val="0"/>
          <w:sz w:val="32"/>
        </w:rPr>
        <w:t>3.社会保障和就业支出(类)人力资源和社会保障管理事务(款)社会保险经办机构(项):支出决算数为5.00万元，比上年决算增加0.00万元，增长0.00%,主要原因是：社会保险经办机构业务补助经费较上年未发生变化。</w:t>
      </w:r>
    </w:p>
    <w:p>
      <w:pPr>
        <w:spacing w:line="580" w:lineRule="exact"/>
        <w:ind w:firstLine="640"/>
        <w:jc w:val="both"/>
      </w:pPr>
      <w:r>
        <w:rPr>
          <w:rFonts w:ascii="仿宋_GB2312" w:hAnsi="仿宋_GB2312" w:eastAsia="仿宋_GB2312"/>
          <w:b w:val="0"/>
          <w:sz w:val="32"/>
        </w:rPr>
        <w:t>4.社会保障和就业支出(类)人力资源和社会保障管理事务(款)其他人力资源和社会保障管理事务支出(项):支出决算数为5,232.85万元，比上年决算增加5,005.61万元，增长2,202.79%,主要原因是：本年增加特克斯县技工学校教育基地建设项目。</w:t>
      </w:r>
    </w:p>
    <w:p>
      <w:pPr>
        <w:spacing w:line="580" w:lineRule="exact"/>
        <w:ind w:firstLine="640"/>
        <w:jc w:val="both"/>
      </w:pPr>
      <w:r>
        <w:rPr>
          <w:rFonts w:ascii="仿宋_GB2312" w:hAnsi="仿宋_GB2312" w:eastAsia="仿宋_GB2312"/>
          <w:b w:val="0"/>
          <w:sz w:val="32"/>
        </w:rPr>
        <w:t>5.社会保障和就业支出(类)行政事业单位养老支出(款)机关事业单位基本养老保险缴费支出(项):支出决算数为62.77万元，比上年决算增加3.07万元，增长5.14%,主要原因是：本年在职人员工资基数调增，养老缴费基数上涨，相应支出增加。</w:t>
      </w:r>
    </w:p>
    <w:p>
      <w:pPr>
        <w:spacing w:line="580" w:lineRule="exact"/>
        <w:ind w:firstLine="640"/>
        <w:jc w:val="both"/>
      </w:pPr>
      <w:r>
        <w:rPr>
          <w:rFonts w:ascii="仿宋_GB2312" w:hAnsi="仿宋_GB2312" w:eastAsia="仿宋_GB2312"/>
          <w:b w:val="0"/>
          <w:sz w:val="32"/>
        </w:rPr>
        <w:t>6.社会保障和就业支出(类)行政事业单位养老支出(款)机关事业单位职业年金缴费支出(项):支出决算数为24.42万元，比上年决算增加16.70万元，增长216.32%,主要原因是：本年新增退休人员，职业年金缴费支出增加。</w:t>
      </w:r>
    </w:p>
    <w:p>
      <w:pPr>
        <w:spacing w:line="580" w:lineRule="exact"/>
        <w:ind w:firstLine="640"/>
        <w:jc w:val="both"/>
      </w:pPr>
      <w:r>
        <w:rPr>
          <w:rFonts w:ascii="仿宋_GB2312" w:hAnsi="仿宋_GB2312" w:eastAsia="仿宋_GB2312"/>
          <w:b w:val="0"/>
          <w:sz w:val="32"/>
        </w:rPr>
        <w:t>7.社会保障和就业支出(类)企业改革补助(款)其他企业改革发展补助(项):支出决算数为30.54万元，比上年决算增加30.54万元，增长100.00%,主要原因是：本年度增加国有企业办中小学退休教师待遇补差经费、国有企业办职教幼教退休教师各项补贴经费、1995 年前退休（退职）人员生活补贴资金。</w:t>
      </w:r>
    </w:p>
    <w:p>
      <w:pPr>
        <w:spacing w:line="580" w:lineRule="exact"/>
        <w:ind w:firstLine="640"/>
        <w:jc w:val="both"/>
      </w:pPr>
      <w:r>
        <w:rPr>
          <w:rFonts w:ascii="仿宋_GB2312" w:hAnsi="仿宋_GB2312" w:eastAsia="仿宋_GB2312"/>
          <w:b w:val="0"/>
          <w:sz w:val="32"/>
        </w:rPr>
        <w:t>8.社会保障和就业支出(类)就业补助(款)社会保险补贴(项):支出决算数为598.32万元，比上年决算增加69.03万元，增长13.04%,主要原因是：发放灵活就业社保补贴、自主创业社保补贴、企业退休人员生活补贴较上年增长。</w:t>
      </w:r>
    </w:p>
    <w:p>
      <w:pPr>
        <w:spacing w:line="580" w:lineRule="exact"/>
        <w:ind w:firstLine="640"/>
        <w:jc w:val="both"/>
      </w:pPr>
      <w:r>
        <w:rPr>
          <w:rFonts w:ascii="仿宋_GB2312" w:hAnsi="仿宋_GB2312" w:eastAsia="仿宋_GB2312"/>
          <w:b w:val="0"/>
          <w:sz w:val="32"/>
        </w:rPr>
        <w:t>9.社会保障和就业支出(类)就业补助(款)公益性岗位补贴(项):支出决算数为568.67万元，比上年决算增加80.11万元，增长16.40%,主要原因是：本年度公益性岗位补贴标准上涨，发放公益性岗位补贴较上年增长。</w:t>
      </w:r>
    </w:p>
    <w:p>
      <w:pPr>
        <w:spacing w:line="580" w:lineRule="exact"/>
        <w:ind w:firstLine="640"/>
        <w:jc w:val="both"/>
      </w:pPr>
      <w:r>
        <w:rPr>
          <w:rFonts w:ascii="仿宋_GB2312" w:hAnsi="仿宋_GB2312" w:eastAsia="仿宋_GB2312"/>
          <w:b w:val="0"/>
          <w:sz w:val="32"/>
        </w:rPr>
        <w:t>10.社会保障和就业支出(类)就业补助(款)就业见习补贴(项):支出决算数为54.21万元，比上年决算增加9.86万元，增长22.23%,主要原因是：本年度就业见习补贴标准上涨，发放补贴较上年增长。</w:t>
      </w:r>
    </w:p>
    <w:p>
      <w:pPr>
        <w:spacing w:line="580" w:lineRule="exact"/>
        <w:ind w:firstLine="640"/>
        <w:jc w:val="both"/>
      </w:pPr>
      <w:r>
        <w:rPr>
          <w:rFonts w:ascii="仿宋_GB2312" w:hAnsi="仿宋_GB2312" w:eastAsia="仿宋_GB2312"/>
          <w:b w:val="0"/>
          <w:sz w:val="32"/>
        </w:rPr>
        <w:t>11.社会保障和就业支出(类)就业补助(款)促进创业补贴(项):支出决算数为0.20万元，比上年决算减少1.10万元，下降84.62%,主要原因是：本年度申请自主创业补贴人数减少，发放补贴较上年减少。</w:t>
      </w:r>
    </w:p>
    <w:p>
      <w:pPr>
        <w:spacing w:line="580" w:lineRule="exact"/>
        <w:ind w:firstLine="640"/>
        <w:jc w:val="both"/>
      </w:pPr>
      <w:r>
        <w:rPr>
          <w:rFonts w:ascii="仿宋_GB2312" w:hAnsi="仿宋_GB2312" w:eastAsia="仿宋_GB2312"/>
          <w:b w:val="0"/>
          <w:sz w:val="32"/>
        </w:rPr>
        <w:t>12.社会保障和就业支出(类)就业补助(款)其他就业补助支出(项):支出决算数为21.03万元，比上年决算减少508.08万元，下降96.03%,主要原因是：本年度自治区就业补助较上年减少，职业技能培训补贴发放金额减少。</w:t>
      </w:r>
    </w:p>
    <w:p>
      <w:pPr>
        <w:spacing w:line="580" w:lineRule="exact"/>
        <w:ind w:firstLine="640"/>
        <w:jc w:val="both"/>
      </w:pPr>
      <w:r>
        <w:rPr>
          <w:rFonts w:ascii="仿宋_GB2312" w:hAnsi="仿宋_GB2312" w:eastAsia="仿宋_GB2312"/>
          <w:b w:val="0"/>
          <w:sz w:val="32"/>
        </w:rPr>
        <w:t>13.社会保障和就业支出(类)抚恤(款)死亡抚恤(项):支出决算数为24.24万元，比上年决算增加1.43万元，增长6.27%,主要原因是：本年新增死亡人员，死亡抚恤支出增加。</w:t>
      </w:r>
    </w:p>
    <w:p>
      <w:pPr>
        <w:spacing w:line="580" w:lineRule="exact"/>
        <w:ind w:firstLine="640"/>
        <w:jc w:val="both"/>
      </w:pPr>
      <w:r>
        <w:rPr>
          <w:rFonts w:ascii="仿宋_GB2312" w:hAnsi="仿宋_GB2312" w:eastAsia="仿宋_GB2312"/>
          <w:b w:val="0"/>
          <w:sz w:val="32"/>
        </w:rPr>
        <w:t>14.卫生健康支出(类)行政事业单位医疗(款)行政单位医疗(项):支出决算数为16.39万元，比上年决算减少0.43万元，下降2.56%,主要原因是：本年在职人员减少，行政单位医疗支出较上年减少。</w:t>
      </w:r>
    </w:p>
    <w:p>
      <w:pPr>
        <w:spacing w:line="580" w:lineRule="exact"/>
        <w:ind w:firstLine="640"/>
        <w:jc w:val="both"/>
      </w:pPr>
      <w:r>
        <w:rPr>
          <w:rFonts w:ascii="仿宋_GB2312" w:hAnsi="仿宋_GB2312" w:eastAsia="仿宋_GB2312"/>
          <w:b w:val="0"/>
          <w:sz w:val="32"/>
        </w:rPr>
        <w:t>15.卫生健康支出(类)行政事业单位医疗(款)事业单位医疗(项):支出决算数为10.38万元，比上年决算减少0.38万元，下降3.53%,主要原因是：本年在职人员减少，事业单位医疗支出较上年减少。</w:t>
      </w:r>
    </w:p>
    <w:p>
      <w:pPr>
        <w:spacing w:line="580" w:lineRule="exact"/>
        <w:ind w:firstLine="640"/>
        <w:jc w:val="both"/>
      </w:pPr>
      <w:r>
        <w:rPr>
          <w:rFonts w:ascii="仿宋_GB2312" w:hAnsi="仿宋_GB2312" w:eastAsia="仿宋_GB2312"/>
          <w:b w:val="0"/>
          <w:sz w:val="32"/>
        </w:rPr>
        <w:t>16.卫生健康支出(类)行政事业单位医疗(款)公务员医疗补助(项):支出决算数为0.45万元，比上年决算减少0.13万元，下降22.41%,主要原因是：本年在职公务员人员减少，公务员医疗补助支出较上年减少。</w:t>
      </w:r>
    </w:p>
    <w:p>
      <w:pPr>
        <w:spacing w:line="580" w:lineRule="exact"/>
        <w:ind w:firstLine="640"/>
        <w:jc w:val="both"/>
      </w:pPr>
      <w:r>
        <w:rPr>
          <w:rFonts w:ascii="仿宋_GB2312" w:hAnsi="仿宋_GB2312" w:eastAsia="仿宋_GB2312"/>
          <w:b w:val="0"/>
          <w:sz w:val="32"/>
        </w:rPr>
        <w:t>17.卫生健康支出(类)行政事业单位医疗(款)其他行政事业单位医疗支出(项):支出决算数为0.46万元，比上年决算减少0.42万元，下降47.73%,主要原因是：本年在职人员减少，其他行政事业单位医疗支出较上年减少。</w:t>
      </w:r>
    </w:p>
    <w:p>
      <w:pPr>
        <w:spacing w:line="580" w:lineRule="exact"/>
        <w:ind w:firstLine="640"/>
        <w:jc w:val="both"/>
      </w:pPr>
      <w:r>
        <w:rPr>
          <w:rFonts w:ascii="仿宋_GB2312" w:hAnsi="仿宋_GB2312" w:eastAsia="仿宋_GB2312"/>
          <w:b w:val="0"/>
          <w:sz w:val="32"/>
        </w:rPr>
        <w:t>18.节能环保支出(类)自然生态保护(款)其他自然生态保护支出(项):支出决算数为0.00万元，比上年决算减少7.85万元，下降100.00%,主要原因是：本年度未安排特克斯县技工学校能力提升建设项目使用林地植被恢复费。</w:t>
      </w:r>
    </w:p>
    <w:p>
      <w:pPr>
        <w:spacing w:line="580" w:lineRule="exact"/>
        <w:ind w:firstLine="640"/>
        <w:jc w:val="both"/>
      </w:pPr>
      <w:r>
        <w:rPr>
          <w:rFonts w:ascii="仿宋_GB2312" w:hAnsi="仿宋_GB2312" w:eastAsia="仿宋_GB2312"/>
          <w:b w:val="0"/>
          <w:sz w:val="32"/>
        </w:rPr>
        <w:t>19.农林水支出(类)巩固脱贫攻坚成果衔接乡村振兴(款)生产发展(项):支出决算数为28.48万元，比上年决算增加28.48万元，增长100.00%,主要原因是：本年度新增脱贫人口跨省就业交通补助。</w:t>
      </w:r>
    </w:p>
    <w:p>
      <w:pPr>
        <w:spacing w:line="580" w:lineRule="exact"/>
        <w:ind w:firstLine="640"/>
        <w:jc w:val="both"/>
      </w:pPr>
      <w:r>
        <w:rPr>
          <w:rFonts w:ascii="仿宋_GB2312" w:hAnsi="仿宋_GB2312" w:eastAsia="仿宋_GB2312"/>
          <w:b w:val="0"/>
          <w:sz w:val="32"/>
        </w:rPr>
        <w:t>20.农林水支出(类)普惠金融发展支出(款)创业担保贷款贴息及奖补(项):支出决算数为0.00万元，比上年决算减少11.45万元，下降100.00%,主要原因是：本年度未安排小额担保贷款贴息本级资金。</w:t>
      </w:r>
    </w:p>
    <w:p>
      <w:pPr>
        <w:spacing w:line="580" w:lineRule="exact"/>
        <w:ind w:firstLine="640"/>
        <w:jc w:val="both"/>
      </w:pPr>
      <w:r>
        <w:rPr>
          <w:rFonts w:ascii="仿宋_GB2312" w:hAnsi="仿宋_GB2312" w:eastAsia="仿宋_GB2312"/>
          <w:b w:val="0"/>
          <w:sz w:val="32"/>
        </w:rPr>
        <w:t>21.农林水支出(类)普惠金融发展支出(款)其他普惠金融发展支出(项):支出决算数为40.00万元，比上年决算减少101.26万元，下降71.68%,主要原因是：本年度金融机构申请创业担保贷款贴息资金申请较上年减少。</w:t>
      </w:r>
    </w:p>
    <w:p>
      <w:pPr>
        <w:spacing w:line="580" w:lineRule="exact"/>
        <w:ind w:firstLine="640"/>
        <w:jc w:val="both"/>
      </w:pPr>
      <w:r>
        <w:rPr>
          <w:rFonts w:ascii="仿宋_GB2312" w:hAnsi="仿宋_GB2312" w:eastAsia="仿宋_GB2312"/>
          <w:b w:val="0"/>
          <w:sz w:val="32"/>
        </w:rPr>
        <w:t>22.住房保障支出(类)住房改革支出(款)住房公积金(项):支出决算数为48.87万元，比上年决算增加1.71万元，增长3.63%,主要原因是：本年在职人员工资基数调增，公积金缴费基数上涨，相应支出增加。</w:t>
      </w:r>
    </w:p>
    <w:p>
      <w:pPr>
        <w:spacing w:line="640" w:lineRule="exact"/>
        <w:ind w:firstLine="640"/>
        <w:jc w:val="both"/>
        <w:outlineLvl w:val="2"/>
      </w:pPr>
      <w:r>
        <w:rPr>
          <w:rFonts w:ascii="黑体" w:hAnsi="黑体" w:eastAsia="黑体"/>
          <w:sz w:val="32"/>
        </w:rPr>
        <w:t>六、一般公共预算财政拨款基本支出决算情况说明</w:t>
      </w:r>
    </w:p>
    <w:p>
      <w:pPr>
        <w:spacing w:line="580" w:lineRule="exact"/>
        <w:ind w:firstLine="640"/>
        <w:jc w:val="both"/>
      </w:pPr>
      <w:r>
        <w:rPr>
          <w:rFonts w:ascii="仿宋_GB2312" w:hAnsi="仿宋_GB2312" w:eastAsia="仿宋_GB2312"/>
          <w:b w:val="0"/>
          <w:sz w:val="32"/>
        </w:rPr>
        <w:t>2024年度一般公共预算财政拨款基本支出676.70万元，其中：</w:t>
      </w:r>
      <w:r>
        <w:rPr>
          <w:rFonts w:ascii="仿宋_GB2312" w:hAnsi="仿宋_GB2312" w:eastAsia="仿宋_GB2312"/>
          <w:b/>
          <w:sz w:val="32"/>
        </w:rPr>
        <w:t>人员经费667.31万元，</w:t>
      </w:r>
      <w:r>
        <w:rPr>
          <w:rFonts w:ascii="仿宋_GB2312" w:hAnsi="仿宋_GB2312" w:eastAsia="仿宋_GB2312"/>
          <w:b w:val="0"/>
          <w:sz w:val="32"/>
        </w:rPr>
        <w:t>包括：基本工资、津贴补贴、奖金、绩效工资、机关事业单位基本养老保险缴费、职业年金缴费、职工基本医疗保险缴费、公务员医疗补助缴费、其他社会保障缴费、住房公积金、退休费、抚恤金、生活补助。</w:t>
      </w:r>
    </w:p>
    <w:p>
      <w:pPr>
        <w:spacing w:line="580" w:lineRule="exact"/>
        <w:ind w:firstLine="640"/>
        <w:jc w:val="both"/>
      </w:pPr>
      <w:r>
        <w:rPr>
          <w:rFonts w:ascii="仿宋_GB2312" w:hAnsi="仿宋_GB2312" w:eastAsia="仿宋_GB2312"/>
          <w:b/>
          <w:sz w:val="32"/>
        </w:rPr>
        <w:t>公用经费9.39万元，</w:t>
      </w:r>
      <w:r>
        <w:rPr>
          <w:rFonts w:ascii="仿宋_GB2312" w:hAnsi="仿宋_GB2312" w:eastAsia="仿宋_GB2312"/>
          <w:b w:val="0"/>
          <w:sz w:val="32"/>
        </w:rPr>
        <w:t>包括：办公费、手续费、水费、电费、邮电费、差旅费、工会经费、公务用车运行维护费。</w:t>
      </w:r>
    </w:p>
    <w:p>
      <w:pPr>
        <w:spacing w:line="640" w:lineRule="exact"/>
        <w:ind w:firstLine="640"/>
        <w:jc w:val="both"/>
        <w:outlineLvl w:val="2"/>
      </w:pPr>
      <w:r>
        <w:rPr>
          <w:rFonts w:ascii="黑体" w:hAnsi="黑体" w:eastAsia="黑体"/>
          <w:sz w:val="32"/>
        </w:rPr>
        <w:t>七、政府性基金预算财政拨款收入支出决算情况说明</w:t>
      </w:r>
    </w:p>
    <w:p>
      <w:pPr>
        <w:spacing w:line="580" w:lineRule="exact"/>
        <w:ind w:firstLine="640"/>
        <w:jc w:val="both"/>
      </w:pPr>
      <w:r>
        <w:rPr>
          <w:rFonts w:ascii="仿宋_GB2312" w:hAnsi="仿宋_GB2312" w:eastAsia="仿宋_GB2312"/>
          <w:b/>
          <w:sz w:val="32"/>
        </w:rPr>
        <w:t>2024年度政府性基金预算财政拨款收入总计26.00万元，</w:t>
      </w:r>
      <w:r>
        <w:rPr>
          <w:rFonts w:ascii="仿宋_GB2312" w:hAnsi="仿宋_GB2312" w:eastAsia="仿宋_GB2312"/>
          <w:b w:val="0"/>
          <w:sz w:val="32"/>
        </w:rPr>
        <w:t>其中：年初结转和结余0.00万元，本年收入26.00万元。</w:t>
      </w:r>
      <w:r>
        <w:rPr>
          <w:rFonts w:ascii="仿宋_GB2312" w:hAnsi="仿宋_GB2312" w:eastAsia="仿宋_GB2312"/>
          <w:b/>
          <w:sz w:val="32"/>
        </w:rPr>
        <w:t>政府性基金预算财政拨款支出总计26.00万元，</w:t>
      </w:r>
      <w:r>
        <w:rPr>
          <w:rFonts w:ascii="仿宋_GB2312" w:hAnsi="仿宋_GB2312" w:eastAsia="仿宋_GB2312"/>
          <w:b w:val="0"/>
          <w:sz w:val="32"/>
        </w:rPr>
        <w:t>其中：年末结转和结余0.00万元，本年支出26.00万元。</w:t>
      </w:r>
    </w:p>
    <w:p>
      <w:pPr>
        <w:spacing w:line="580" w:lineRule="exact"/>
        <w:ind w:firstLine="640"/>
        <w:jc w:val="both"/>
      </w:pPr>
      <w:r>
        <w:rPr>
          <w:rFonts w:ascii="仿宋_GB2312" w:hAnsi="仿宋_GB2312" w:eastAsia="仿宋_GB2312"/>
          <w:b/>
          <w:sz w:val="32"/>
        </w:rPr>
        <w:t>政府性基金预算财政拨款收入支出总体与上年相比，</w:t>
      </w:r>
      <w:r>
        <w:rPr>
          <w:rFonts w:ascii="仿宋_GB2312" w:hAnsi="仿宋_GB2312" w:eastAsia="仿宋_GB2312"/>
          <w:b w:val="0"/>
          <w:sz w:val="32"/>
        </w:rPr>
        <w:t>减少200.35万元，下降88.51%，主要原因是：本年减少特克斯县特克斯镇霍斯库勒村拟征地农民参保补贴。</w:t>
      </w:r>
      <w:r>
        <w:rPr>
          <w:rFonts w:ascii="仿宋_GB2312" w:hAnsi="仿宋_GB2312" w:eastAsia="仿宋_GB2312"/>
          <w:b/>
          <w:sz w:val="32"/>
        </w:rPr>
        <w:t>与年初预算相比，</w:t>
      </w:r>
      <w:r>
        <w:rPr>
          <w:rFonts w:ascii="仿宋_GB2312" w:hAnsi="仿宋_GB2312" w:eastAsia="仿宋_GB2312"/>
          <w:b w:val="0"/>
          <w:sz w:val="32"/>
        </w:rPr>
        <w:t>年初预算数0.00万元，决算数26.00万元，预决算差异率100.00%，主要原因是：年中追加被征地农民参保补贴资金项目，导致预决算存在差异。</w:t>
      </w:r>
    </w:p>
    <w:p>
      <w:pPr>
        <w:spacing w:line="580" w:lineRule="exact"/>
        <w:ind w:firstLine="640"/>
        <w:jc w:val="both"/>
      </w:pPr>
      <w:r>
        <w:rPr>
          <w:rFonts w:ascii="仿宋_GB2312" w:hAnsi="仿宋_GB2312" w:eastAsia="仿宋_GB2312"/>
          <w:b w:val="0"/>
          <w:sz w:val="32"/>
        </w:rPr>
        <w:t>政府性基金预算财政拨款支出26.00万元。</w:t>
      </w:r>
    </w:p>
    <w:p>
      <w:pPr>
        <w:spacing w:line="580" w:lineRule="exact"/>
        <w:ind w:firstLine="640"/>
        <w:jc w:val="both"/>
      </w:pPr>
      <w:r>
        <w:rPr>
          <w:rFonts w:ascii="仿宋_GB2312" w:hAnsi="仿宋_GB2312" w:eastAsia="仿宋_GB2312"/>
          <w:b w:val="0"/>
          <w:sz w:val="32"/>
        </w:rPr>
        <w:t>1.城乡社区支出(类)国有土地使用权出让收入安排的支出(款)补助被征地农民支出(项):支出决算数为26.00万元，比上年决算减少200.35万元，下降88.51%,主要原因是：本年减少特克斯县特克斯镇霍斯库勒村拟征地农民参保补贴。</w:t>
      </w:r>
    </w:p>
    <w:p>
      <w:pPr>
        <w:spacing w:line="640" w:lineRule="exact"/>
        <w:ind w:firstLine="640"/>
        <w:jc w:val="both"/>
        <w:outlineLvl w:val="2"/>
      </w:pPr>
      <w:r>
        <w:rPr>
          <w:rFonts w:ascii="黑体" w:hAnsi="黑体" w:eastAsia="黑体"/>
          <w:sz w:val="32"/>
        </w:rPr>
        <w:t>八、国有资本经营预算财政拨款收入支出决算情况说明</w:t>
      </w:r>
    </w:p>
    <w:p>
      <w:pPr>
        <w:spacing w:line="580" w:lineRule="exact"/>
        <w:ind w:firstLine="640"/>
        <w:jc w:val="both"/>
      </w:pPr>
      <w:r>
        <w:rPr>
          <w:rFonts w:ascii="仿宋_GB2312" w:hAnsi="仿宋_GB2312" w:eastAsia="仿宋_GB2312"/>
          <w:b/>
          <w:sz w:val="32"/>
        </w:rPr>
        <w:t>2024年度国有资本经营预算财政拨款收入总计25.92万元，</w:t>
      </w:r>
      <w:r>
        <w:rPr>
          <w:rFonts w:ascii="仿宋_GB2312" w:hAnsi="仿宋_GB2312" w:eastAsia="仿宋_GB2312"/>
          <w:b w:val="0"/>
          <w:sz w:val="32"/>
        </w:rPr>
        <w:t>其中：年初结转和结余0.00万元，本年收入25.92万元。</w:t>
      </w:r>
      <w:r>
        <w:rPr>
          <w:rFonts w:ascii="仿宋_GB2312" w:hAnsi="仿宋_GB2312" w:eastAsia="仿宋_GB2312"/>
          <w:b/>
          <w:sz w:val="32"/>
        </w:rPr>
        <w:t>国有资本经营预算财政拨款支出总计25.92万元，</w:t>
      </w:r>
      <w:r>
        <w:rPr>
          <w:rFonts w:ascii="仿宋_GB2312" w:hAnsi="仿宋_GB2312" w:eastAsia="仿宋_GB2312"/>
          <w:b w:val="0"/>
          <w:sz w:val="32"/>
        </w:rPr>
        <w:t>其中：年末结转和结余0.00万元，本年支出25.92万元。</w:t>
      </w:r>
    </w:p>
    <w:p>
      <w:pPr>
        <w:spacing w:line="580" w:lineRule="exact"/>
        <w:ind w:firstLine="640"/>
        <w:jc w:val="both"/>
      </w:pPr>
      <w:r>
        <w:rPr>
          <w:rFonts w:ascii="仿宋_GB2312" w:hAnsi="仿宋_GB2312" w:eastAsia="仿宋_GB2312"/>
          <w:b/>
          <w:sz w:val="32"/>
        </w:rPr>
        <w:t>国有资本经营预算财政拨款收入支出与上年相比，</w:t>
      </w:r>
      <w:r>
        <w:rPr>
          <w:rFonts w:ascii="仿宋_GB2312" w:hAnsi="仿宋_GB2312" w:eastAsia="仿宋_GB2312"/>
          <w:b w:val="0"/>
          <w:sz w:val="32"/>
        </w:rPr>
        <w:t>增加0.54万元，增长2.13%，主要原因是：符合领取企业退休生活补助的人员数量增加，领取补贴金额随之增加所致。</w:t>
      </w:r>
      <w:r>
        <w:rPr>
          <w:rFonts w:ascii="仿宋_GB2312" w:hAnsi="仿宋_GB2312" w:eastAsia="仿宋_GB2312"/>
          <w:b/>
          <w:sz w:val="32"/>
        </w:rPr>
        <w:t>与年初预算相比，</w:t>
      </w:r>
      <w:r>
        <w:rPr>
          <w:rFonts w:ascii="仿宋_GB2312" w:hAnsi="仿宋_GB2312" w:eastAsia="仿宋_GB2312"/>
          <w:b w:val="0"/>
          <w:sz w:val="32"/>
        </w:rPr>
        <w:t>年初预算数40.00万元，决算数25.92万元，预决算差异率-35.20%，主要原因是：年中调减企业退休人员生活补贴项目，导致预决算存在差异。</w:t>
      </w:r>
    </w:p>
    <w:p>
      <w:pPr>
        <w:spacing w:line="580" w:lineRule="exact"/>
        <w:ind w:firstLine="640"/>
        <w:jc w:val="both"/>
      </w:pPr>
      <w:r>
        <w:rPr>
          <w:rFonts w:ascii="仿宋_GB2312" w:hAnsi="仿宋_GB2312" w:eastAsia="仿宋_GB2312"/>
          <w:sz w:val="32"/>
        </w:rPr>
        <w:t>国有资本经营预算财政拨款支出25.92万元。</w:t>
      </w:r>
    </w:p>
    <w:p>
      <w:pPr>
        <w:spacing w:line="580" w:lineRule="exact"/>
        <w:ind w:firstLine="640"/>
        <w:jc w:val="both"/>
      </w:pPr>
      <w:r>
        <w:rPr>
          <w:rFonts w:ascii="仿宋_GB2312" w:hAnsi="仿宋_GB2312" w:eastAsia="仿宋_GB2312"/>
          <w:b w:val="0"/>
          <w:sz w:val="32"/>
        </w:rPr>
        <w:t>1.国有资本经营预算支出(类)解决历史遗留问题及改革成本支出(款)国有企业退休人员社会化管理补助支出(项):支出决算数为25.92万元，比上年决算增加0.54万元，增长2.13%,主要原因是：符合领取企业退休生活补助的人员数量增加，领取补贴金额随之增加所致。</w:t>
      </w:r>
    </w:p>
    <w:p>
      <w:pPr>
        <w:spacing w:line="640" w:lineRule="exact"/>
        <w:ind w:firstLine="640"/>
        <w:jc w:val="both"/>
        <w:outlineLvl w:val="2"/>
      </w:pPr>
      <w:r>
        <w:rPr>
          <w:rFonts w:ascii="黑体" w:hAnsi="黑体" w:eastAsia="黑体"/>
          <w:sz w:val="32"/>
        </w:rPr>
        <w:t>九、财政拨款“三公”经费支出决算情况说明</w:t>
      </w:r>
    </w:p>
    <w:p>
      <w:pPr>
        <w:spacing w:line="580" w:lineRule="exact"/>
        <w:ind w:firstLine="640"/>
        <w:jc w:val="both"/>
      </w:pPr>
      <w:r>
        <w:rPr>
          <w:rFonts w:ascii="仿宋_GB2312" w:hAnsi="仿宋_GB2312" w:eastAsia="仿宋_GB2312"/>
          <w:b/>
          <w:sz w:val="32"/>
        </w:rPr>
        <w:t>2024年度财政拨款“三公”经费支出0.94万元，</w:t>
      </w:r>
      <w:r>
        <w:rPr>
          <w:rFonts w:ascii="仿宋_GB2312" w:hAnsi="仿宋_GB2312" w:eastAsia="仿宋_GB2312"/>
          <w:b w:val="0"/>
          <w:sz w:val="32"/>
        </w:rPr>
        <w:t>比上年增加0.14万元，增长17.50%，主要原因是：本年度开展事业编面试，为确保面试的顺利开展，严格按照相关规定对试卷进行保管、押运等，增加燃油费。</w:t>
      </w:r>
      <w:r>
        <w:rPr>
          <w:rFonts w:ascii="仿宋_GB2312" w:hAnsi="仿宋_GB2312" w:eastAsia="仿宋_GB2312"/>
          <w:b w:val="0"/>
          <w:sz w:val="32"/>
        </w:rPr>
        <w:t>其中：因公出国（境）费支出0.00万元，占0.00%，比上年增加0.00万元，增长0.00%，主要原因是：2023年与2024年均未安排因公出国（境）费支出。</w:t>
      </w:r>
      <w:r>
        <w:rPr>
          <w:rFonts w:ascii="仿宋_GB2312" w:hAnsi="仿宋_GB2312" w:eastAsia="仿宋_GB2312"/>
          <w:b w:val="0"/>
          <w:sz w:val="32"/>
        </w:rPr>
        <w:t>公务用车购置及运行维护费支出0.94万元，占100.00%，比上年增加0.14万元，增长17.50%，主要原因是：本年度开展事业编面试，为确保面试的顺利开展，严格按照相关规定对试卷进行保管、押运等，增加燃油费。</w:t>
      </w:r>
      <w:r>
        <w:rPr>
          <w:rFonts w:ascii="仿宋_GB2312" w:hAnsi="仿宋_GB2312" w:eastAsia="仿宋_GB2312"/>
          <w:b w:val="0"/>
          <w:sz w:val="32"/>
        </w:rPr>
        <w:t>公务接待费支出0.00万元，占0.00%，比上年增加0.00万元，增长0.00%，主要原因是：2023年与2024年均未安排公务接待费支出。</w:t>
      </w:r>
    </w:p>
    <w:p>
      <w:pPr>
        <w:spacing w:line="580" w:lineRule="exact"/>
        <w:ind w:firstLine="640"/>
        <w:jc w:val="both"/>
      </w:pPr>
      <w:r>
        <w:rPr>
          <w:rFonts w:ascii="仿宋_GB2312" w:hAnsi="仿宋_GB2312" w:eastAsia="仿宋_GB2312"/>
          <w:b/>
          <w:sz w:val="32"/>
        </w:rPr>
        <w:t>具体情况如下：</w:t>
      </w:r>
    </w:p>
    <w:p>
      <w:pPr>
        <w:spacing w:line="580" w:lineRule="exact"/>
        <w:ind w:firstLine="640"/>
        <w:jc w:val="both"/>
      </w:pPr>
      <w:r>
        <w:rPr>
          <w:rFonts w:ascii="仿宋_GB2312" w:hAnsi="仿宋_GB2312" w:eastAsia="仿宋_GB2312"/>
          <w:b w:val="0"/>
          <w:sz w:val="32"/>
        </w:rPr>
        <w:t>因公出国（境）费支出0.00万元，开支内容包括本单位无因公出国（境）费。单位全年安排的因公出国（境）团组0个，因公出国（境）0人次。</w:t>
      </w:r>
    </w:p>
    <w:p>
      <w:pPr>
        <w:spacing w:line="580" w:lineRule="exact"/>
        <w:ind w:firstLine="640"/>
        <w:jc w:val="both"/>
      </w:pPr>
      <w:r>
        <w:rPr>
          <w:rFonts w:ascii="仿宋_GB2312" w:hAnsi="仿宋_GB2312" w:eastAsia="仿宋_GB2312"/>
          <w:b w:val="0"/>
          <w:sz w:val="32"/>
        </w:rPr>
        <w:t>公务用车购置及运行维护费0.94万元，其中：公务用车购置费0.00万元，公务用车运行维护费0.94万元。公务用车运行维护费开支内容包括车辆加油费、保险费、审车费、过路费等。公务用车购置数0辆，公务用车保有量2辆。国有资产占用情况中固定资产车辆4辆，与公务用车保有量差异原因是：借调业务车辆，待报废一辆，车辆费用未使用财政拨款公务用车运行维护费支付。</w:t>
      </w:r>
    </w:p>
    <w:p>
      <w:pPr>
        <w:spacing w:line="580" w:lineRule="exact"/>
        <w:ind w:firstLine="640"/>
        <w:jc w:val="both"/>
      </w:pPr>
      <w:r>
        <w:rPr>
          <w:rFonts w:ascii="仿宋_GB2312" w:hAnsi="仿宋_GB2312" w:eastAsia="仿宋_GB2312"/>
          <w:b w:val="0"/>
          <w:sz w:val="32"/>
        </w:rPr>
        <w:t>公务接待费0.00万元，开支内容包括本单位无公务接待费。单位全年安排的国内公务接待0批次，0人次。</w:t>
      </w:r>
    </w:p>
    <w:p>
      <w:pPr>
        <w:spacing w:line="580" w:lineRule="exact"/>
        <w:ind w:firstLine="640"/>
        <w:jc w:val="both"/>
      </w:pPr>
      <w:r>
        <w:rPr>
          <w:rFonts w:ascii="仿宋_GB2312" w:hAnsi="仿宋_GB2312" w:eastAsia="仿宋_GB2312"/>
          <w:b/>
          <w:sz w:val="32"/>
        </w:rPr>
        <w:t>与全年预算相比，</w:t>
      </w:r>
      <w:r>
        <w:rPr>
          <w:rFonts w:ascii="仿宋_GB2312" w:hAnsi="仿宋_GB2312" w:eastAsia="仿宋_GB2312"/>
          <w:b w:val="0"/>
          <w:sz w:val="32"/>
        </w:rPr>
        <w:t>财政拨款“三公”经费支出全年预算数0.94万元，决算数0.94万元，预决算差异率0.00%，主要原因是：严格按照预算执行，预决算无差异。其中：因公出国（境）费全年预算数0.00万元，决算数0.00万元，预决算差异率0.00%，主要原因是：本单位无因公出国（境）费。公务用车购置费全年预算数0.00万元，决算数0.00万元，预决算差异率0.00%，主要原因是：本单位无公务用车购置费。公务用车运行费维护全年预算数0.94万元，决算数0.94万元，预决算差异率0.00%，主要原因是：严格按照预算执行，预决算无差异。公务接待费全年预算数0.00万元，决算数0.00万元，预决算差异率0.00%，主要原因是：本单位无公务接待费。</w:t>
      </w:r>
    </w:p>
    <w:p>
      <w:pPr>
        <w:spacing w:line="640" w:lineRule="exact"/>
        <w:ind w:firstLine="640"/>
        <w:jc w:val="both"/>
        <w:outlineLvl w:val="2"/>
      </w:pPr>
      <w:r>
        <w:rPr>
          <w:rFonts w:ascii="黑体" w:hAnsi="黑体" w:eastAsia="黑体"/>
          <w:sz w:val="32"/>
        </w:rPr>
        <w:t>十、其他重要事项的情况说明</w:t>
      </w:r>
    </w:p>
    <w:p>
      <w:pPr>
        <w:spacing w:line="640" w:lineRule="exact"/>
        <w:ind w:firstLine="640"/>
        <w:jc w:val="both"/>
        <w:outlineLvl w:val="3"/>
      </w:pPr>
      <w:r>
        <w:rPr>
          <w:rFonts w:ascii="楷体_GB2312" w:hAnsi="楷体_GB2312" w:eastAsia="楷体_GB2312"/>
          <w:b/>
          <w:sz w:val="32"/>
        </w:rPr>
        <w:t>（一）机关运行经费及公用经费支出情况</w:t>
      </w:r>
    </w:p>
    <w:p>
      <w:pPr>
        <w:spacing w:line="580" w:lineRule="exact"/>
        <w:ind w:firstLine="640"/>
        <w:jc w:val="both"/>
      </w:pPr>
      <w:r>
        <w:rPr>
          <w:rFonts w:ascii="仿宋_GB2312" w:hAnsi="仿宋_GB2312" w:eastAsia="仿宋_GB2312"/>
          <w:b w:val="0"/>
          <w:sz w:val="32"/>
        </w:rPr>
        <w:t>2024年度特克斯县人力资源和社会保障局（行政单位和参照公务员法管理事业单位）机关运行经费支出9.39万元，比上年增加2.16万元，增长29.88%，主要原因是：本年更新、维护补充办公用品，导致机关运行经费较上年增加。</w:t>
      </w:r>
    </w:p>
    <w:p>
      <w:pPr>
        <w:spacing w:line="640" w:lineRule="exact"/>
        <w:ind w:firstLine="640"/>
        <w:jc w:val="both"/>
        <w:outlineLvl w:val="3"/>
      </w:pPr>
      <w:r>
        <w:rPr>
          <w:rFonts w:ascii="楷体_GB2312" w:hAnsi="楷体_GB2312" w:eastAsia="楷体_GB2312"/>
          <w:b/>
          <w:sz w:val="32"/>
        </w:rPr>
        <w:t>（二）政府采购情况</w:t>
      </w:r>
    </w:p>
    <w:p>
      <w:pPr>
        <w:spacing w:line="580" w:lineRule="exact"/>
        <w:ind w:firstLine="640"/>
        <w:jc w:val="both"/>
      </w:pPr>
      <w:r>
        <w:rPr>
          <w:rFonts w:ascii="仿宋_GB2312" w:hAnsi="仿宋_GB2312" w:eastAsia="仿宋_GB2312"/>
          <w:b w:val="0"/>
          <w:sz w:val="32"/>
        </w:rPr>
        <w:t>2024年度政府采购支出总额6.81万元，其中：政府采购货物支出4.90万元、政府采购工程支出0.00万元、政府采购服务支出1.90万元。</w:t>
      </w:r>
    </w:p>
    <w:p>
      <w:pPr>
        <w:spacing w:line="580" w:lineRule="exact"/>
        <w:ind w:firstLine="640"/>
        <w:jc w:val="both"/>
      </w:pPr>
      <w:r>
        <w:rPr>
          <w:rFonts w:ascii="仿宋_GB2312" w:hAnsi="仿宋_GB2312" w:eastAsia="仿宋_GB2312"/>
          <w:b w:val="0"/>
          <w:sz w:val="32"/>
        </w:rPr>
        <w:t>授予中小企业合同金额5.22万元，占政府采购支出总额的76.65%，其中：授予小微企业合同金额5.22万元，占政府采购支出总额的76.65%。</w:t>
      </w:r>
    </w:p>
    <w:p>
      <w:pPr>
        <w:spacing w:line="640" w:lineRule="exact"/>
        <w:ind w:firstLine="640"/>
        <w:jc w:val="both"/>
        <w:outlineLvl w:val="3"/>
      </w:pPr>
      <w:r>
        <w:rPr>
          <w:rFonts w:ascii="楷体_GB2312" w:hAnsi="楷体_GB2312" w:eastAsia="楷体_GB2312"/>
          <w:b/>
          <w:sz w:val="32"/>
        </w:rPr>
        <w:t>（三）国有资产占用情况说明</w:t>
      </w:r>
    </w:p>
    <w:p>
      <w:pPr>
        <w:spacing w:line="580" w:lineRule="exact"/>
        <w:ind w:firstLine="640"/>
        <w:jc w:val="both"/>
      </w:pPr>
      <w:r>
        <w:rPr>
          <w:rFonts w:ascii="仿宋_GB2312" w:hAnsi="仿宋_GB2312" w:eastAsia="仿宋_GB2312"/>
          <w:b w:val="0"/>
          <w:sz w:val="32"/>
        </w:rPr>
        <w:t>截至2024年12月31日，房屋160.50平方米，价值15.96万元。车辆4辆，价值54.12万元，其中：副部（省）级及以上领导用车0辆、主要负责人用车0辆、机要通信用车0辆、应急保障用车0辆、执法执勤用车0辆、特种专业技术用车0辆、离退休干部服务用车0辆、其他用车4辆，其他用车主要是：单位业务用车。单价100万元（含）以上设备（不含车辆）0台（套）。</w:t>
      </w:r>
    </w:p>
    <w:p>
      <w:pPr>
        <w:spacing w:line="640" w:lineRule="exact"/>
        <w:ind w:firstLine="640"/>
        <w:jc w:val="both"/>
        <w:outlineLvl w:val="2"/>
      </w:pPr>
      <w:r>
        <w:rPr>
          <w:rFonts w:ascii="黑体" w:hAnsi="黑体" w:eastAsia="黑体"/>
          <w:sz w:val="32"/>
        </w:rPr>
        <w:t>十一、预算绩效的情况说明</w:t>
      </w:r>
    </w:p>
    <w:p>
      <w:pPr>
        <w:spacing w:line="580" w:lineRule="exact"/>
        <w:ind w:firstLine="640"/>
        <w:jc w:val="both"/>
      </w:pPr>
      <w:r>
        <w:rPr>
          <w:rFonts w:ascii="仿宋_GB2312" w:hAnsi="仿宋_GB2312" w:eastAsia="仿宋_GB2312"/>
          <w:b w:val="0"/>
          <w:sz w:val="32"/>
        </w:rPr>
        <w:t>根据预算绩效管理要求，本单位2024年度预算绩效管理形成整体支出绩效自评表1个，全年预算总额7,349.30万元，实际执行总额7,349.30万元；预算绩效评价项目14个，全年预算数8,318.75万元，全年执行数8,264.65万元。预算绩效管理取得的成效：一是提高了资金使用效率，通过精细化管理，确保每一笔资金都能用在刀刃上，避免了不必要的浪费。强化了成本意识，促使各部门更加关注投入产出比。二是提升了公共服务质量，通过对绩效指标的监控，及时发现问题并采取改进措施。提高了公众满意度，因为服务质量和效率得到了提升。发现的问题及原因：一是项目细化管理工作不足。预算执行存在偏差。由于个别项目指标到第四季度下达，在预算执行中造成个别预算子项调剂现象；对个别项目资金使用方面预算不够细致，出现实际支出数超出了预算申报数或出现项目资金结余数额多的情况，导致调剂频繁，缺乏预算编制的科学性。二是预算绩效管理水平仍有欠缺。在预算绩效管理工作中，存在“重投入轻管理、重支出轻绩效”的情况，对全面实施预算绩效管理的要求认识还不到位，项目申报、实施等环节与预算绩效管理各个环节联系不够紧密。下一步改进措施：一是加强新行政单位会计制度和新预算法学习培训、规范账务处理，加强新《预算法》《行政单位会计制度》 《会计法》《行政单位财务规则》等学习培训,规范部门预算收支核算。一是制定和完善基本支出、项目支出等各项支出标准,严格按项目进度执行预算, 增强预算的约束力和严肃性。二是落实预算执行分析,及时了解预算执行差异,合理调整、纠正预算执行偏差，切实提高部门预算收支管理水平。尽可能地做到决算与预算相衔接。二是完善管理制度,进-步加强资产管理。严格按照《固定资产管理办法》的规定，加强固定资产管理,及时登记、更新台账，加强资产卡片管理,对各类实物资产进行全面盘点,确保账账、账实相符。三是绩效管理水平应进一步提高。由于目前的预算管理在编制和实施中还存在编制不细、预算调整较多、追加预算比重较大等现象,因此项目预算执行的准确性还有待加强,同时分析手段和技术水平上还有待完善。在今后的工作中,我们将加强与财政部门的紧密配合,开展好整体支出及项目资金绩效管理工作,运用好绩效评价的结果,不断提升预算管理水平。具体附部门整体支出绩效自评表，项目支出绩效自评表和部门评价报告。</w:t>
      </w:r>
    </w:p>
    <w:p>
      <w:r>
        <w:br w:type="page"/>
      </w:r>
    </w:p>
    <w:tbl>
      <w:tblPr>
        <w:tblW w:type="auto" w:w="0"/>
        <w:tblLook w:firstColumn="1" w:firstRow="1" w:lastColumn="0" w:lastRow="0" w:noHBand="0" w:noVBand="1" w:val="04A0"/>
      </w:tblPr>
      <w:tblGrid>
        <w:gridCol w:w="1105"/>
        <w:gridCol w:w="1105"/>
        <w:gridCol w:w="1105"/>
        <w:gridCol w:w="1105"/>
        <w:gridCol w:w="1105"/>
        <w:gridCol w:w="1105"/>
        <w:gridCol w:w="1105"/>
        <w:gridCol w:w="1105"/>
      </w:tblGrid>
      <w:tr>
        <w:tc>
          <w:tcPr>
            <w:tcW w:type="dxa" w:w="8840"/>
            <w:gridSpan w:val="8"/>
            <w:vAlign w:val="center"/>
          </w:tcPr>
          <w:p>
            <w:pPr>
              <w:jc w:val="center"/>
            </w:pPr>
            <w:r>
              <w:rPr>
                <w:rFonts w:ascii="宋体" w:hAnsi="宋体" w:eastAsia="宋体"/>
                <w:sz w:val="24"/>
              </w:rPr>
              <w:t>单位整体支出绩效自评表</w:t>
            </w:r>
          </w:p>
        </w:tc>
      </w:tr>
      <w:tr>
        <w:tc>
          <w:tcPr>
            <w:tcW w:type="dxa" w:w="8840"/>
            <w:gridSpan w:val="8"/>
            <w:vAlign w:val="center"/>
          </w:tcPr>
          <w:p>
            <w:pPr>
              <w:jc w:val="center"/>
            </w:pPr>
            <w:r>
              <w:rPr>
                <w:rFonts w:ascii="宋体" w:hAnsi="宋体" w:eastAsia="宋体"/>
                <w:sz w:val="24"/>
              </w:rPr>
              <w:t>（2024年度）</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单位名称</w:t>
            </w:r>
          </w:p>
        </w:tc>
        <w:tc>
          <w:tcPr>
            <w:tcW w:type="dxa" w:w="7735"/>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年度预算（万元）</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预算数（调整后）</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9,833.40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9,833.40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7,349.30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7,349.30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上级资金：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2,677.50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2,677.50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3,454.52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3,454.52</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本级资金：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7,109.90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7,109.90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3,857.89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3,857.89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其他资金：</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46.00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36.89</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年度总体目标</w:t>
            </w:r>
          </w:p>
        </w:tc>
        <w:tc>
          <w:tcPr>
            <w:tcW w:type="dxa" w:w="3315"/>
            <w:gridSpan w:val="3"/>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4420"/>
            <w:gridSpan w:val="4"/>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实际完成目标</w:t>
            </w:r>
          </w:p>
        </w:tc>
      </w:tr>
      <w:tr>
        <w:tc>
          <w:tcPr>
            <w:tcW w:type="dxa" w:w="1105"/>
            <w:vMerge/>
            <w:tcBorders>
              <w:start w:sz="10" w:val="single"/>
              <w:top w:sz="10" w:val="single"/>
              <w:end w:sz="10" w:val="single"/>
              <w:bottom w:sz="10" w:val="single"/>
              <w:insideV w:sz="10" w:val="single"/>
            </w:tcBorders>
          </w:tcPr>
          <w:p/>
        </w:tc>
        <w:tc>
          <w:tcPr>
            <w:tcW w:type="dxa" w:w="3315"/>
            <w:gridSpan w:val="3"/>
            <w:tcBorders>
              <w:start w:sz="10" w:val="single"/>
              <w:top w:sz="10" w:val="single"/>
              <w:end w:sz="10" w:val="single"/>
              <w:bottom w:sz="10" w:val="single"/>
              <w:insideV w:sz="10" w:val="single"/>
            </w:tcBorders>
            <w:vAlign w:val="center"/>
          </w:tcPr>
          <w:p>
            <w:pPr>
              <w:jc w:val="both"/>
            </w:pPr>
            <w:r>
              <w:rPr>
                <w:rFonts w:ascii="宋体" w:hAnsi="宋体" w:eastAsia="宋体"/>
                <w:sz w:val="16"/>
              </w:rPr>
              <w:t>贯彻执行国家、自治区、自治州有关人力资源和社会保障工作的方针政策、政策法规；拟订全县人力资源和社会保障事业发展规划并组织实施；对全县人力资源和社会保障工作进行综合管理、监督指导和协调服务。组织实施人力资源市场发展规划和人力资源流动政策，指导监督人力资源服务机构，促进人力资源合理流动、有效配置。</w:t>
              <w:br/>
              <w:br/>
              <w:t>负责促进就业工作，拟订统筹城乡的全县就业发展规划和政策，完善公共就业服务体系，组织落实就业援助制度；落实职业资格制度相关政策，统筹建立面向城乡劳动者的职业培训制度；牵头组织实施高校毕业生就业政策，会同有关部门拟定高技能人才，农村实用人才培训和激励政策。统筹建立覆盖城乡的社会保障体系。拟订并组织城乡社会保险及其补充保险政策和标准。统筹拟订机关企事业单位基本养老保险政策。会同有关部门拟订社会保险及其补充保险基金管理和监督办法，编制社会保险基金预决算草案。负责就业、失业、社会保险基金预测预警和信息引导，拟订应对预案，实施预防、调节和控制，保持就业形势稳定和社会保险基金总体收支平衡。会同有关部门拟订企业事业单位人员工资收入分配制度改革实施意见，促进建立企事业单位人员工资正常增长和支付保障机制。执行自治区机关企事业单位人员福利和离退休政策。会同有关部门指导事业单位人事制度改革，落实事业单位人员和机关工勤人员管理政策，参与人才管理工作，落实专业技术人员管理和继续教育政策。推进深化职称制度改革工作。负责专业技术人才选拔、培养和博士后管理工作，贯彻落实自治区国（境）外专家、留学人员来疆（回疆）工作和定居政策。会同相关部门做好高层次人才和紧缺人才引进工作。会同有关部门落实自治区农民工工作综合性政策和规划，协调解决重点难点问题，维护农民工合法权益。受理全县人力资源和社会保障方面信访事项；会同有关部门协调处理有关劳动、人事方面的重大信访事件或突发事件。统筹实施劳动、人事争议调解仲裁制度。贯彻落实劳动关系政策，完善劳动关系协调机制。监督落实消除非法使用童工政策和女工、未成年工的特殊劳动保护政策。组织实施劳动监察，协调劳动者维权工作，依法查处重大案件。承办县委、政府交办的其他事项。</w:t>
            </w:r>
          </w:p>
        </w:tc>
        <w:tc>
          <w:tcPr>
            <w:tcW w:type="dxa" w:w="4420"/>
            <w:gridSpan w:val="4"/>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人力资源和社会保障局主要负责全县人力资源管理、社会保障、劳动监察等工作。2024年度紧紧围绕全县发展战略，积极推进就业、社会保障、劳动监察等各项工作，为全县经济社会发展提供了有力保障。城乡居民养老保险参保人数达到46939人，机关事业单位养老保险人数达到3713人，劳动力转移就业人数5.18万人次，开展各类培训1.1832万人次，城镇新增就业人数3382人，登记失业人员再就业人数2680人，创业带动就业人数1794人。</w:t>
            </w:r>
          </w:p>
        </w:tc>
      </w:tr>
      <w:tr>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预期指标值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分值权重</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实际完成指标值</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履职效能</w:t>
            </w:r>
          </w:p>
        </w:tc>
        <w:tc>
          <w:tcPr>
            <w:tcW w:type="dxa" w:w="1105"/>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城乡居民养老保险缴费人数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46939人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46939人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13.43</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机关事业单位养老保险人数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3713人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3713人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14.68</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登记失业人员再就业人数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2680人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2680人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实现农村劳动力转移就业人次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5.18万人次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5.18万人次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开展各类培训人次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1.1832万人次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1.1832万人次</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城镇新增就业人数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3382人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3382人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r>
        <w:tc>
          <w:tcPr>
            <w:tcW w:type="dxa" w:w="1105"/>
            <w:vMerge/>
            <w:tcBorders>
              <w:start w:sz="10" w:val="single"/>
              <w:top w:sz="10" w:val="single"/>
              <w:end w:sz="10" w:val="single"/>
              <w:bottom w:sz="10" w:val="single"/>
              <w:insideV w:sz="10" w:val="single"/>
            </w:tcBorders>
          </w:tcPr>
          <w:p/>
        </w:tc>
        <w:tc>
          <w:tcPr>
            <w:tcW w:type="dxa" w:w="1105"/>
            <w:vMerge/>
            <w:tcBorders>
              <w:start w:sz="10" w:val="single"/>
              <w:top w:sz="10" w:val="single"/>
              <w:end w:sz="10" w:val="single"/>
              <w:bottom w:sz="10" w:val="single"/>
              <w:insideV w:sz="10" w:val="single"/>
            </w:tcBorders>
          </w:tcP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创业带动就业人数</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1794人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重点工作计划</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1794人</w:t>
            </w:r>
          </w:p>
        </w:tc>
        <w:tc>
          <w:tcPr>
            <w:tcW w:type="dxa" w:w="1105"/>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2024年自治区财政就业资金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15.42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切实发挥创业带动就业倍增效应，新增就业任务不少于2313人，失业再就业人数不低于955人，就业困难人员就业不少于145人，新增创业不少于250人，创业带动就业不少于667人，农村劳动力外出务工不少于3.15万人次，农村劳动力赴其他省区市务工人员不少于85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实现城镇新增就业任务2812人，登记失业人员实现再就业人数不低于2629人，城镇就业困难人员实现就业360人，新增创业705人，创业带动就业1786人，农村劳动力外出务工5.18万人次，疆外组织转移就业144人。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转移就业人次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通过多渠道宣传转移就业的好处，并加强与企业的沟通协作，用工需求增加，为转移就业提供了更多的岗位，促使更多人愿意外出就业。改进措施：进一步提升转移就业人员的技能水平，使其能够使用更高层次的就业岗位，推动企业改善劳动条件，保障劳动者的合法权益，建立健全促进转移就业的长效机制，并根据上年完成值合理设置绩效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112.61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举办招聘会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活动完成率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资金及时到位率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招聘会按期举办率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以奖代补资金成本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公共就业服务标准化建设及各地就业服务成本</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促进社会就业，维护社会稳定</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受益人员满意度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原因：因加大招聘会宣传力度，满足求职者多元化的需求，满意度显著提升。改进措施：在设置年初目标值时可以提前发放问卷，以此作为依据，在年初数字上有所增加，合理设置目标值。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2024年高校毕业生“三支一扶”计划中央财政补助资金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123.07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123.07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156.80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了特克斯县在岗“三支一扶”人员生活得到保障，根据上级文件精神，对在岗“三支一扶”发放生活补助和一次性安家费。特克斯县目前在岗“三支一扶”人员，按照每人每月2500元标准发放生活补助，对于2024年2月符合条件21名“三支一扶”人员发放3000元一次性安家费，有效促进“三支一扶”队伍稳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特克斯县目前在岗“三支一扶”人员，按照每人每月2500元标准发放生活补助，1-3月在岗人数为47人，4-6月在岗人数46人，7月在岗人数45人，8月在岗人数42人，9月在岗63人，10月在岗62人，11-12月在岗61人，对于2024年2月符合条件21名“三支一扶”人员发放3000元一次性安家费，通过按时发放生活补助和一次性安家费，有效促进“三支一扶”队伍稳定，充分保障了特克斯县在岗“三支一扶”人员。</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发放生活补贴人数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发放一次性安家费人数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发放生活补贴次数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发放一次性安家费次数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生活补贴发放准确率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一次性安家费发放准确率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发放生活补贴及时率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发放一次性安家费及时率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发放生活补助标准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说明材料,工作资料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一次性安家费发放标准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促进“三支一扶”队伍稳定性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工作资料,说明材料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“三支一扶”人员满意度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100.86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“三支一扶”人员经费（本级）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76.05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76.05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69.00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76.05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76.05</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有效保障特克斯县在岗“三支一扶”人员社会保险和医疗保险待遇，为其按期缴纳社会保险和医疗保险。特克斯县目前在岗“三支一扶”人员有61名，按照每人1244.76元标准缴纳单位承担部分的社保和医疗保险，有效促进“三支一扶”队伍稳定。</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对在岗“三支一扶”人员，每人按月缴纳社会保险、医疗保险，开展新春慰问，加强对“三支一扶”人员的关心关爱，及时解决其在工作中遇到的困难和问题，营造良好的工作环境。</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发放新春慰问金人数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发放新春慰问金次数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每月缴纳社保标准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1131.02元/人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新春慰问金标准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促进“三支一扶”队伍稳定性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有效促进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“三支一扶”人员满意度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按月发放“三支一扶”补助，加大对三支一扶的培养力度，“三支一扶”人员满意度显著提升。改进措施：在设置年初目标值时可以提前发放问卷，以此作为依据，在年初数字上有所增加，合理设置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100.86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企业退休人员生活补贴（本级）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26.47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26.47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25.92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97.92%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9.48</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26.47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26.47</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25.92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为切实保障企业退休职工的基本生活，将生活补贴264720元发放给183名企业退休人员。</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为切实保障企业退休职工的基本生活，将生活补贴259200元发放给173名企业退休人员，做到老有所依、老有所养。</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原因：因人员死亡等原因，企业退休人员呈现递减状态。改进措施：建立动态的退休人员信息管理系统，与社保、民政等部门加强信息共享，及时更新人员变动情况，确保补贴发放对象准确无误。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94.54</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发放补助及时率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企业退休人员补贴标准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120人/月/元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推动社会稳定和长治久安</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持续推动</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提高企业退休人员生活水平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持续提高</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企业退休人员满意度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99.26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100.42</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98.93分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城乡居民基本养老保险代缴（本级）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60.52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42.60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落实新政发【2014】76号文件要求，预计贫困人员4260人，建立全覆盖的城乡居民养老保险制度，逐步缩小城乡差距，加大宣传力度，提高保障标准，完善激励机制，加大政府对城乡居民养老保险缴费补贴力度，强化长缴长得、多缴多得，增发缴费年限养老金，增加个人账户积累，切实提高城乡居民养老保障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今年加大政府对城乡居民养老保险缴费补贴力度，实际完成财政代缴贫困人员人数4260人，按照每人100元的标准，保障参保人员待遇按时足额发放，做到“老有所养”，提高了退休人员的生活水平，强化长缴长得、多缴多得。</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财政代缴贫困人员人数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6044人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参保缴费财政补贴到位率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贫困人员财政代缴率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参保缴费及时率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贫困人员财政代缴率及时率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财政代缴贫困人员标准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100元/人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提高城乡居民养老保障水平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原因：社保扩面覆盖力度加大，养老待遇提升，参保人员满意度随之提升。改进措施：在设置年初目标值时可以提前发放问卷，以此作为依据，在年初数字上有所增加，合理设置目标值。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城乡居民基本养老保险（本级）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726.79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791.13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791.13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726.79</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791.13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791.13</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落实新政发【2014】76号文件要求，预计46939人参保缴费，11399人领取待遇；死亡人员丧葬费785人，建立全覆盖的城乡居民养老保险制度，逐步缩小城乡差距，加大宣传力度，提高保障标准，完善激励机制，加大政府对城乡居民养老保险缴费补贴力度，强化长缴长得、多缴多得，增发缴费年限养老金，增加个人账户积累，切实提高城乡居民养老保障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今年加大政府对城乡居民养老保险缴费补贴力度，实际完成城乡养老缴费参保人数达46939人，领取待遇人数11399人，保障参保人员待遇按时足额发放，做到“老有所养”，提高了退休人员的生活水平，强化长缴长得、多缴多得。</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城乡居民养老缴费参保人数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51268人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城乡居民养老保险待遇人数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发放城乡居民养老保险待遇次数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丧葬费领取人数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待遇发放准确率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参保缴费财政补贴到位率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待遇发放及时率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参保缴费及时率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人均缴费参保补助资金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27.55元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每次待遇发放资金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丧葬费资金标准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660元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提高城乡居民养老保障水平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原因：社保扩面覆盖力度加大，养老待遇提升，参保人员满意度随之提升。改进措施：在设置年初目标值时可以提前发放问卷，以此作为依据，在年初数字上有所增加，合理设置目标值。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101.01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就业资金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1,227.00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1,227.00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850.00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1,227.00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1,227.00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新增就业任务不少于2313人，失业再就业人数不低于955人，就业困难人员就业不少于145人，新增创业不少于250人，创业带动就业不少于667人。</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2024年实现新增就业2812人，登记失业人员实现再就业2629人，城镇就业困难人员实现就业360人，新增创业705人，创业带动就业1786人。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享受公益性岗位补贴一般户人数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原因：公益性岗位工作人员有工作年限限制，每月都有退出、新增，人员在合理范围内变动所致。改进措施：就业科需梳理年度期满需进行退出人员名单，并对各单位、乡镇所需公益性岗位人数提前进行摸排。</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92.3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享受社会保险补贴人数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原因：因加强社会保险相关优惠政策的宣传力度，扩大了社会保险覆盖面，享受社保人数增多。改进措施：与业务科室共同协商，根据上年完成值为基础，根据实际情况进行合理的目标值设置。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108.52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享受高校毕业生求职创业补贴人数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本年度没有申请高校毕业生求职创业补贴人数，主要是由于申请条件限制，部分高校毕业生不符合申请条件；改进措施：加大政策宣传力度，与高校建立常态化沟通机制，通过线上线下多种渠道宣传政策，让符合申请条件的高校毕业生享受惠民政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享受就业见习补贴人数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1.71</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就业见习时间为1年，部分就业见习人员到期退出，且由于工资较低，导致人员辞职率较高，流失率较高。改进措施：合理设置绩效目标值，将人员流失率考略到目标值范围里头，并多渠道宣传，广泛宣传就业见习政策和岗位信息。</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85.29</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享受公益性岗位岗位一般户发放次数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社会保险补贴发放次数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高校毕业生求职创业补贴发放次数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本年度没有申请高校毕业生求职创业补贴人数，主要是由于申请条件限制，部分高校毕业生不符合申请条件；改进措施：加大政策宣传力度，与高校建立常态化沟通机制，通过线上线下多种渠道宣传政策，让符合申请条件的高校毕业生享受惠民政策。</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就业见习补贴发放次数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享受公益性岗位补贴贫困户人数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213人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100.28</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享受公益性岗位补贴贫困户发放次数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享受自主创业补贴人数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0.67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申请条件限制，补贴政策对申请人的身份、创业项目类型、经营时间等有严格要求，部分创业者不符合条件而无法申请，且由于市场竞争激烈，创业风险大，导致部分人对创业持谨慎态度。改进措施：优化申请条件和流程，加强政策宣传，完善创业服务，营造良好的创业氛围。</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33.33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自主创业补贴发放次数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享受职业技能培训补贴人次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发放社会保险补贴准确率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发放公益性岗位补贴准确率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发放高校毕业生求职创业和自主创业补贴准确率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发放就业见习补贴准确率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发放职业技能培训补贴准确率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资金在规定的时间内下达率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补贴资金在规定时间内支付到位率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每月社保补贴发放标准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792.28元/月/人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原因：社保基数变化及申请补贴人数变化所致。改进措施：及时与业务科室沟通了解社保补贴申请需求量，关注社保基数变化，以此为依据进行设置标准。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107.11</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每月公益性岗位补贴贫困户人均标准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1081元/月/人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每月公益性岗位补贴一般户人均标准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1540元/月/人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每月见习补贴标准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1081元/月/人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高校毕业生求职创业补贴人均标准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1000元/年/人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自主创业人均标准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1000元/年/人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零就业家庭帮扶率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提高本县就业率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享受补贴人员满意度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原因：惠民政策推广力度增加，享受补贴人员增多，满意度显著提升。改进措施：在设置年初目标值时可以提前发放问卷，以此作为依据，在年初数字上有所增加，合理设置目标值。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94.23分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征地农民参保补贴资金（本级）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通过建立健全社会保障机制，确保被征地农民在失去土地后能够获得稳定的生活保障和养老保障，确保被征地农民的基本生活水准不会因失去土地而下降，通过提供参保补贴，帮助他们顺利加入社会保险体系，尤其是养老保险，以保障其老年生活的经济来源。促进被征地农民与城市居民之间的社会融合，通过社会保障的一体化，缩小城乡差异，增强农民的社会归属感和身份认同。</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通过缴纳被征地农民社保补贴财政补贴部分，确保被征地农民在失去土地后能够获得稳定的生活保障和养老保障，通过提供参保补贴，保障被征地农民老年生活，通过社会保障的一体化，缩小城乡差异，增强农民的社会归属感和身份认同。</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补助享受人数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享受补助次数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补助发放准确性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人均享受补助资金数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提高社会稳定性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享受补助人员满意度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财政部门及时足额拨付补贴资金，未出现拖欠现象，农民切实感受到政策带来的实惠，对项目高度认可。改进措施：建立常态化反馈机制，通过问卷调查、座谈会等形式，主动收集农民对项目的意见和建议，以便及时调整优化项目实施细节，保持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102.04</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普惠金融发展专项资金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113.00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64.52</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专项资金安排支出用于符合政策规定条件的创业担保贷款给予一定贴息，减轻创业者和用人单位负担，支持劳动者自主创业，自谋职业，引导用人单位创造更多就业岗位，推动解决特殊困难群体的结构性就业矛盾支持重要就业群体，小微企业，“三农”融资发展，推动普惠金融高质量发展。</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本年度我县用40万的中央小额担保贷款贴息资金拨付到贷款经办经融机构，扩大创业贷款支持对象，降低门槛，对信用度好、经营状况稳定的创业人员取消反担保，全力支持各类失业人员大胆实施创业计划，通过创业实现就业增收，带动更多劳动力实现就业。改变运营管理方式，多种方式经营，提高公共服务能力和效率。</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创业贷款发放金额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285万元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各地县监督检查次数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资金及时拨付率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资金足额拨付率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创业担保贷款回收率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今年新发放创业担保贷款436万，未达到还款期限。改进措施：应当提前与银行对接，确定好还款期限，将年度内需还款人数进行罗列，再设置目标值。申报创业担保贷款贴息的个人满意度100%-17.65%原因：本年创业担保贷款贴息发放及时，个人满意度提升。改进措施：在设置年初目标值时可以提前发放问卷，以此作为依据，在年初数字上有所增加，合理设置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111.11</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财政部门拨付贴息资金时限</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15天</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担保代偿率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创业担保贷款贴息政策知晓率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93%</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申报创业担保贷款贴息的个人满意度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原因：本年创业担保贷款贴息发放及时，个人满意度提升。改进措施：在设置年初目标值时可以提前发放问卷，以此作为依据，在年初数字上有所增加，合理设置目标值。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101.01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特克斯县转移劳动力就业保障项目资金、“圆梦计划”创业培训、就业招聘会宣传费、援疆资金公用经费（临工市场）</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78.72%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4.68</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36.21</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46.00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坚持“按需、务实、有效”，实现2024年农村富余转移劳动力就业人次达到100人次，参加“圆梦计划”创业培训人数达到20人次，就业招聘场次达到46场次，临工市场就业人次达到180人次/日。</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实现2024年农村富余转移劳动力就业人次达到144人次，参加“圆梦计划”创业培训人数达到20人次，就业招聘场次达到52场次，临工市场就业人次达到180人次/日，与企业深度合作，不断提升公共就业服务水平。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农村富余转移劳动力就业人次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就业开发办办深入农村，开展就业宣传活动，通过村民大会、乡村广播等形式宣传就业信息和政策。同时，根据劳动力技能和就业意向，精准匹配岗位信息，提高就业成功率。改进措施：加强对已就业农村劳动力的跟踪服务，了解其工作环境、薪资待遇等情况。联合劳动监察部门，保障劳动者合法权益；组织技能提升培训，助力他们向更高技能、更高收入岗位晋升。完善就业长效机制，建立农村劳动力就业信息库，实时更新劳动力就业、技能等动态信息；加强与企业长期合作，签订稳定的用工协议，形成稳定的就业渠道。</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144</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参加“圆梦计划”创业培训人数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对圆梦计划创业培训的宣传方式较为单一，仅通过线上渠道或有限的线下张贴海报等方式进行宣传，没有深入到目标群体中去，导致很多有创业意愿的人对该培训计划了解不够，参与积极性不高。改进措施：丰富宣传手段，除了线上线下常规宣传外，组织工作人员深入农村社区、集市等地，通过举办创业政策宣讲会、发放宣传手册等方式，面对面地向目标群体介绍圆梦计划创业培训的内容、优势和收益。同时，利用成功创业学员的案例进行宣传，增强培训计划的吸引力。</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就业招聘场次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当地就业市场竞争激烈，企业用工需求和求职者就业需求旺盛，双方都渴望通过更多招聘活动达成供需匹配，促使组织更多场次招聘会。就业开发办与各类企业、高校、社区等合作拓展顺利。与企业合作，深入了解其招聘计划；与高校联合举办校园招聘会，与社区协作针对特定群体开展招聘会，合作增多为举办更多场次创造条件。改进措施：每场招聘会前，加强对企业岗位信息审核，确保岗位真实有效且与求职者需求匹配度高；优化招聘会现场布局和流程，提高服务水平，如设置咨询台、引导标识等，提升参会体验。建立招聘会数据统计分析机制，每场招聘会后收集企业招聘成果、求职者满意度等数据；依据数据反馈调整后续招聘会组织策略，不断完善招聘服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113.04</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临工市场就业人次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资金使用准确率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资金及时到位率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“圆梦计划”培训资金每人标准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培训成本上涨，随着物价水平上升，培训所需的场地租赁费用、教材教具采购成本、授课师资费用等均有所提高。为提高培训质量和效果，对培训内容进行了拓展和深化。增加了实践操作课程的比重，引入了前沿的理论知识和案例分析，需要聘请更具专业背景和实践经验的专家授课，同时配备更多实操设备和材料，从而导致培训资金需求增加。改进措施：强化预算编制管理，充分开展市场调研，全面收集各类成本信息，考虑物价波动、培训内容更新等因素，采用滚动预算、零基预算等科学方法，提高预算编制的准确性和前瞻性。建立严格的培训资金使用管理制度，明确各项费用的开支标准和审批流程。</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转移劳动力就业保障项目资金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4.85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由于部分材料不符合要求，为确保资金的合理使用，只申请了部分资金，对不符合的材料所需资金未进行申报。改进措施：制定详细的项目推进计划，明确各阶段的工作任务和时间节点，加强对项目执行情况的监督和管理。对于进度滞后的环节，分析原因并采取针对性措施加以解决，确保项目按计划顺利推进，以符合资金拨付条件，及时足额获取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97.03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就业招聘会宣传费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本年度州局未单独安排就业招聘会宣传费自有资金。改进措施：除争取政府财政支持外，积极拓展多元化的资金筹集渠道，如与更多企业建立长期合作关系，争取社会机构捐赠等。同时，提前与各资金提供方签订明确的合作协议，规范资金拨付流程和时间，降低资金来源的不确定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援疆资金公用经费补助（临工市场）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4.44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由于本年度中旬开始要求购买电脑设备必须走框架协议，因年初已协商好供货商家，但商家的电脑设备未入围，因此无法履行政采云手续，导致9000元资金尚未使用。改进措施：对电脑设备的需求进行再次梳理，明确所需设备的具体规格、性能等要求，看是否可以选择入围框架协议的其他商家产品来满足需求。</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88.75</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提升就业培训创业服务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就业人员对就业创业服务满意度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就业创业服务机构针对市场需求和就业人员反馈，及时调整培训课程，增加热门行业技能培训，如电商直播、数据分析等课程，提升了就业人员的就业竞争力，从而获得更高满意度。改进措施：持续提升服务质量，定期回访就业人员，收集意见和建议，不断优化服务内容和流程；加强工作人员业务培训，提高服务水平和专业素养，为就业人员提供更优质、高效的服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87.72分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社保经办机构业务经费</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全面完成社会保险扩面指标及基金增收计划，保障社保经办机构的正常运转，为群众提供更优质的服务。</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社会经办机构有4名代办员，按每月750元进行补助，每人补助不超过7个月，提高社会保险代办员岗位稳定率，公务保障车2辆，确保社保经办机构各项工作的有序开展。</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代办员人数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3.75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原因：因每名代办员只能享受7个月的补助经费，因此人员变动率较大。改进措施：通过多渠道保障代办员补助，确保代办员的补助足额发放，确保人员不流失。</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75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参保工作人数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公务保障用车数量</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代办员每人每年补助月数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补助资金发放准确率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补助资金到位率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补助发放及时率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实施全民参保计划目标实施及时性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参保人数人均工作经费</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原因：因本年度业务量增加，且人员培训出差较多，导致需要更多的经费维持运营。改进措施：优化业务流程，严格控制各项费用支出，充分考虑各种因素的变化，合理设置绩效目标值。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119.35</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每人每月补助标准金额</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500元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充分发挥社会保险职能作用实现社会保险应保尽保的目标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提升社会保险覆盖面</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群众满意度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原因：社保经办机构通过强化服务水平、办事效率，群众满意度得到提升。改进措施：在设置年初目标值时可以提前发放问卷，以此作为依据，在年初数字上有所增加，合理设置目标值。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98.75分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财政城乡居民基本养老保险资金</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1,571.00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1,985.00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1,985.00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1,571.00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1,985.00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1,985.00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落实新政发【2014】76号文件要求，预计52433人参保缴费，11272人领取待遇；贫困人员6052人，死亡人员丧葬费785人，建立全覆盖的城乡居民养老保险制度，逐步缩小城乡差距，加大宣传力度，提高保障标准，完善激励机制，加大政府对城乡居民养老保险缴费补贴力度，强化长缴长得、多缴多得，增发缴费年限养老金，增加个人账户积累，切实提高城乡居民养老保障水平。</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今年实际完成城乡养老缴费参保人数达46939人，领取待遇人数11399人，保障参保人员待遇按时足额发放，做到“老有所养”，提高了退休人员的生活水平。</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城乡居民养老缴费参保人数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51268人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3.58</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2024年新增缴费人数1428人，转入46人，转出231人、在职人员死亡641人、清理暂停和非本地户籍707人,、退休1210人、暂停缴费4444人。改进措施：针对不同群体制定有针对性的宣传内容。例如，对年轻人强调养老保险的长期规划作用，对临近退休人员突出参保对保障晚年生活的重要性。利用社区宣传、线上媒体等多种渠道，提高政策知晓度，简化参保、转移接续等手续，推行线上办理服务，方便居民参保和流动就业人员的保险关系转移，减少转出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89.52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城乡居民养老保险待遇人数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9980人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新增缴费人员到龄退休人数增加1210人，较上年增幅大，属正常自然增长。改进措施：优化预算编制，在制定下一年度预算时，充分考虑到新增缴费人员到龄退休人数的增长趋势，更精准地预测养老保险待遇支出，确保资金充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101.13</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发放城乡居民养老保险待遇次数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待遇发放准确率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参保缴费财政补贴到位率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待遇发放及时率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参保缴费及时率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人均缴费参保补助资金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27.55元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财政补贴收入提前下达，按照上年决算缴费人数52698人预拨付今年，实际缴费46939人，因此人均补贴大于年度目标值。改进措施：与财政部门密切配合，建立定期信息共享和沟通机制。人社部门及时向财政部门提供参保人数变化趋势、政策调整等相关信息，财政部门根据这些信息合理安排补助资金预算，避免资金预拨与实际情况脱节。根据实际缴费人数动态调整补助资金的拨付，避免按固定人数预拨资金。可建立按月或按季度根据实际缴费人数进行资金结算和拨付的机制，确保补助资金与实际参保情况相匹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110.77</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每次待遇发放资金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预算支出标准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39.95万元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100.07</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提高城乡居民养老保障水平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原因：社保扩面覆盖力度加大，养老待遇提升，参保人员满意度随之提升。改进措施：在设置年初目标值时可以提前发放问卷，以此作为依据，在年初数字上有所增加，合理设置目标值。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104.17</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99.58分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财政对企业职工基本养老保险的补助（年初本级）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256.76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256.76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82.96%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5.74</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256.76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256.76</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213.00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依据新政办发【2018】153号，《自治区人民政府办公厅印发关于统一规范自治区企业职工基本养老保险政策的通知》，对我县企业离退休7871人进行养老待遇的发放和待遇的增资，全年需资金256.76万元，并按时足额发放待遇，提高企业退休人员的生活水平，高质量保障企业退休人员的生活。</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为提高企业退休人员的生活水平，高质量保障企业退休人员的生活，对我县企业离退休7731人进行养老待遇的发放和待遇的增资，全年支出资金213万元，确保退休企业职工待遇足额发放。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企业职工养老保险待遇领取人数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9.82</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依据新政办发【2018】153号，《自治区人民政府办公厅印发关于统一规范自治区企业职工基本养老保险政策的通知》，对我县企业离退休预计（7871人），实际7618人进行养老待遇的发放和待遇的增资，预计需求256.76万元，按照2024年人均调资129元。2023年人均调资160元，人均调资减少31元，降幅19.4%，所需资金同比减少；因此根据新财社【2024】26号《关于落实2024企业职工基本养老保险地方财政补助责任的通知》中上解分配表执行数213万元支付。改进措施：精准预测与动态调整：建立更完善的预测模型，除考虑政策因素外，还纳入人口流动、企业经营状况等变量，精准预测待遇领取人数和资金需求；密切关注政策变化，及时调整年初目标值和资金预算，增强目标值的合理性与预算的准确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98.22</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退休人员养老金发放次数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符合条件的企业退休人员基本养老保险足额发放率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符合条件的企业退休人员基本养老保险按时发放率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退休人员基本养老金人均水平</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16.89</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依据新政办发【2018】153号，《自治区人民政府办公厅印发关于统一规范自治区企业职工基本养老保险政策的通知》，对我县企业离退休预计（7871人），实际7618人进行养老待遇的发放和待遇的增资，预计需求256.76万元，按照2024年人均调资129元。2023年人均调资160元，人均调资减少31元，降幅19.4%，所需资金同比减少；因此根据新财社【2024】26号《关于落实2024企业职工基本养老保险地方财政补助责任的通知》中上解分配表执行数213万元支付，退休人员基本养老金人均水平随之下降。改进措施：精准预测与动态调整：建立更完善的预测模型，除考虑政策因素外，还纳入人口流动、企业经营状况等变量，精准预测待遇领取人数和资金需求；密切关注政策变化，及时调整年初目标值和资金预算，增强目标值的合理性与预算的准确性。</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84.46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保障参保人员基本生活</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企业退休人员满意度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原因：养老保险待遇提高，参保人员满意度提升。改进措施：合理设置绩效目标值，在年初时将预计增长的满意度也考虑到目标值范围内。</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105.26</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92.45分</w:t>
            </w:r>
          </w:p>
        </w:tc>
      </w:tr>
    </w:tbl>
    <w:p>
      <w:r>
        <w:br w:type="page"/>
      </w:r>
    </w:p>
    <w:tbl>
      <w:tblPr>
        <w:tblW w:type="auto" w:w="0"/>
        <w:tblLook w:firstColumn="1" w:firstRow="1" w:lastColumn="0" w:lastRow="0" w:noHBand="0" w:noVBand="1" w:val="04A0"/>
      </w:tblPr>
      <w:tblGrid>
        <w:gridCol w:w="632"/>
        <w:gridCol w:w="632"/>
        <w:gridCol w:w="632"/>
        <w:gridCol w:w="632"/>
        <w:gridCol w:w="632"/>
        <w:gridCol w:w="632"/>
        <w:gridCol w:w="632"/>
        <w:gridCol w:w="632"/>
        <w:gridCol w:w="632"/>
        <w:gridCol w:w="632"/>
        <w:gridCol w:w="632"/>
        <w:gridCol w:w="632"/>
        <w:gridCol w:w="632"/>
        <w:gridCol w:w="632"/>
      </w:tblGrid>
      <w:tr>
        <w:tc>
          <w:tcPr>
            <w:tcW w:type="dxa" w:w="8848"/>
            <w:gridSpan w:val="14"/>
            <w:vAlign w:val="center"/>
          </w:tcPr>
          <w:p>
            <w:pPr>
              <w:jc w:val="center"/>
            </w:pPr>
            <w:r>
              <w:rPr>
                <w:rFonts w:ascii="宋体" w:hAnsi="宋体" w:eastAsia="宋体"/>
                <w:sz w:val="24"/>
              </w:rPr>
              <w:t>项目支出绩效自评表</w:t>
            </w:r>
          </w:p>
        </w:tc>
      </w:tr>
      <w:tr>
        <w:tc>
          <w:tcPr>
            <w:tcW w:type="dxa" w:w="8848"/>
            <w:gridSpan w:val="14"/>
            <w:vAlign w:val="center"/>
          </w:tcPr>
          <w:p>
            <w:pPr>
              <w:jc w:val="center"/>
            </w:pPr>
            <w:r>
              <w:rPr>
                <w:rFonts w:ascii="宋体" w:hAnsi="宋体" w:eastAsia="宋体"/>
                <w:sz w:val="24"/>
              </w:rPr>
              <w:t>(2024年度)</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项目名称</w:t>
            </w:r>
          </w:p>
        </w:tc>
        <w:tc>
          <w:tcPr>
            <w:tcW w:type="dxa" w:w="8216"/>
            <w:gridSpan w:val="13"/>
            <w:tcBorders>
              <w:start w:sz="10" w:val="single"/>
              <w:top w:sz="10" w:val="single"/>
              <w:end w:sz="10" w:val="single"/>
              <w:bottom w:sz="10" w:val="single"/>
              <w:insideV w:sz="10" w:val="single"/>
            </w:tcBorders>
            <w:vAlign w:val="center"/>
          </w:tcPr>
          <w:p>
            <w:pPr>
              <w:jc w:val="center"/>
            </w:pPr>
            <w:r>
              <w:rPr>
                <w:rFonts w:ascii="宋体" w:hAnsi="宋体" w:eastAsia="宋体"/>
                <w:sz w:val="16"/>
              </w:rPr>
              <w:t>财政对机关事业单位养老保险的补助（年初本级）</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主管部门</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实施单位</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特克斯县人力资源和社会保障局</w:t>
            </w:r>
          </w:p>
        </w:tc>
      </w:tr>
      <w:tr>
        <w:tc>
          <w:tcPr>
            <w:tcW w:type="dxa" w:w="632"/>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资金来源</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年初预算数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全年预算数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全年执行数</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分值</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执行率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项目资金 （万元）</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年度资金总额</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100.00%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10.00</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其中：当年财政拨款</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5,400.00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3,600.00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 xml:space="preserve">  其他资金</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0.00</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目标完成情况</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预期目标</w:t>
            </w:r>
          </w:p>
        </w:tc>
        <w:tc>
          <w:tcPr>
            <w:tcW w:type="dxa" w:w="3792"/>
            <w:gridSpan w:val="6"/>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实际完成情况</w:t>
            </w:r>
          </w:p>
        </w:tc>
      </w:tr>
      <w:tr>
        <w:tc>
          <w:tcPr>
            <w:tcW w:type="dxa" w:w="632"/>
            <w:vMerge/>
            <w:tcBorders>
              <w:start w:sz="10" w:val="single"/>
              <w:top w:sz="10" w:val="single"/>
              <w:end w:sz="10" w:val="single"/>
              <w:bottom w:sz="10" w:val="single"/>
              <w:insideV w:sz="10" w:val="single"/>
            </w:tcBorders>
          </w:tcPr>
          <w:p/>
        </w:tc>
        <w:tc>
          <w:tcPr>
            <w:tcW w:type="dxa" w:w="4424"/>
            <w:gridSpan w:val="7"/>
            <w:tcBorders>
              <w:start w:sz="10" w:val="single"/>
              <w:top w:sz="10" w:val="single"/>
              <w:end w:sz="10" w:val="single"/>
              <w:bottom w:sz="10" w:val="single"/>
              <w:insideV w:sz="10" w:val="single"/>
            </w:tcBorders>
            <w:vAlign w:val="center"/>
          </w:tcPr>
          <w:p>
            <w:pPr>
              <w:jc w:val="both"/>
            </w:pPr>
            <w:r>
              <w:rPr>
                <w:rFonts w:ascii="宋体" w:hAnsi="宋体" w:eastAsia="宋体"/>
                <w:sz w:val="16"/>
              </w:rPr>
              <w:t>落实新政发【2015】105号文件要求，建立更加公平，可持续的养老保险制度，坚持全覆盖、保基本、多层次、可持续方针，以增强公平性、适应流动性、保证可持续性为重点，改革现行机关事业单位工作人员退休保障制度，资金来源多渠道、保障方式多层次、管理服务社会化的养老保险体系。机关事业单位工作人员要按照国家，自治区规定切实履行缴费义务，享受相应的养老保险待遇，形成责任共担、统筹互济的养老保险筹资和分配机制。建立健全基本养老金发放的筹资机制。享受退休待遇3713人，财政补助3600万元,收支平稳，保证退休人员的工资按月足额发放。</w:t>
            </w:r>
          </w:p>
        </w:tc>
        <w:tc>
          <w:tcPr>
            <w:tcW w:type="dxa" w:w="3792"/>
            <w:gridSpan w:val="6"/>
            <w:tcBorders>
              <w:start w:sz="10" w:val="single"/>
              <w:top w:sz="10" w:val="single"/>
              <w:end w:sz="10" w:val="single"/>
              <w:bottom w:sz="10" w:val="single"/>
              <w:insideV w:sz="10" w:val="single"/>
            </w:tcBorders>
            <w:vAlign w:val="center"/>
          </w:tcPr>
          <w:p>
            <w:pPr>
              <w:jc w:val="both"/>
            </w:pPr>
            <w:r>
              <w:rPr>
                <w:rFonts w:ascii="宋体" w:hAnsi="宋体" w:eastAsia="宋体"/>
                <w:sz w:val="16"/>
              </w:rPr>
              <w:t>全年为机关事业单位退休3713人，财政补助3600万元，保障了全县机关事业单位退休人员养老金待遇按时足额发放。</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一级指标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二级指标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三级指标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年度指标值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指标值设定依据</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上年完成情况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权重</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赋分规则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佐证资料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实际完成值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偏差原因分析及改进措施</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完成率</w:t>
            </w:r>
          </w:p>
        </w:tc>
      </w:tr>
      <w:tr>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产出指标</w:t>
            </w:r>
          </w:p>
        </w:tc>
        <w:tc>
          <w:tcPr>
            <w:tcW w:type="dxa" w:w="632"/>
            <w:vMerge w:val="restart"/>
            <w:tcBorders>
              <w:start w:sz="10" w:val="single"/>
              <w:top w:sz="10" w:val="single"/>
              <w:end w:sz="10" w:val="single"/>
              <w:bottom w:sz="10" w:val="single"/>
              <w:insideV w:sz="10" w:val="single"/>
            </w:tcBorders>
            <w:vAlign w:val="center"/>
          </w:tcPr>
          <w:p>
            <w:pPr>
              <w:jc w:val="center"/>
            </w:pPr>
            <w:r>
              <w:rPr>
                <w:rFonts w:ascii="宋体" w:hAnsi="宋体" w:eastAsia="宋体"/>
                <w:sz w:val="16"/>
              </w:rPr>
              <w:t>数量指标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发放养老金人数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3513人</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vMerge/>
            <w:tcBorders>
              <w:start w:sz="10" w:val="single"/>
              <w:top w:sz="10" w:val="single"/>
              <w:end w:sz="10" w:val="single"/>
              <w:bottom w:sz="10" w:val="single"/>
              <w:insideV w:sz="10" w:val="single"/>
            </w:tcBorders>
          </w:tcP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发放养老待遇次数</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12次</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质量指标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退休人员养老金足额发放率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vMerge/>
            <w:tcBorders>
              <w:start w:sz="10" w:val="single"/>
              <w:top w:sz="10" w:val="single"/>
              <w:end w:sz="10" w:val="single"/>
              <w:bottom w:sz="10" w:val="single"/>
              <w:insideV w:sz="10" w:val="single"/>
            </w:tcBorders>
          </w:tcP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时效指标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养老金发放及时率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成本指标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经济成本指标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月发放养老金</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450万/元</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按照完成比例赋分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原始凭证</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效益指标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社会效益指标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待遇确定机制和基础性养老金调整机制不断完善</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无</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按评判等级赋分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20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满意度指标</w:t>
            </w:r>
          </w:p>
        </w:tc>
        <w:tc>
          <w:tcPr>
            <w:tcW w:type="dxa" w:w="1264"/>
            <w:gridSpan w:val="2"/>
            <w:tcBorders>
              <w:start w:sz="10" w:val="single"/>
              <w:top w:sz="10" w:val="single"/>
              <w:end w:sz="10" w:val="single"/>
              <w:bottom w:sz="10" w:val="single"/>
              <w:insideV w:sz="10" w:val="single"/>
            </w:tcBorders>
            <w:vAlign w:val="center"/>
          </w:tcPr>
          <w:p>
            <w:pPr>
              <w:jc w:val="center"/>
            </w:pPr>
            <w:r>
              <w:rPr>
                <w:rFonts w:ascii="宋体" w:hAnsi="宋体" w:eastAsia="宋体"/>
                <w:sz w:val="16"/>
              </w:rPr>
              <w:t>参保人员满意度</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计划标准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96%</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满意度赋分</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工作资料</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年度绩效指标完成情况</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原因：机关养老保险待遇提高，参保人员满意度提升。改进措施：在设置年初目标值时可以提前发放问卷，以此作为依据，在年初数字上有所增加，合理设置目标值。</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101.01</w:t>
            </w:r>
          </w:p>
        </w:tc>
      </w:tr>
      <w:tr>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总分</w:t>
            </w:r>
          </w:p>
        </w:tc>
        <w:tc>
          <w:tcPr>
            <w:tcW w:type="dxa" w:w="4424"/>
            <w:gridSpan w:val="7"/>
            <w:tcBorders>
              <w:start w:sz="10" w:val="single"/>
              <w:top w:sz="10" w:val="single"/>
              <w:end w:sz="10" w:val="single"/>
              <w:bottom w:sz="10" w:val="single"/>
              <w:insideV w:sz="10" w:val="single"/>
            </w:tcBorders>
            <w:vAlign w:val="center"/>
          </w:tcPr>
          <w:p>
            <w:pPr>
              <w:jc w:val="center"/>
            </w:pPr>
            <w:r>
              <w:rPr>
                <w:rFonts w:ascii="宋体" w:hAnsi="宋体" w:eastAsia="宋体"/>
                <w:sz w:val="16"/>
              </w:rPr>
              <w:t>100</w:t>
            </w:r>
          </w:p>
        </w:tc>
        <w:tc>
          <w:tcPr>
            <w:tcW w:type="dxa" w:w="632"/>
            <w:tcBorders>
              <w:start w:sz="10" w:val="single"/>
              <w:top w:sz="10" w:val="single"/>
              <w:end w:sz="10" w:val="single"/>
              <w:bottom w:sz="10" w:val="single"/>
              <w:insideV w:sz="10" w:val="single"/>
            </w:tcBorders>
            <w:vAlign w:val="center"/>
          </w:tcPr>
          <w:p>
            <w:pPr>
              <w:jc w:val="center"/>
            </w:pPr>
            <w:r>
              <w:rPr>
                <w:rFonts w:ascii="宋体" w:hAnsi="宋体" w:eastAsia="宋体"/>
                <w:sz w:val="16"/>
              </w:rPr>
              <w:t>得分</w:t>
            </w:r>
          </w:p>
        </w:tc>
        <w:tc>
          <w:tcPr>
            <w:tcW w:type="dxa" w:w="3160"/>
            <w:gridSpan w:val="5"/>
            <w:tcBorders>
              <w:start w:sz="10" w:val="single"/>
              <w:top w:sz="10" w:val="single"/>
              <w:end w:sz="10" w:val="single"/>
              <w:bottom w:sz="10" w:val="single"/>
              <w:insideV w:sz="10" w:val="single"/>
            </w:tcBorders>
            <w:vAlign w:val="center"/>
          </w:tcPr>
          <w:p>
            <w:pPr>
              <w:jc w:val="center"/>
            </w:pPr>
            <w:r>
              <w:rPr>
                <w:rFonts w:ascii="宋体" w:hAnsi="宋体" w:eastAsia="宋体"/>
                <w:sz w:val="16"/>
              </w:rPr>
              <w:t>100分</w:t>
            </w:r>
          </w:p>
        </w:tc>
      </w:tr>
    </w:tbl>
    <w:p>
      <w:r>
        <w:br w:type="page"/>
      </w:r>
    </w:p>
    <w:p>
      <w:pPr>
        <w:spacing w:line="640" w:lineRule="exact"/>
        <w:ind w:firstLine="640"/>
        <w:jc w:val="both"/>
        <w:outlineLvl w:val="2"/>
      </w:pPr>
      <w:r>
        <w:rPr>
          <w:rFonts w:ascii="黑体" w:hAnsi="黑体" w:eastAsia="黑体"/>
          <w:sz w:val="32"/>
        </w:rPr>
        <w:t>十二、其他需说明的事项</w:t>
      </w:r>
    </w:p>
    <w:p>
      <w:pPr>
        <w:spacing w:line="580" w:lineRule="exact"/>
        <w:ind w:firstLine="640"/>
        <w:jc w:val="both"/>
      </w:pPr>
      <w:r>
        <w:rPr>
          <w:rFonts w:ascii="仿宋_GB2312" w:hAnsi="仿宋_GB2312" w:eastAsia="仿宋_GB2312"/>
          <w:b w:val="0"/>
          <w:sz w:val="32"/>
        </w:rPr>
        <w:t>本单位无其他需说明的事项。</w:t>
      </w:r>
    </w:p>
    <w:p>
      <w:r>
        <w:br w:type="page"/>
      </w:r>
    </w:p>
    <w:p>
      <w:pPr>
        <w:spacing w:line="240" w:lineRule="auto"/>
        <w:jc w:val="center"/>
        <w:outlineLvl w:val="1"/>
      </w:pPr>
      <w:r>
        <w:rPr>
          <w:rFonts w:ascii="黑体" w:hAnsi="黑体" w:eastAsia="黑体"/>
          <w:sz w:val="32"/>
        </w:rPr>
        <w:t>第三部分 专业名词解释</w:t>
      </w:r>
    </w:p>
    <w:p>
      <w:pPr>
        <w:spacing w:line="240" w:lineRule="auto"/>
        <w:ind w:firstLine="640"/>
        <w:jc w:val="both"/>
      </w:pPr>
      <w:r>
        <w:rPr>
          <w:rFonts w:ascii="仿宋_GB2312" w:hAnsi="仿宋_GB2312" w:eastAsia="仿宋_GB2312"/>
          <w:b/>
          <w:sz w:val="32"/>
        </w:rPr>
        <w:t>一、财政拨款收入：</w:t>
      </w:r>
      <w:r>
        <w:rPr>
          <w:rFonts w:ascii="仿宋_GB2312" w:hAnsi="仿宋_GB2312" w:eastAsia="仿宋_GB2312"/>
          <w:b w:val="0"/>
          <w:sz w:val="32"/>
        </w:rPr>
        <w:t>指同级财政当年拨付的资金。</w:t>
      </w:r>
    </w:p>
    <w:p>
      <w:pPr>
        <w:spacing w:line="240" w:lineRule="auto"/>
        <w:ind w:firstLine="640"/>
        <w:jc w:val="both"/>
      </w:pPr>
      <w:r>
        <w:rPr>
          <w:rFonts w:ascii="仿宋_GB2312" w:hAnsi="仿宋_GB2312" w:eastAsia="仿宋_GB2312"/>
          <w:b/>
          <w:sz w:val="32"/>
        </w:rPr>
        <w:t>二、上级补助收入：</w:t>
      </w:r>
      <w:r>
        <w:rPr>
          <w:rFonts w:ascii="仿宋_GB2312" w:hAnsi="仿宋_GB2312" w:eastAsia="仿宋_GB2312"/>
          <w:b w:val="0"/>
          <w:sz w:val="32"/>
        </w:rPr>
        <w:t>指事业单位从主管部门和上级单位取得的非财政补助收入。</w:t>
      </w:r>
    </w:p>
    <w:p>
      <w:pPr>
        <w:spacing w:line="240" w:lineRule="auto"/>
        <w:ind w:firstLine="640"/>
        <w:jc w:val="both"/>
      </w:pPr>
      <w:r>
        <w:rPr>
          <w:rFonts w:ascii="仿宋_GB2312" w:hAnsi="仿宋_GB2312" w:eastAsia="仿宋_GB2312"/>
          <w:b/>
          <w:sz w:val="32"/>
        </w:rPr>
        <w:t>三、事业收入：</w:t>
      </w:r>
      <w:r>
        <w:rPr>
          <w:rFonts w:ascii="仿宋_GB2312" w:hAnsi="仿宋_GB2312" w:eastAsia="仿宋_GB2312"/>
          <w:b w:val="0"/>
          <w:sz w:val="32"/>
        </w:rPr>
        <w:t>指事业单位开展专业业务活动及其辅助活动所取得的收入。</w:t>
      </w:r>
    </w:p>
    <w:p>
      <w:pPr>
        <w:spacing w:line="240" w:lineRule="auto"/>
        <w:ind w:firstLine="640"/>
        <w:jc w:val="both"/>
      </w:pPr>
      <w:r>
        <w:rPr>
          <w:rFonts w:ascii="仿宋_GB2312" w:hAnsi="仿宋_GB2312" w:eastAsia="仿宋_GB2312"/>
          <w:b/>
          <w:sz w:val="32"/>
        </w:rPr>
        <w:t>四、经营收入：</w:t>
      </w:r>
      <w:r>
        <w:rPr>
          <w:rFonts w:ascii="仿宋_GB2312" w:hAnsi="仿宋_GB2312" w:eastAsia="仿宋_GB2312"/>
          <w:b w:val="0"/>
          <w:sz w:val="32"/>
        </w:rPr>
        <w:t>指事业单位在专业业务活动及其辅助活动之外开展非独立核算经营活动取得的收入。</w:t>
      </w:r>
    </w:p>
    <w:p>
      <w:pPr>
        <w:spacing w:line="240" w:lineRule="auto"/>
        <w:ind w:firstLine="640"/>
        <w:jc w:val="both"/>
      </w:pPr>
      <w:r>
        <w:rPr>
          <w:rFonts w:ascii="仿宋_GB2312" w:hAnsi="仿宋_GB2312" w:eastAsia="仿宋_GB2312"/>
          <w:b/>
          <w:sz w:val="32"/>
        </w:rPr>
        <w:t>五、附属单位上缴收入：</w:t>
      </w:r>
      <w:r>
        <w:rPr>
          <w:rFonts w:ascii="仿宋_GB2312" w:hAnsi="仿宋_GB2312" w:eastAsia="仿宋_GB2312"/>
          <w:b w:val="0"/>
          <w:sz w:val="32"/>
        </w:rPr>
        <w:t>指事业单位附属的独立核算单位按有关规定上缴的收入。</w:t>
      </w:r>
    </w:p>
    <w:p>
      <w:pPr>
        <w:spacing w:line="240" w:lineRule="auto"/>
        <w:ind w:firstLine="640"/>
        <w:jc w:val="both"/>
      </w:pPr>
      <w:r>
        <w:rPr>
          <w:rFonts w:ascii="仿宋_GB2312" w:hAnsi="仿宋_GB2312" w:eastAsia="仿宋_GB2312"/>
          <w:b/>
          <w:sz w:val="32"/>
        </w:rPr>
        <w:t>六、其他收入：</w:t>
      </w:r>
      <w:r>
        <w:rPr>
          <w:rFonts w:ascii="仿宋_GB2312" w:hAnsi="仿宋_GB2312" w:eastAsia="仿宋_GB2312"/>
          <w:b w:val="0"/>
          <w:sz w:val="32"/>
        </w:rPr>
        <w:t>指除上述“财政拨款收入”、“事业收入”、“经营收入”、“附属单位上缴收入”等之外取得的收入。</w:t>
      </w:r>
    </w:p>
    <w:p>
      <w:pPr>
        <w:spacing w:line="240" w:lineRule="auto"/>
        <w:ind w:firstLine="640"/>
        <w:jc w:val="both"/>
      </w:pPr>
      <w:r>
        <w:rPr>
          <w:rFonts w:ascii="仿宋_GB2312" w:hAnsi="仿宋_GB2312" w:eastAsia="仿宋_GB2312"/>
          <w:b/>
          <w:sz w:val="32"/>
        </w:rPr>
        <w:t>七、年初结转和结余：</w:t>
      </w:r>
      <w:r>
        <w:rPr>
          <w:rFonts w:ascii="仿宋_GB2312" w:hAnsi="仿宋_GB2312" w:eastAsia="仿宋_GB2312"/>
          <w:b w:val="0"/>
          <w:sz w:val="32"/>
        </w:rPr>
        <w:t>指以前年度支出预算因客观条件变化未执行完毕、结转到本年度按有关规定继续使用的资金，既包括财政拨款结转和结余，也包括事业收入、经营收入、其他收入的结转和结余。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八、年末结转和结余：</w:t>
      </w:r>
      <w:r>
        <w:rPr>
          <w:rFonts w:ascii="仿宋_GB2312" w:hAnsi="仿宋_GB2312" w:eastAsia="仿宋_GB2312"/>
          <w:b w:val="0"/>
          <w:sz w:val="32"/>
        </w:rPr>
        <w:t>指本年度或以前年度预算安排、因客观条件发生变化无法按原计划实施，需要延迟到以后年度按有关规定继续使用的资金，既包括财政拨款结转和结余，也包括事业收入、经营收入、其他收入的结转和结余。</w:t>
      </w:r>
    </w:p>
    <w:p>
      <w:pPr>
        <w:spacing w:line="240" w:lineRule="auto"/>
        <w:ind w:firstLine="640"/>
        <w:jc w:val="both"/>
      </w:pPr>
      <w:r>
        <w:rPr>
          <w:rFonts w:ascii="仿宋_GB2312" w:hAnsi="仿宋_GB2312" w:eastAsia="仿宋_GB2312"/>
          <w:b/>
          <w:sz w:val="32"/>
        </w:rPr>
        <w:t>九、基本支出：</w:t>
      </w:r>
      <w:r>
        <w:rPr>
          <w:rFonts w:ascii="仿宋_GB2312" w:hAnsi="仿宋_GB2312" w:eastAsia="仿宋_GB2312"/>
          <w:b w:val="0"/>
          <w:sz w:val="32"/>
        </w:rPr>
        <w:t>指为保障机构正常运转、完成日常工作任务而发生的人员支出和公用支出。</w:t>
      </w:r>
    </w:p>
    <w:p>
      <w:pPr>
        <w:spacing w:line="240" w:lineRule="auto"/>
        <w:ind w:firstLine="640"/>
        <w:jc w:val="both"/>
      </w:pPr>
      <w:r>
        <w:rPr>
          <w:rFonts w:ascii="仿宋_GB2312" w:hAnsi="仿宋_GB2312" w:eastAsia="仿宋_GB2312"/>
          <w:b/>
          <w:sz w:val="32"/>
        </w:rPr>
        <w:t>十、项目支出：</w:t>
      </w:r>
      <w:r>
        <w:rPr>
          <w:rFonts w:ascii="仿宋_GB2312" w:hAnsi="仿宋_GB2312" w:eastAsia="仿宋_GB2312"/>
          <w:b w:val="0"/>
          <w:sz w:val="32"/>
        </w:rPr>
        <w:t>指在基本支出之外为完成特定行政任务和事业发展目标所发生的支出。</w:t>
      </w:r>
    </w:p>
    <w:p>
      <w:pPr>
        <w:spacing w:line="240" w:lineRule="auto"/>
        <w:ind w:firstLine="640"/>
        <w:jc w:val="both"/>
      </w:pPr>
      <w:r>
        <w:rPr>
          <w:rFonts w:ascii="仿宋_GB2312" w:hAnsi="仿宋_GB2312" w:eastAsia="仿宋_GB2312"/>
          <w:b/>
          <w:sz w:val="32"/>
        </w:rPr>
        <w:t>十一、经营支出：</w:t>
      </w:r>
      <w:r>
        <w:rPr>
          <w:rFonts w:ascii="仿宋_GB2312" w:hAnsi="仿宋_GB2312" w:eastAsia="仿宋_GB2312"/>
          <w:b w:val="0"/>
          <w:sz w:val="32"/>
        </w:rPr>
        <w:t>指事业单位在专业业务活动及其辅助活动之外开展非独立核算经营活动发生的支出。</w:t>
      </w:r>
    </w:p>
    <w:p>
      <w:pPr>
        <w:spacing w:line="240" w:lineRule="auto"/>
        <w:ind w:firstLine="640"/>
        <w:jc w:val="both"/>
      </w:pPr>
      <w:r>
        <w:rPr>
          <w:rFonts w:ascii="仿宋_GB2312" w:hAnsi="仿宋_GB2312" w:eastAsia="仿宋_GB2312"/>
          <w:b/>
          <w:sz w:val="32"/>
        </w:rPr>
        <w:t>十二、对附属单位补助支出：</w:t>
      </w:r>
      <w:r>
        <w:rPr>
          <w:rFonts w:ascii="仿宋_GB2312" w:hAnsi="仿宋_GB2312" w:eastAsia="仿宋_GB2312"/>
          <w:b w:val="0"/>
          <w:sz w:val="32"/>
        </w:rPr>
        <w:t>指事业单位发生的用非财政预算资金对附属单位的补助支出。</w:t>
      </w:r>
    </w:p>
    <w:p>
      <w:pPr>
        <w:spacing w:line="240" w:lineRule="auto"/>
        <w:ind w:firstLine="640"/>
        <w:jc w:val="both"/>
      </w:pPr>
      <w:r>
        <w:rPr>
          <w:rFonts w:ascii="仿宋_GB2312" w:hAnsi="仿宋_GB2312" w:eastAsia="仿宋_GB2312"/>
          <w:b/>
          <w:sz w:val="32"/>
        </w:rPr>
        <w:t>十三、“三公”经费：</w:t>
      </w:r>
      <w:r>
        <w:rPr>
          <w:rFonts w:ascii="仿宋_GB2312" w:hAnsi="仿宋_GB2312" w:eastAsia="仿宋_GB2312"/>
          <w:b w:val="0"/>
          <w:sz w:val="32"/>
        </w:rPr>
        <w:t>指用财政拨款安排的因公出国（境）费、公务用车购置及运行费和公务接待费。其中，因公出国（境）费反映单位公务出国（境）的国际旅费、国外城市间交通费、住宿费、伙食费、培训费、公杂费等支出；公务用车购置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spacing w:line="240" w:lineRule="auto"/>
        <w:ind w:firstLine="640"/>
        <w:jc w:val="both"/>
      </w:pPr>
      <w:r>
        <w:rPr>
          <w:rFonts w:ascii="仿宋_GB2312" w:hAnsi="仿宋_GB2312" w:eastAsia="仿宋_GB2312"/>
          <w:b/>
          <w:sz w:val="32"/>
        </w:rPr>
        <w:t>十四、机关运行经费：</w:t>
      </w:r>
      <w:r>
        <w:rPr>
          <w:rFonts w:ascii="仿宋_GB2312" w:hAnsi="仿宋_GB2312" w:eastAsia="仿宋_GB2312"/>
          <w:b w:val="0"/>
          <w:sz w:val="32"/>
        </w:rPr>
        <w:t>行政单位和参照公务员法管理的事业单位财政拨款基本支出中的公用经费支出。</w:t>
      </w:r>
    </w:p>
    <w:p>
      <w:r>
        <w:br w:type="page"/>
      </w:r>
    </w:p>
    <w:p>
      <w:pPr>
        <w:spacing w:line="240" w:lineRule="auto"/>
        <w:jc w:val="center"/>
        <w:outlineLvl w:val="1"/>
      </w:pPr>
      <w:r>
        <w:rPr>
          <w:rFonts w:ascii="黑体" w:hAnsi="黑体" w:eastAsia="黑体"/>
          <w:sz w:val="32"/>
        </w:rPr>
        <w:t>第四部分 部门决算报表（见附表）</w:t>
      </w:r>
    </w:p>
    <w:p>
      <w:pPr>
        <w:spacing w:line="240" w:lineRule="auto"/>
        <w:ind w:firstLine="640"/>
        <w:jc w:val="both"/>
      </w:pPr>
      <w:r>
        <w:rPr>
          <w:rFonts w:ascii="仿宋_GB2312" w:hAnsi="仿宋_GB2312" w:eastAsia="仿宋_GB2312"/>
          <w:b w:val="0"/>
          <w:sz w:val="32"/>
        </w:rPr>
        <w:t>一、《收入支出决算总表》</w:t>
      </w:r>
    </w:p>
    <w:p>
      <w:pPr>
        <w:spacing w:line="240" w:lineRule="auto"/>
        <w:ind w:firstLine="640"/>
        <w:jc w:val="both"/>
      </w:pPr>
      <w:r>
        <w:rPr>
          <w:rFonts w:ascii="仿宋_GB2312" w:hAnsi="仿宋_GB2312" w:eastAsia="仿宋_GB2312"/>
          <w:b w:val="0"/>
          <w:sz w:val="32"/>
        </w:rPr>
        <w:t>二、《收入决算表》</w:t>
      </w:r>
    </w:p>
    <w:p>
      <w:pPr>
        <w:spacing w:line="240" w:lineRule="auto"/>
        <w:ind w:firstLine="640"/>
        <w:jc w:val="both"/>
      </w:pPr>
      <w:r>
        <w:rPr>
          <w:rFonts w:ascii="仿宋_GB2312" w:hAnsi="仿宋_GB2312" w:eastAsia="仿宋_GB2312"/>
          <w:b w:val="0"/>
          <w:sz w:val="32"/>
        </w:rPr>
        <w:t>三、《支出决算表》</w:t>
      </w:r>
    </w:p>
    <w:p>
      <w:pPr>
        <w:spacing w:line="240" w:lineRule="auto"/>
        <w:ind w:firstLine="640"/>
        <w:jc w:val="both"/>
      </w:pPr>
      <w:r>
        <w:rPr>
          <w:rFonts w:ascii="仿宋_GB2312" w:hAnsi="仿宋_GB2312" w:eastAsia="仿宋_GB2312"/>
          <w:b w:val="0"/>
          <w:sz w:val="32"/>
        </w:rPr>
        <w:t>四、《财政拨款收入支出决算总表》</w:t>
      </w:r>
    </w:p>
    <w:p>
      <w:pPr>
        <w:spacing w:line="240" w:lineRule="auto"/>
        <w:ind w:firstLine="640"/>
        <w:jc w:val="both"/>
      </w:pPr>
      <w:r>
        <w:rPr>
          <w:rFonts w:ascii="仿宋_GB2312" w:hAnsi="仿宋_GB2312" w:eastAsia="仿宋_GB2312"/>
          <w:b w:val="0"/>
          <w:sz w:val="32"/>
        </w:rPr>
        <w:t>五、《一般公共预算财政拨款支出决算表》</w:t>
      </w:r>
    </w:p>
    <w:p>
      <w:pPr>
        <w:spacing w:line="240" w:lineRule="auto"/>
        <w:ind w:firstLine="640"/>
        <w:jc w:val="both"/>
      </w:pPr>
      <w:r>
        <w:rPr>
          <w:rFonts w:ascii="仿宋_GB2312" w:hAnsi="仿宋_GB2312" w:eastAsia="仿宋_GB2312"/>
          <w:b w:val="0"/>
          <w:sz w:val="32"/>
        </w:rPr>
        <w:t>六、《一般公共预算财政拨款基本支出决算表》</w:t>
      </w:r>
    </w:p>
    <w:p>
      <w:pPr>
        <w:spacing w:line="240" w:lineRule="auto"/>
        <w:ind w:firstLine="640"/>
        <w:jc w:val="both"/>
      </w:pPr>
      <w:r>
        <w:rPr>
          <w:rFonts w:ascii="仿宋_GB2312" w:hAnsi="仿宋_GB2312" w:eastAsia="仿宋_GB2312"/>
          <w:b w:val="0"/>
          <w:sz w:val="32"/>
        </w:rPr>
        <w:t>七、《政府性基金预算财政拨款收入支出决算表》</w:t>
      </w:r>
    </w:p>
    <w:p>
      <w:pPr>
        <w:spacing w:line="240" w:lineRule="auto"/>
        <w:ind w:firstLine="640"/>
        <w:jc w:val="both"/>
      </w:pPr>
      <w:r>
        <w:rPr>
          <w:rFonts w:ascii="仿宋_GB2312" w:hAnsi="仿宋_GB2312" w:eastAsia="仿宋_GB2312"/>
          <w:b w:val="0"/>
          <w:sz w:val="32"/>
        </w:rPr>
        <w:t>八、《国有资本经营预算财政拨款收入支出决算表》</w:t>
      </w:r>
    </w:p>
    <w:p>
      <w:pPr>
        <w:spacing w:line="240" w:lineRule="auto"/>
        <w:ind w:firstLine="640"/>
        <w:jc w:val="both"/>
      </w:pPr>
      <w:r>
        <w:rPr>
          <w:rFonts w:ascii="仿宋_GB2312" w:hAnsi="仿宋_GB2312" w:eastAsia="仿宋_GB2312"/>
          <w:b w:val="0"/>
          <w:sz w:val="32"/>
        </w:rPr>
        <w:t>九、《财政拨款“三公”经费支出决算表》</w:t>
      </w: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p>
      <w:pPr>
        <w:spacing w:line="240" w:lineRule="auto"/>
        <w:ind w:firstLine="640"/>
        <w:jc w:val="both"/>
      </w:pPr>
    </w:p>
    <w:sectPr>
      <w:footerReference r:id="rId3" w:type="default"/>
      <w:pgSz w:w="11906" w:h="16838"/>
      <w:pgMar w:top="2098" w:right="1531" w:bottom="1984" w:left="1531"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altName w:val="微软雅黑"/>
    <w:panose1 w:val="02000000000000000000"/>
    <w:charset w:val="86"/>
    <w:family w:val="script"/>
    <w:pitch w:val="default"/>
    <w:sig w:usb0="00000000" w:usb1="00000000" w:usb2="00082016" w:usb3="00000000" w:csb0="00040001" w:csb1="00000000"/>
  </w:font>
  <w:font w:name="仿宋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BECF23B">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vert="horz" wrap="none" lIns="0" tIns="0" rIns="0" bIns="0" anchor="t" anchorCtr="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">
              <v:fill on="f" focussize="0,0"/>
              <v:stroke on="f"/>
              <v:imagedata o:title=""/>
              <o:lock v:ext="edit" aspectratio="f"/>
              <v:textbox inset="0mm,0mm,0mm,0mm" style="mso-fit-shape-to-text:t;">
                <w:txbxContent>
                  <w:p w14:paraId="6895DB72">
                    <w:pPr>
                      <w:pStyle w:val="4"/>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hyphenationZone w:val="36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AwYmRmZTlkODBlYWI2MWEzOGMyNWRlOTFmY2QzMTQifQ=="/>
  </w:docVars>
  <w:rsids>
    <w:rsidRoot w:val="00000000"/>
    <w:rsid w:val="021B7195"/>
    <w:rsid w:val="02F73D26"/>
    <w:rsid w:val="034D4FEF"/>
    <w:rsid w:val="043E5B56"/>
    <w:rsid w:val="06792773"/>
    <w:rsid w:val="09A729D8"/>
    <w:rsid w:val="0A3C58E8"/>
    <w:rsid w:val="0A7B4867"/>
    <w:rsid w:val="0B8C3ECC"/>
    <w:rsid w:val="0C3613A3"/>
    <w:rsid w:val="0C7227A7"/>
    <w:rsid w:val="0DCA6EF7"/>
    <w:rsid w:val="0E4B1576"/>
    <w:rsid w:val="0EA04331"/>
    <w:rsid w:val="0F9811B3"/>
    <w:rsid w:val="11E15093"/>
    <w:rsid w:val="120E0809"/>
    <w:rsid w:val="19071D6C"/>
    <w:rsid w:val="19B5554D"/>
    <w:rsid w:val="1B8F2D19"/>
    <w:rsid w:val="1C317E4F"/>
    <w:rsid w:val="1C472464"/>
    <w:rsid w:val="1DAF458D"/>
    <w:rsid w:val="1E086ACE"/>
    <w:rsid w:val="1E4B5CA5"/>
    <w:rsid w:val="1EAA4A5F"/>
    <w:rsid w:val="1F587A0B"/>
    <w:rsid w:val="2064678E"/>
    <w:rsid w:val="20BC0B75"/>
    <w:rsid w:val="20DD6197"/>
    <w:rsid w:val="21F317F2"/>
    <w:rsid w:val="2241392C"/>
    <w:rsid w:val="23BC04D2"/>
    <w:rsid w:val="25275618"/>
    <w:rsid w:val="27CE017C"/>
    <w:rsid w:val="27CF2642"/>
    <w:rsid w:val="282459E2"/>
    <w:rsid w:val="29116777"/>
    <w:rsid w:val="2A053397"/>
    <w:rsid w:val="2A444FB1"/>
    <w:rsid w:val="2A6064E2"/>
    <w:rsid w:val="2C1965E9"/>
    <w:rsid w:val="2D1136DF"/>
    <w:rsid w:val="2DAE0E44"/>
    <w:rsid w:val="2FD27414"/>
    <w:rsid w:val="313F1D52"/>
    <w:rsid w:val="318029AB"/>
    <w:rsid w:val="31C63837"/>
    <w:rsid w:val="326F0A17"/>
    <w:rsid w:val="3277581B"/>
    <w:rsid w:val="38006E2C"/>
    <w:rsid w:val="3914510A"/>
    <w:rsid w:val="3B1220C9"/>
    <w:rsid w:val="3D5275AC"/>
    <w:rsid w:val="3EA7725F"/>
    <w:rsid w:val="3EC014A1"/>
    <w:rsid w:val="40834692"/>
    <w:rsid w:val="423A32B2"/>
    <w:rsid w:val="423C0CB4"/>
    <w:rsid w:val="427B5743"/>
    <w:rsid w:val="42E64542"/>
    <w:rsid w:val="464B7E04"/>
    <w:rsid w:val="464F7E64"/>
    <w:rsid w:val="46901EEE"/>
    <w:rsid w:val="469C74D2"/>
    <w:rsid w:val="47445515"/>
    <w:rsid w:val="4B4C0111"/>
    <w:rsid w:val="4BB23021"/>
    <w:rsid w:val="4F3F074E"/>
    <w:rsid w:val="50DB5F45"/>
    <w:rsid w:val="52F92565"/>
    <w:rsid w:val="543D17CB"/>
    <w:rsid w:val="55DA564E"/>
    <w:rsid w:val="56E07045"/>
    <w:rsid w:val="583059FA"/>
    <w:rsid w:val="587E6212"/>
    <w:rsid w:val="5AFC6609"/>
    <w:rsid w:val="5FA17648"/>
    <w:rsid w:val="5FD320BD"/>
    <w:rsid w:val="60DE4D57"/>
    <w:rsid w:val="613409CB"/>
    <w:rsid w:val="61A46A97"/>
    <w:rsid w:val="62DD7D21"/>
    <w:rsid w:val="65D97752"/>
    <w:rsid w:val="664C500C"/>
    <w:rsid w:val="67D111AB"/>
    <w:rsid w:val="68DB0208"/>
    <w:rsid w:val="68DF36D5"/>
    <w:rsid w:val="69846A0E"/>
    <w:rsid w:val="69AD798C"/>
    <w:rsid w:val="6B68175F"/>
    <w:rsid w:val="6B8B5C99"/>
    <w:rsid w:val="6CA7198F"/>
    <w:rsid w:val="6D8919A8"/>
    <w:rsid w:val="6E0F7A08"/>
    <w:rsid w:val="6E801ABC"/>
    <w:rsid w:val="71473612"/>
    <w:rsid w:val="718F7F65"/>
    <w:rsid w:val="73423603"/>
    <w:rsid w:val="737A5923"/>
    <w:rsid w:val="73DE4104"/>
    <w:rsid w:val="73FB6630"/>
    <w:rsid w:val="74CE04EC"/>
    <w:rsid w:val="74E76DCD"/>
    <w:rsid w:val="76660D7C"/>
    <w:rsid w:val="77ED6F44"/>
    <w:rsid w:val="795A0A34"/>
    <w:rsid w:val="7A0D3BC7"/>
    <w:rsid w:val="7A3A3CDB"/>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32"/>
      <w:szCs w:val="24"/>
      <w:lang w:val="en-US" w:eastAsia="zh-CN" w:bidi="ar-SA"/>
    </w:rPr>
  </w:style>
  <w:style w:type="character" w:default="1" w:styleId="10">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toc 1"/>
    <w:basedOn w:val="1"/>
    <w:next w:val="1"/>
    <w:qFormat/>
    <w:uiPriority w:val="0"/>
  </w:style>
  <w:style w:type="paragraph" w:styleId="7">
    <w:name w:val="toc 2"/>
    <w:basedOn w:val="1"/>
    <w:next w:val="1"/>
    <w:qFormat/>
    <w:uiPriority w:val="0"/>
    <w:pPr>
      <w:ind w:left="420" w:leftChars="200"/>
    </w:p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11">
    <w:name w:val="WPSOffice手动目录 3"/>
    <w:qFormat/>
    <w:uiPriority w:val="0"/>
    <w:pPr>
      <w:ind w:leftChars="400"/>
    </w:pPr>
    <w:rPr>
      <w:rFonts w:ascii="Times New Roman" w:hAnsi="Times New Roman" w:eastAsia="宋体" w:cs="Times New Roman"/>
      <w:sz w:val="20"/>
      <w:szCs w:val="20"/>
    </w:rPr>
  </w:style>
  <w:style w:type="paragraph" w:customStyle="1" w:styleId="12">
    <w:name w:val="WPSOffice手动目录 2"/>
    <w:qFormat/>
    <w:uiPriority w:val="0"/>
    <w:pPr>
      <w:ind w:leftChars="200"/>
    </w:pPr>
    <w:rPr>
      <w:rFonts w:ascii="Times New Roman" w:hAnsi="Times New Roman" w:eastAsia="宋体" w:cs="Times New Roman"/>
      <w:sz w:val="20"/>
      <w:szCs w:val="20"/>
    </w:rPr>
  </w:style>
  <w:style w:type="paragraph" w:customStyle="1" w:styleId="13">
    <w:name w:val="WPSOffice手动目录 1"/>
    <w:qFormat/>
    <w:uiPriority w:val="0"/>
    <w:pPr>
      <w:ind w:leftChars="0"/>
    </w:pPr>
    <w:rPr>
      <w:rFonts w:ascii="Times New Roman" w:hAnsi="Times New Roman" w:eastAsia="宋体" w:cs="Times New Roman"/>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523</Words>
  <Characters>541</Characters>
  <Lines>0</Lines>
  <Paragraphs>0</Paragraphs>
  <TotalTime>0</TotalTime>
  <ScaleCrop>false</ScaleCrop>
  <LinksUpToDate>false</LinksUpToDate>
  <CharactersWithSpaces>547</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郭子歪</cp:lastModifiedBy>
  <cp:lastPrinted>2024-07-22T11:58:00Z</cp:lastPrinted>
  <dcterms:modified xsi:type="dcterms:W3CDTF">2025-08-08T11:56:24Z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B858A68E913346F885B5BC17D4DBEB06_13</vt:lpwstr>
  </property>
  <property fmtid="{D5CDD505-2E9C-101B-9397-08002B2CF9AE}" pid="4" name="KSOTemplateDocerSaveRecord">
    <vt:lpwstr>eyJoZGlkIjoiODY5ZWEwNzk5MThkZjUwOTQxNjE1MDdiYWJiNGU5YzAiLCJ1c2VySWQiOiI0Nzg3NDM5MjgifQ==</vt:lpwstr>
  </property>
</Properties>
</file>