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jc w:val="left"/>
        <w:rPr>
          <w:rFonts w:hint="eastAsia" w:ascii="Times New Roman" w:hAnsi="Times New Roman" w:eastAsia="仿宋_GB2312" w:cs="Times New Roman"/>
          <w:sz w:val="32"/>
          <w:lang w:val="en-US" w:eastAsia="zh-CN"/>
        </w:rPr>
      </w:pPr>
    </w:p>
    <w:p>
      <w:pPr>
        <w:spacing w:line="560" w:lineRule="exact"/>
        <w:ind w:firstLine="640" w:firstLineChars="200"/>
        <w:jc w:val="left"/>
        <w:rPr>
          <w:rFonts w:hint="eastAsia" w:ascii="Times New Roman" w:hAnsi="Times New Roman" w:eastAsia="仿宋_GB2312" w:cs="Times New Roman"/>
          <w:sz w:val="32"/>
          <w:lang w:val="en-US" w:eastAsia="zh-CN"/>
        </w:rPr>
      </w:pPr>
    </w:p>
    <w:p>
      <w:pPr>
        <w:spacing w:line="560" w:lineRule="exact"/>
        <w:ind w:firstLine="640" w:firstLineChars="200"/>
        <w:jc w:val="left"/>
        <w:rPr>
          <w:rFonts w:hint="eastAsia" w:ascii="Times New Roman" w:hAnsi="Times New Roman" w:eastAsia="仿宋_GB2312" w:cs="Times New Roman"/>
          <w:sz w:val="32"/>
          <w:lang w:val="en-US" w:eastAsia="zh-CN"/>
        </w:rPr>
      </w:pPr>
    </w:p>
    <w:p>
      <w:pPr>
        <w:spacing w:line="560" w:lineRule="exact"/>
        <w:ind w:firstLine="640" w:firstLineChars="200"/>
        <w:jc w:val="left"/>
        <w:rPr>
          <w:rFonts w:hint="eastAsia" w:ascii="Times New Roman" w:hAnsi="Times New Roman" w:eastAsia="仿宋_GB2312" w:cs="Times New Roman"/>
          <w:sz w:val="32"/>
          <w:lang w:val="en-US" w:eastAsia="zh-CN"/>
        </w:rPr>
      </w:pPr>
    </w:p>
    <w:p>
      <w:pPr>
        <w:spacing w:line="560" w:lineRule="exact"/>
        <w:ind w:firstLine="640" w:firstLineChars="200"/>
        <w:jc w:val="left"/>
        <w:rPr>
          <w:rFonts w:hint="eastAsia" w:ascii="Times New Roman" w:hAnsi="Times New Roman" w:eastAsia="仿宋_GB2312" w:cs="Times New Roman"/>
          <w:sz w:val="32"/>
          <w:lang w:val="en-US" w:eastAsia="zh-CN"/>
        </w:rPr>
      </w:pPr>
    </w:p>
    <w:p>
      <w:pPr>
        <w:spacing w:line="560" w:lineRule="exact"/>
        <w:ind w:firstLine="640" w:firstLineChars="200"/>
        <w:jc w:val="left"/>
        <w:rPr>
          <w:rFonts w:hint="eastAsia" w:ascii="Times New Roman" w:hAnsi="Times New Roman" w:eastAsia="仿宋_GB2312" w:cs="Times New Roman"/>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仿宋_GB2312" w:cs="Times New Roman"/>
          <w:sz w:val="32"/>
          <w:lang w:val="en-US" w:eastAsia="zh-CN"/>
        </w:rPr>
      </w:pPr>
      <w:r>
        <w:rPr>
          <w:rFonts w:hint="eastAsia" w:ascii="方正小标宋简体" w:hAnsi="方正小标宋简体" w:eastAsia="方正小标宋简体" w:cs="方正小标宋简体"/>
          <w:sz w:val="44"/>
          <w:szCs w:val="44"/>
          <w:lang w:val="en-US" w:eastAsia="zh-CN"/>
        </w:rPr>
        <w:t>伊犁州特克斯县乔拉克铁热克镇牧民越冬放牧点生产用房（居住）项目项目支出绩效自评报告</w:t>
      </w:r>
    </w:p>
    <w:p>
      <w:pPr>
        <w:spacing w:line="560" w:lineRule="exact"/>
        <w:ind w:firstLine="640" w:firstLineChars="200"/>
        <w:jc w:val="left"/>
        <w:rPr>
          <w:rFonts w:hint="eastAsia" w:ascii="Times New Roman" w:hAnsi="Times New Roman" w:eastAsia="仿宋_GB2312" w:cs="Times New Roman"/>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（2024年度）</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仿宋_GB2312" w:cs="Times New Roman"/>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仿宋_GB2312" w:cs="Times New Roman"/>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仿宋_GB2312" w:cs="Times New Roman"/>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仿宋_GB2312" w:cs="Times New Roman"/>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2238" w:leftChars="304" w:hanging="1600" w:hangingChars="500"/>
        <w:jc w:val="left"/>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项目名称：伊犁州特克斯县乔拉克铁热克镇牧民越冬放牧点</w:t>
      </w:r>
      <w:bookmarkStart w:id="0" w:name="_GoBack"/>
      <w:bookmarkEnd w:id="0"/>
      <w:r>
        <w:rPr>
          <w:rFonts w:hint="eastAsia" w:ascii="Times New Roman" w:hAnsi="Times New Roman" w:eastAsia="仿宋_GB2312" w:cs="Times New Roman"/>
          <w:sz w:val="32"/>
          <w:lang w:val="en-US" w:eastAsia="zh-CN"/>
        </w:rPr>
        <w:t>生产用房（居住）项目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实施单位（公章）：特克斯县乔拉克铁热克镇人民政府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主管部门（公章）：特克斯县乔拉克铁热克镇人民政府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项目负责人（签章）：夏特力克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填报时间：2025年05月28日</w:t>
      </w:r>
    </w:p>
    <w:p>
      <w:pPr>
        <w:spacing w:line="560" w:lineRule="exact"/>
        <w:ind w:left="0" w:leftChars="0" w:firstLine="0" w:firstLineChars="0"/>
        <w:jc w:val="left"/>
        <w:rPr>
          <w:rFonts w:hint="eastAsia" w:ascii="Times New Roman" w:hAnsi="Times New Roman" w:eastAsia="仿宋_GB2312" w:cs="Times New Roman"/>
          <w:sz w:val="32"/>
          <w:lang w:val="en-US" w:eastAsia="zh-CN"/>
        </w:rPr>
      </w:pPr>
    </w:p>
    <w:p>
      <w:pPr>
        <w:keepNext w:val="0"/>
        <w:keepLines w:val="0"/>
        <w:widowControl w:val="0"/>
        <w:bidi w:val="0"/>
        <w:spacing w:beforeLines="0" w:beforeAutospacing="0" w:afterLines="0" w:afterAutospacing="0" w:line="560" w:lineRule="exact"/>
        <w:ind w:firstLine="640" w:firstLineChars="200"/>
        <w:jc w:val="left"/>
        <w:outlineLvl w:val="0"/>
        <w:rPr>
          <w:rFonts w:hint="eastAsia" w:ascii="Calibri" w:hAnsi="Calibri" w:eastAsia="黑体" w:cs="Times New Roman"/>
          <w:kern w:val="44"/>
          <w:sz w:val="32"/>
          <w:szCs w:val="24"/>
          <w:lang w:val="en-US" w:eastAsia="zh-CN" w:bidi="ar-SA"/>
        </w:rPr>
      </w:pPr>
      <w:r>
        <w:rPr>
          <w:rFonts w:hint="eastAsia" w:ascii="Calibri" w:hAnsi="Calibri" w:eastAsia="黑体" w:cs="Times New Roman"/>
          <w:kern w:val="44"/>
          <w:sz w:val="32"/>
          <w:szCs w:val="24"/>
          <w:lang w:val="en-US" w:eastAsia="zh-CN" w:bidi="ar-SA"/>
        </w:rPr>
        <w:t>一、基本情况</w:t>
      </w:r>
    </w:p>
    <w:p>
      <w:pPr>
        <w:keepNext w:val="0"/>
        <w:keepLines w:val="0"/>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（一）项目概况。</w:t>
      </w:r>
    </w:p>
    <w:p>
      <w:pPr>
        <w:keepNext w:val="0"/>
        <w:keepLines w:val="0"/>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1.项目背景</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为认真贯彻落实自治区、自治州、县委2024年“十件民生实事”工作要求，坚持“人民至上、生命至上”，及时消除牧民越冬放牧点生产用房(居住)安全隐患，保障我镇各族农牧民群众的生命财产安全。依据：《关于申请特克斯县乔拉克铁热克镇农牧民越冬放牧点生产用房（居住）建设项目拨付工程款的报告》《关于下达2024年城乡抗震安居工程建设民生实施资金预算的通知》伊州财建【2024】81号。</w:t>
      </w:r>
    </w:p>
    <w:p>
      <w:pPr>
        <w:keepNext w:val="0"/>
        <w:keepLines w:val="0"/>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2.项目主要内容：</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主要内容：对镇区范围牧民越冬放牧点生产用房(居住)进行拆除新建,选择有资质施工单位进行建设，强化设计、施工、工程质量、验收等相关环节监管，并邀请工程监理，验收工程质量，力争2024年10月底前，完成拆除及新建工作。在综合研判我镇牧区地质结构和运费的基础上，实施面积为16平方米轻钢结构、木结构房屋，共建127户，单户建房价格控制在3万元以内，同时达到抗震、保温、防水要求，牧民越冬放牧点生产用房(居住)建成后上级有关部门按照相关要求进行验收。并对牧民越冬放牧点生产用房(居住)建立一户一策档案。</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keepNext w:val="0"/>
        <w:keepLines w:val="0"/>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3.资金投入和使用情况</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（1）资金投入情况</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该项目年初预算数381万元，全年预算数381万元，该项目资金已全部落实到位，资金来源为伊犁州2024年城乡抗震安居工程建设民生实施资金。</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（2）资金使用情况</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该项目年初预算数381万元，全年预算数381万元，全年执行数304.8万元，预算执行率为80%，主要用于：牧民越冬放牧点生产用房建设。</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Arial" w:hAnsi="Arial" w:eastAsia="楷体_GB2312" w:cs="Times New Roman"/>
          <w:sz w:val="32"/>
          <w:lang w:val="en-US" w:eastAsia="zh-CN"/>
        </w:rPr>
        <w:t>（二）项目绩效目标。</w:t>
      </w:r>
    </w:p>
    <w:p>
      <w:pPr>
        <w:keepNext w:val="0"/>
        <w:keepLines w:val="0"/>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1.总体目标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通过《关于下达2024年城乡抗震安居工程建设民生实施资金预算的通知》伊州财建【2024】81号，完成拆除及新建工作。在综合研判我镇牧区地质结构和运费的基础上，实施面积为16平方米轻钢结构、木结构房屋，共建127户，单户建房价格控制在3万元以内，同时达到抗震、保温、防水要求，牧民越冬放牧点生产用房(居住)建成后上级有关部门按照相关要求进行验收。改善牧民生活环境，提供牧民住房保障，提供居民生活水平。</w:t>
      </w:r>
    </w:p>
    <w:p>
      <w:pPr>
        <w:keepNext w:val="0"/>
        <w:keepLines w:val="0"/>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2.阶段性目标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2024年8月1日至9月1日完成项目前期手续</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2024年9月10日开工建设</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2024年11月30日前完成项目竣工验收</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2025年5月完成项目绩效自评工作。</w:t>
      </w:r>
    </w:p>
    <w:p>
      <w:pPr>
        <w:keepNext w:val="0"/>
        <w:keepLines w:val="0"/>
        <w:widowControl w:val="0"/>
        <w:bidi w:val="0"/>
        <w:spacing w:beforeLines="0" w:beforeAutospacing="0" w:afterLines="0" w:afterAutospacing="0" w:line="560" w:lineRule="exact"/>
        <w:ind w:firstLine="640" w:firstLineChars="200"/>
        <w:jc w:val="left"/>
        <w:outlineLvl w:val="0"/>
        <w:rPr>
          <w:rFonts w:hint="eastAsia" w:ascii="Calibri" w:hAnsi="Calibri" w:eastAsia="黑体" w:cs="Times New Roman"/>
          <w:kern w:val="44"/>
          <w:sz w:val="32"/>
          <w:szCs w:val="24"/>
          <w:lang w:val="en-US" w:eastAsia="zh-CN" w:bidi="ar-SA"/>
        </w:rPr>
      </w:pPr>
      <w:r>
        <w:rPr>
          <w:rFonts w:hint="eastAsia" w:ascii="Calibri" w:hAnsi="Calibri" w:eastAsia="黑体" w:cs="Times New Roman"/>
          <w:kern w:val="44"/>
          <w:sz w:val="32"/>
          <w:szCs w:val="24"/>
          <w:lang w:val="en-US" w:eastAsia="zh-CN" w:bidi="ar-SA"/>
        </w:rPr>
        <w:t>二、绩效评价工作开展情况</w:t>
      </w:r>
    </w:p>
    <w:p>
      <w:pPr>
        <w:keepNext w:val="0"/>
        <w:keepLines w:val="0"/>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（一）绩效评价目的、对象和范围。</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1.绩效评价完整性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评价指标体系的构建上，充分考虑了项目的性质、目标以及预期成果，选取了具有代表性和可衡量性的关键指标，涵盖了经济效益、社会效益、生态效益等多个维度，力求全方位反映项目的绩效状况。同时，对于每个指标的评价标准和数据来源均进行了明确说明，确保评价结果的客观性和可追溯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数据收集与分析环节，采用了多种科学合理的方法，如实地调研、问卷调查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2.绩效评价的目的</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（1）评估项目实施效果</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通过对项目预算执行情况及各项绩效目标达成程度的系统性分析，全面、客观地评估项目在预定周期内的实施效果，包括经济效益、社会效益、生态效益以及可持续性等多维度指标，为项目后续的改进与优化提供科学依据。</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（2）提升资源利用效率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（3）强化项目管理责任</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（4）为决策提供支持</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（5）促进项目持续改进</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3.绩效评价的对象</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预算绩效评价报告的评价对象是伊犁州特克斯县乔拉克铁热克镇2024年牧民越冬放牧点生产用房建设项目及其预算执行情况。该项目由特克斯县乔拉克铁热克镇人民政府负责实施，旨在改善本镇牧民生活环境，提供牧民住房保障，提供居民生活水平。项目预算涵盖从2024年9月30日至2024年11月30日的全部资金投入与支出，涉及资金总额为381万元。</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4.绩效评价的范围</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本项目预算绩效评价报告的评价范围广泛而全面，涵盖了从项目立项至评价时点期间的所有关键预算活动和财务流程。具体而言，评价范围包括但不限于以下几个方面：</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（1）项目预算编制与执行：全面审视项目预算的编制依据、合理性、科学性以及实际执行情况，包括预算调整的原因和效果。</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（2）资金管理：深入分析项目资金的分配、使用和监管情况，确保资金使用的合规性、高效性和透明度。</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（3）项目实施进度与产出：评估项目是否按照既定计划顺利推进，各项任务是否按时完成，以及项目产出的数量、质量和时效性是否符合预期。</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（4）社会、生态等影响：考察项目对社会、生态、经济等方面的综合影响。</w:t>
      </w:r>
    </w:p>
    <w:p>
      <w:pPr>
        <w:keepNext w:val="0"/>
        <w:keepLines w:val="0"/>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（二）绩效评价原则、评价指标体系（附表说明）、评价方法、评价标准等。</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1.绩效评价原则</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本次项目绩效评价遵循以下基本原则：</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（1）科学公正。绩效评价应当运用科学合理的方法，按照规范的程序，对项目绩效进行客观、公正的反映。</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（2）统筹兼顾。单位自评、部门评价和财政评价应职责明确，各有侧重，相互衔接。单位自评应由项目单位自主实施，即“谁支出、谁自评”。部门评价和财政评价应在单位自评的基础上开展。</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（3）激励约束。绩效评价结果应与预算安排、政策调整、改进管理实质性挂钩，体现奖优罚劣和激励相容导向，有效要安排、低效要压减、无效要问责。</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（4）公开透明。绩效评价结果应依法依规公开，并自觉接受社会监督。</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2.评价指标体系</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绩效评价框架是开展绩效评价的核心。绩效评价框架包括评价准则、关键评价问题、评价指标、数据来源、数据收集方法等。指标体系建立过程如下：</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（1）确定评价指标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（2）确定权重</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确定各个指标相对于项目总体绩效的权重分值。在绩效评价指标体系中，项目决策权重为20分，项目过程权重为20分，项目产出权重为40分，项目效益权重为20分。</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（3）确定指标标准值</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指标标准值是绩效评价指标的尺度，既要反映同类项目的先进水平，又要符合项目的实际绩效水平。具体采用计划标准等确定此次绩效评价指标标准值。</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绩效评价总分值100分，根据综合评分结果，90（含）-100分为优、80（含）-90分为良、60（含）-80分为中、60分以下为差。</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具体评价指标体系详情见附件1</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3.绩效评价方法</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绩效评价从项目决策、项目过程、项目产出、项目效益四个维度进行评价。评价对象为项目目标实施情况，  评价核心为资金的支出完成情况和项目的产出效益。</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本次评价指标中，既有定性指标又有定量指标，各类指标因考核内容不同和客观标准不同存在较大差异，因此核定具体指标时采用了不同方法，具体评价方法如下：</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 xml:space="preserve">（一）成本效益分析法。是指将投入与产出、效益进行关联性分析的方法。 </w:t>
      </w:r>
    </w:p>
    <w:p>
      <w:pPr>
        <w:spacing w:line="560" w:lineRule="exact"/>
        <w:ind w:firstLine="640" w:firstLineChars="200"/>
        <w:jc w:val="left"/>
        <w:rPr>
          <w:rFonts w:hint="eastAsia" w:ascii="Times New Roman" w:hAnsi="Times New Roman" w:eastAsia="仿宋_GB2312" w:cs="Times New Roman"/>
          <w:sz w:val="32"/>
          <w:lang w:val="en-US" w:eastAsia="zh-CN"/>
        </w:rPr>
      </w:pP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（二）因素分析法。是指综合分析影响绩效目标实现、实施效果的内外部因素的方法。</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（三）公众评判法。是指通过专家评估、公众问卷及抽样调查等方式进行评判的方法。</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4.评价标准</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绩效评价标准通常包括计划标准、行业标准、历史标准等，用于对绩效指标完成情况进行比较、分析、评价。本次评价主要采用了计划标准。</w:t>
      </w:r>
    </w:p>
    <w:p>
      <w:pPr>
        <w:keepNext w:val="0"/>
        <w:keepLines w:val="0"/>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（三）绩效评价工作过程。</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（1）前期准备与规划</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（2）指标体系构建</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（3）数据收集与整理</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（4）数据分析与评估</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（5）报告撰写与反馈</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（6）后续跟踪与改进</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keepNext w:val="0"/>
        <w:keepLines w:val="0"/>
        <w:widowControl w:val="0"/>
        <w:bidi w:val="0"/>
        <w:spacing w:beforeLines="0" w:beforeAutospacing="0" w:afterLines="0" w:afterAutospacing="0" w:line="560" w:lineRule="exact"/>
        <w:ind w:firstLine="640" w:firstLineChars="200"/>
        <w:jc w:val="left"/>
        <w:outlineLvl w:val="0"/>
        <w:rPr>
          <w:rFonts w:hint="eastAsia" w:ascii="Calibri" w:hAnsi="Calibri" w:eastAsia="黑体" w:cs="Times New Roman"/>
          <w:kern w:val="44"/>
          <w:sz w:val="32"/>
          <w:szCs w:val="24"/>
          <w:lang w:val="en-US" w:eastAsia="zh-CN" w:bidi="ar-SA"/>
        </w:rPr>
      </w:pPr>
      <w:r>
        <w:rPr>
          <w:rFonts w:hint="eastAsia" w:ascii="Calibri" w:hAnsi="Calibri" w:eastAsia="黑体" w:cs="Times New Roman"/>
          <w:kern w:val="44"/>
          <w:sz w:val="32"/>
          <w:szCs w:val="24"/>
          <w:lang w:val="en-US" w:eastAsia="zh-CN" w:bidi="ar-SA"/>
        </w:rPr>
        <w:t>三、综合评价情况及评价结论</w:t>
      </w:r>
    </w:p>
    <w:p>
      <w:pPr>
        <w:keepNext w:val="0"/>
        <w:keepLines w:val="0"/>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（一）评价情况</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的综合评价基于对项目各方面绩效的深入分析与评估。从项目目标的达成情况来看，伊犁州特克斯县乔拉克铁热克镇2024年牧民越冬放牧点生产用房建设项目在改善牧民生活环境，提供牧民住房保障，提供居民生活水平等方面表现出色，达到了预期的标准与要求。同时，项目也在项目实施后取得了显著的成效，如完成127套牧民生产用房，达到了抗震、保温、防水等要求，切实改善了牧民越冬放牧点生产生活环境等。</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在项目管理方面，特克斯县乔拉克铁热克镇人民政府通过有效的规划、组织与协调，项目得以顺利实施，并在预算与时间上保持了良好的控制。</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从项目效益的角度来看，本项目不仅实现了预期的社会效益、生态效益、经济效益等方面产生了积极的影响。具体而言，城乡抗震安居工程建设房屋安全隐患排查整治成果等方面的提升，为项目的利益相关者带来了实实在在的利益。</w:t>
      </w:r>
    </w:p>
    <w:p>
      <w:pPr>
        <w:spacing w:line="560" w:lineRule="exact"/>
        <w:ind w:firstLine="640" w:firstLineChars="200"/>
        <w:jc w:val="left"/>
        <w:rPr>
          <w:rFonts w:hint="eastAsia" w:ascii="Times New Roman" w:hAnsi="Times New Roman" w:eastAsia="仿宋_GB2312" w:cs="Times New Roman"/>
          <w:sz w:val="32"/>
          <w:lang w:val="en-US" w:eastAsia="zh-CN"/>
        </w:rPr>
      </w:pP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综上所述，伊犁州特克斯县乔拉克铁热克镇2024年牧民越冬放牧点生产用房建设项目在绩效评价中表现出色，达到了项目的预期目标，并在多个方面取得了显著的成效。</w:t>
      </w:r>
    </w:p>
    <w:p>
      <w:pPr>
        <w:keepNext w:val="0"/>
        <w:keepLines w:val="0"/>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（二）评价结论</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 100%。项目过程类指标权重为20分，得分为20分，得分率为100%。项目产出类指标权重为40分，得分为40分，得分率为100%。项目效益类指标权重为20分，得分为20分，得分率为100%。具体打分情况详见：附件1综合评分表。</w:t>
      </w:r>
    </w:p>
    <w:p>
      <w:pPr>
        <w:keepNext w:val="0"/>
        <w:keepLines w:val="0"/>
        <w:pageBreakBefore w:val="0"/>
        <w:widowControl/>
        <w:kinsoku/>
        <w:wordWrap/>
        <w:overflowPunct/>
        <w:topLinePunct w:val="0"/>
        <w:autoSpaceDE/>
        <w:autoSpaceDN/>
        <w:bidi w:val="0"/>
        <w:adjustRightInd/>
        <w:snapToGrid/>
        <w:spacing w:before="0" w:after="0" w:line="560" w:lineRule="exact"/>
        <w:ind w:firstLine="422" w:firstLineChars="200"/>
        <w:jc w:val="center"/>
        <w:textAlignment w:val="auto"/>
        <w:outlineLvl w:val="0"/>
        <w:rPr>
          <w:rFonts w:hint="default" w:ascii="Times New Roman" w:hAnsi="Times New Roman" w:eastAsia="仿宋_GB2312" w:cs="Times New Roman"/>
          <w:b/>
          <w:bCs/>
          <w:kern w:val="28"/>
          <w:sz w:val="21"/>
          <w:szCs w:val="21"/>
          <w:highlight w:val="none"/>
          <w:lang w:val="en-US" w:eastAsia="zh-CN" w:bidi="ar-SA"/>
        </w:rPr>
      </w:pPr>
      <w:r>
        <w:rPr>
          <w:rFonts w:hint="default" w:ascii="Times New Roman" w:hAnsi="Times New Roman" w:eastAsia="仿宋_GB2312" w:cs="Times New Roman"/>
          <w:b/>
          <w:bCs/>
          <w:kern w:val="28"/>
          <w:sz w:val="21"/>
          <w:szCs w:val="21"/>
          <w:highlight w:val="none"/>
          <w:lang w:val="en-US" w:eastAsia="zh-CN" w:bidi="ar-SA"/>
        </w:rPr>
        <w:t>表1综合评分表</w:t>
      </w:r>
    </w:p>
    <w:tbl>
      <w:tblPr>
        <w:tblStyle w:val="16"/>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pPr>
              <w:spacing w:line="560" w:lineRule="exact"/>
              <w:ind w:left="0" w:leftChars="0" w:firstLine="0" w:firstLineChars="0"/>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pPr>
              <w:spacing w:line="560" w:lineRule="exact"/>
              <w:ind w:left="0" w:leftChars="0" w:firstLine="0" w:firstLineChars="0"/>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pPr>
              <w:spacing w:line="560" w:lineRule="exact"/>
              <w:ind w:left="0" w:leftChars="0" w:firstLine="0" w:firstLineChars="0"/>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left="0" w:leftChars="0" w:firstLine="0" w:firstLineChars="0"/>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left="0" w:leftChars="0" w:firstLine="0" w:firstLineChars="0"/>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left="0" w:leftChars="0" w:firstLine="0" w:firstLineChars="0"/>
              <w:jc w:val="center"/>
              <w:rPr>
                <w:rFonts w:hint="default" w:ascii="Times New Roman" w:hAnsi="Times New Roman" w:eastAsia="仿宋_GB2312" w:cs="Times New Roman"/>
                <w:color w:val="000000"/>
                <w:sz w:val="21"/>
                <w:szCs w:val="21"/>
                <w:highlight w:val="none"/>
                <w:lang w:val="en-US" w:eastAsia="zh-CN"/>
              </w:rPr>
            </w:pPr>
            <w:r>
              <w:rPr>
                <w:rFonts w:hint="eastAsia" w:ascii="Times New Roman" w:hAnsi="Times New Roman" w:eastAsia="仿宋_GB2312" w:cs="Times New Roman"/>
                <w:color w:val="000000"/>
                <w:sz w:val="21"/>
                <w:szCs w:val="21"/>
                <w:highlight w:val="none"/>
                <w:lang w:val="en-US" w:eastAsia="zh-CN"/>
              </w:rPr>
              <w:t>20</w:t>
            </w:r>
          </w:p>
        </w:tc>
      </w:tr>
      <w:tr>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left="0" w:leftChars="0" w:firstLine="0" w:firstLineChars="0"/>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left="0" w:leftChars="0" w:firstLine="0" w:firstLineChars="0"/>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left="0" w:leftChars="0" w:firstLine="0" w:firstLineChars="0"/>
              <w:jc w:val="center"/>
              <w:rPr>
                <w:rFonts w:hint="default" w:ascii="Times New Roman" w:hAnsi="Times New Roman" w:eastAsia="仿宋_GB2312" w:cs="Times New Roman"/>
                <w:color w:val="000000"/>
                <w:sz w:val="21"/>
                <w:szCs w:val="21"/>
                <w:highlight w:val="none"/>
                <w:lang w:val="en-US" w:eastAsia="zh-CN"/>
              </w:rPr>
            </w:pPr>
            <w:r>
              <w:rPr>
                <w:rFonts w:hint="eastAsia" w:ascii="Times New Roman" w:hAnsi="Times New Roman" w:eastAsia="仿宋_GB2312" w:cs="Times New Roman"/>
                <w:color w:val="000000"/>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left="0" w:leftChars="0" w:firstLine="0" w:firstLineChars="0"/>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left="0" w:leftChars="0" w:firstLine="0" w:firstLineChars="0"/>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left="0" w:leftChars="0" w:firstLine="0" w:firstLineChars="0"/>
              <w:jc w:val="center"/>
              <w:rPr>
                <w:rFonts w:hint="default" w:ascii="Times New Roman" w:hAnsi="Times New Roman" w:eastAsia="仿宋_GB2312" w:cs="Times New Roman"/>
                <w:color w:val="000000"/>
                <w:sz w:val="21"/>
                <w:szCs w:val="21"/>
                <w:highlight w:val="none"/>
                <w:lang w:val="en-US" w:eastAsia="zh-CN"/>
              </w:rPr>
            </w:pPr>
            <w:r>
              <w:rPr>
                <w:rFonts w:hint="eastAsia" w:ascii="Times New Roman" w:hAnsi="Times New Roman" w:eastAsia="仿宋_GB2312" w:cs="Times New Roman"/>
                <w:color w:val="000000"/>
                <w:sz w:val="21"/>
                <w:szCs w:val="21"/>
                <w:highlight w:val="none"/>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left="0" w:leftChars="0" w:firstLine="0" w:firstLineChars="0"/>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left="0" w:leftChars="0" w:firstLine="0" w:firstLineChars="0"/>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left="0" w:leftChars="0" w:firstLine="0" w:firstLineChars="0"/>
              <w:jc w:val="center"/>
              <w:rPr>
                <w:rFonts w:hint="default" w:ascii="Times New Roman" w:hAnsi="Times New Roman" w:eastAsia="仿宋_GB2312" w:cs="Times New Roman"/>
                <w:color w:val="000000"/>
                <w:sz w:val="21"/>
                <w:szCs w:val="21"/>
                <w:highlight w:val="none"/>
                <w:lang w:val="en-US" w:eastAsia="zh-CN"/>
              </w:rPr>
            </w:pPr>
            <w:r>
              <w:rPr>
                <w:rFonts w:hint="eastAsia" w:ascii="Times New Roman" w:hAnsi="Times New Roman" w:eastAsia="仿宋_GB2312" w:cs="Times New Roman"/>
                <w:color w:val="000000"/>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left="0" w:leftChars="0" w:firstLine="0" w:firstLineChars="0"/>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left="0" w:leftChars="0" w:firstLine="0" w:firstLineChars="0"/>
              <w:jc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仿宋_GB2312" w:cs="Times New Roman"/>
                <w:b/>
                <w:bCs/>
                <w:color w:val="000000"/>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left="0" w:leftChars="0" w:firstLine="0" w:firstLineChars="0"/>
              <w:jc w:val="center"/>
              <w:rPr>
                <w:rFonts w:hint="default" w:ascii="Times New Roman" w:hAnsi="Times New Roman" w:eastAsia="仿宋_GB2312" w:cs="Times New Roman"/>
                <w:b/>
                <w:bCs/>
                <w:color w:val="000000"/>
                <w:sz w:val="21"/>
                <w:szCs w:val="21"/>
                <w:highlight w:val="none"/>
                <w:lang w:val="en-US" w:eastAsia="zh-CN"/>
              </w:rPr>
            </w:pPr>
            <w:r>
              <w:rPr>
                <w:rFonts w:hint="eastAsia" w:ascii="Times New Roman" w:hAnsi="Times New Roman" w:eastAsia="仿宋_GB2312" w:cs="Times New Roman"/>
                <w:b/>
                <w:bCs/>
                <w:color w:val="000000"/>
                <w:sz w:val="21"/>
                <w:szCs w:val="21"/>
                <w:highlight w:val="none"/>
                <w:lang w:val="en-US" w:eastAsia="zh-CN"/>
              </w:rPr>
              <w:t>100</w:t>
            </w:r>
          </w:p>
        </w:tc>
      </w:tr>
    </w:tbl>
    <w:p>
      <w:pPr>
        <w:keepNext w:val="0"/>
        <w:keepLines w:val="0"/>
        <w:widowControl w:val="0"/>
        <w:bidi w:val="0"/>
        <w:spacing w:beforeLines="0" w:beforeAutospacing="0" w:afterLines="0" w:afterAutospacing="0" w:line="560" w:lineRule="exact"/>
        <w:ind w:firstLine="640" w:firstLineChars="200"/>
        <w:jc w:val="left"/>
        <w:outlineLvl w:val="0"/>
        <w:rPr>
          <w:rFonts w:hint="eastAsia" w:ascii="Calibri" w:hAnsi="Calibri" w:eastAsia="黑体" w:cs="Times New Roman"/>
          <w:kern w:val="44"/>
          <w:sz w:val="32"/>
          <w:szCs w:val="24"/>
          <w:lang w:val="en-US" w:eastAsia="zh-CN" w:bidi="ar-SA"/>
        </w:rPr>
      </w:pPr>
      <w:r>
        <w:rPr>
          <w:rFonts w:hint="eastAsia" w:ascii="Calibri" w:hAnsi="Calibri" w:eastAsia="黑体" w:cs="Times New Roman"/>
          <w:kern w:val="44"/>
          <w:sz w:val="32"/>
          <w:szCs w:val="24"/>
          <w:lang w:val="en-US" w:eastAsia="zh-CN" w:bidi="ar-SA"/>
        </w:rPr>
        <w:t xml:space="preserve">四、绩效评价指标分析 </w:t>
      </w:r>
    </w:p>
    <w:p>
      <w:pPr>
        <w:keepNext w:val="0"/>
        <w:keepLines w:val="0"/>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（一）项目决策情况。</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项目决策类指标包括项目立项、绩效目标和资金投入三方面的内容，由6个三级指标构成，权重分值为20分，实际得分20分，得分率为100%。</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1.项目立项</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（1）立项依据充分性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（2）立项程序规范性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2.绩效目标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（1）绩效目标合理性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（2）绩效指标明确性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项目设置了明确的预期产出效益和效果，将绩效目标细化分解为具体的绩效指标，绩效目标与项目目标任务数相对应，绩效目标设定的绩效指标清晰、细化、可衡量。</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3.资金投入</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（1）预算编制科学性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（2）资金分配合理性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keepNext w:val="0"/>
        <w:keepLines w:val="0"/>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（二）项目过程情况。</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项目过程类指标包括资金管理和组织实施两方面的内容，由5个三级指标构成，权重分值为20分，实际得分20分，得分率为100%。</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1.资金管理</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（1）资金到位率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本项目总投资381万元，财政资金及时足额到位，到位率100%，预算资金按计划进度执行。</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（2）预算执行率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预算编制较为详细，项目资金支出总体能够按照预算执行，预算资金支出304.8万元，预算执行率为80%。</w:t>
      </w:r>
    </w:p>
    <w:p>
      <w:pPr>
        <w:spacing w:line="560" w:lineRule="exact"/>
        <w:ind w:firstLine="640" w:firstLineChars="200"/>
        <w:jc w:val="left"/>
        <w:rPr>
          <w:rFonts w:hint="eastAsia" w:ascii="Times New Roman" w:hAnsi="Times New Roman" w:eastAsia="仿宋_GB2312" w:cs="Times New Roman"/>
          <w:sz w:val="32"/>
          <w:lang w:val="en-US" w:eastAsia="zh-CN"/>
        </w:rPr>
      </w:pP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（3）资金使用合规性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2.组织实施</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（1）管理制度健全性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在制度设计上，我们注重了制度的科学性与可操作性，确保制度能够切实指导项目的执行与管理。</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（2）制度执行有效性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综上所述，本项目的管理制度在执行过程中表现出了高度的有效性，既确保了项目的顺利进行，又实现了项目目标的有效达成。</w:t>
      </w:r>
    </w:p>
    <w:p>
      <w:pPr>
        <w:keepNext w:val="0"/>
        <w:keepLines w:val="0"/>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（三）项目产出情况。</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项目产出类指标包括产出数量、产出质量、产出时效、产出成本四方面的内容，由6个三级指标构成，权重分为40分，实际得分40分，得分率为100%。具体产出指标完成情况如下：</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①数量指标：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指标1：新建放牧点生产用房，指标值：&gt;=2032平方米，实际完成值：2032平方米，指标完成率100%；偏差原因：无。</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指标2：涉及牧民户数，指标值：&gt;=127户，实际完成值：127户，指标完成率100%；偏差原因：无。</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②质量指标：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指标1：竣工验收合格率，指标值：=100%，实际完成值：100%，指标完成率100%；</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③时效指标：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指标1：计划开工时间，指标值：2024年9月10日，实际完成值：2024年9月10日，指标完成率100%；</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指标2：计划竣工时间，指标值：2024年11月30日，实际完成值：2024年11月30日，指标完成率100%；</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④成本指标：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指标1：项目建设平均标准，指标值：&lt;=3万元，实际完成值：3万元，指标完成率100%；偏差原因：无。</w:t>
      </w:r>
    </w:p>
    <w:p>
      <w:pPr>
        <w:keepNext w:val="0"/>
        <w:keepLines w:val="0"/>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（四）项目效益情况。</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项目效益类指标包括项目实施效益和满意度两方面的内容，由1个三级指标构成，权重分为20分，实际得分20分，得分率为100%。具体效益指标及满意度指标完成情况如下：</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1.实施效益</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①社会效益指标：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指标1：排除牧民住房安全隐患，指标值：成效明显，实际完成值：成效明显，指标完成率100%；</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2.满意度</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指标1：服务对象满意度，指标值：&gt;=95%，实际完成值：95%，指标完成率100%。</w:t>
      </w:r>
    </w:p>
    <w:p>
      <w:pPr>
        <w:keepNext w:val="0"/>
        <w:keepLines w:val="0"/>
        <w:widowControl w:val="0"/>
        <w:bidi w:val="0"/>
        <w:spacing w:beforeLines="0" w:beforeAutospacing="0" w:afterLines="0" w:afterAutospacing="0" w:line="560" w:lineRule="exact"/>
        <w:ind w:firstLine="640" w:firstLineChars="200"/>
        <w:jc w:val="left"/>
        <w:outlineLvl w:val="0"/>
        <w:rPr>
          <w:rFonts w:hint="eastAsia" w:ascii="Calibri" w:hAnsi="Calibri" w:eastAsia="黑体" w:cs="Times New Roman"/>
          <w:kern w:val="44"/>
          <w:sz w:val="32"/>
          <w:szCs w:val="24"/>
          <w:lang w:val="en-US" w:eastAsia="zh-CN" w:bidi="ar-SA"/>
        </w:rPr>
      </w:pPr>
      <w:r>
        <w:rPr>
          <w:rFonts w:hint="eastAsia" w:ascii="Calibri" w:hAnsi="Calibri" w:eastAsia="黑体" w:cs="Times New Roman"/>
          <w:kern w:val="44"/>
          <w:sz w:val="32"/>
          <w:szCs w:val="24"/>
          <w:lang w:val="en-US" w:eastAsia="zh-CN" w:bidi="ar-SA"/>
        </w:rPr>
        <w:t>五、主要经验及做法、存在的问题及原因分析</w:t>
      </w:r>
    </w:p>
    <w:p>
      <w:pPr>
        <w:keepNext w:val="0"/>
        <w:keepLines w:val="0"/>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（一）主要经验及做法</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（二）存在的问题及原因分析</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2.因轮岗、调动等因素使我单位绩效工作人员流动频繁，造成工作衔接不到位的情况。</w:t>
      </w:r>
    </w:p>
    <w:p>
      <w:pPr>
        <w:keepNext w:val="0"/>
        <w:keepLines w:val="0"/>
        <w:widowControl w:val="0"/>
        <w:bidi w:val="0"/>
        <w:spacing w:beforeLines="0" w:beforeAutospacing="0" w:afterLines="0" w:afterAutospacing="0" w:line="560" w:lineRule="exact"/>
        <w:ind w:firstLine="640" w:firstLineChars="200"/>
        <w:jc w:val="left"/>
        <w:outlineLvl w:val="0"/>
        <w:rPr>
          <w:rFonts w:hint="eastAsia" w:ascii="Calibri" w:hAnsi="Calibri" w:eastAsia="黑体" w:cs="Times New Roman"/>
          <w:kern w:val="44"/>
          <w:sz w:val="32"/>
          <w:szCs w:val="24"/>
          <w:lang w:val="en-US" w:eastAsia="zh-CN" w:bidi="ar-SA"/>
        </w:rPr>
      </w:pPr>
      <w:r>
        <w:rPr>
          <w:rFonts w:hint="eastAsia" w:ascii="Calibri" w:hAnsi="Calibri" w:eastAsia="黑体" w:cs="Times New Roman"/>
          <w:kern w:val="44"/>
          <w:sz w:val="32"/>
          <w:szCs w:val="24"/>
          <w:lang w:val="en-US" w:eastAsia="zh-CN" w:bidi="ar-SA"/>
        </w:rPr>
        <w:t>六、有关建议</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1.多进行有关绩效管理工作方面的培训。积极组织第三方开展绩效管理工作培训，进一步夯实业务基础，提高我单位绩效人员水平。</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2.专门设定对绩效工作人员定职、定岗、定责等相关制度措施，进一步提升我单位绩效管理工作业务水平，扎实做好绩效管理工作。</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4.进一步完善项目评价过程中有关数据和资料的收集、整理、审核及分析。项目启动时同步做好档案的归纳与整理，及时整理、收集、汇总，健全档案资料。项目后续管理有待进一步加强和跟踪。</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keepNext w:val="0"/>
        <w:keepLines w:val="0"/>
        <w:widowControl w:val="0"/>
        <w:bidi w:val="0"/>
        <w:spacing w:beforeLines="0" w:beforeAutospacing="0" w:afterLines="0" w:afterAutospacing="0" w:line="560" w:lineRule="exact"/>
        <w:ind w:firstLine="640" w:firstLineChars="200"/>
        <w:jc w:val="left"/>
        <w:outlineLvl w:val="0"/>
        <w:rPr>
          <w:rFonts w:hint="eastAsia" w:ascii="Calibri" w:hAnsi="Calibri" w:eastAsia="黑体" w:cs="Times New Roman"/>
          <w:kern w:val="44"/>
          <w:sz w:val="32"/>
          <w:szCs w:val="24"/>
          <w:lang w:val="en-US" w:eastAsia="zh-CN" w:bidi="ar-SA"/>
        </w:rPr>
      </w:pPr>
      <w:r>
        <w:rPr>
          <w:rFonts w:hint="eastAsia" w:ascii="Calibri" w:hAnsi="Calibri" w:eastAsia="黑体" w:cs="Times New Roman"/>
          <w:kern w:val="44"/>
          <w:sz w:val="32"/>
          <w:szCs w:val="24"/>
          <w:lang w:val="en-US" w:eastAsia="zh-CN" w:bidi="ar-SA"/>
        </w:rPr>
        <w:t>七、其他需要说明的问题</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本项目无其他需说明的问题。</w:t>
      </w:r>
    </w:p>
    <w:p>
      <w:pPr>
        <w:ind w:left="0" w:leftChars="0" w:firstLine="0" w:firstLineChars="0"/>
        <w:rPr>
          <w:rFonts w:hint="eastAsia"/>
          <w:lang w:val="en-US" w:eastAsia="zh-CN"/>
        </w:rPr>
        <w:sectPr>
          <w:pgSz w:w="11906" w:h="16838"/>
          <w:pgMar w:top="2098" w:right="1531" w:bottom="1984" w:left="1531"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both"/>
        <w:textAlignment w:val="baseline"/>
        <w:rPr>
          <w:rFonts w:hint="eastAsia" w:ascii="Times New Roman" w:hAnsi="Times New Roman" w:eastAsia="仿宋_GB2312" w:cs="Times New Roman"/>
          <w:kern w:val="2"/>
          <w:sz w:val="21"/>
          <w:szCs w:val="32"/>
          <w:lang w:val="en-US" w:eastAsia="zh-CN" w:bidi="ar-SA"/>
        </w:rPr>
      </w:pPr>
    </w:p>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B0E51"/>
    <w:rsid w:val="005C51DF"/>
    <w:rsid w:val="005D10D6"/>
    <w:rsid w:val="005E7C5E"/>
    <w:rsid w:val="00725906"/>
    <w:rsid w:val="0075584F"/>
    <w:rsid w:val="007719C9"/>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35C7568A"/>
    <w:rsid w:val="4D2606A1"/>
    <w:rsid w:val="69383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104</Words>
  <Characters>598</Characters>
  <Lines>4</Lines>
  <Paragraphs>1</Paragraphs>
  <TotalTime>0</TotalTime>
  <ScaleCrop>false</ScaleCrop>
  <LinksUpToDate>false</LinksUpToDate>
  <CharactersWithSpaces>701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2025-03-11T03:27:00Z</dcterms:created>
  <dc:creator>赵 恺（预算处）</dc:creator>
  <cp:lastModifiedBy>Administrator</cp:lastModifiedBy>
  <cp:lastPrinted>2018-12-31T10:56:00Z</cp:lastPrinted>
  <dcterms:modified xsi:type="dcterms:W3CDTF">2025-07-22T12:04:05Z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21EF0CDCB73D4B8D8FAC715995DB8275</vt:lpwstr>
  </property>
</Properties>
</file>