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0"/>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2024年单位事业收入</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特克斯县中医医院</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特克斯县卫生健康委员会</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马志强</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0"/>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习近平新时代中国特色社会主义思想为指导，全面贯彻落实十九大精神和新时代党的组织路线，贯彻第三次中央新疆工作座谈会精神，切实加强公立医院改革，探索建立现代医院管理制度，推动实施健康中国战略，以满足人民群众对医疗服务的需求为出发点,坚持创新、协调、绿色、开放、共享发展这条主线，深化公立医院改革，认真执行新时期卫生工作方针，坚持以病人为中心，充分发挥公立医院公益性，把医院和谐稳定作为工作的出发点，把满足人民群众对医疗卫生服务的需求作为工作的着力点，推进医疗、教学、科研的同步发展，提升医院品牌形象，为患者提供优质、便捷、经济的医疗服务，为特克斯县中医药事业健康发展作出积极贡献。</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b w:val="0"/>
          <w:bCs w:val="0"/>
          <w:kern w:val="2"/>
          <w:sz w:val="32"/>
          <w:szCs w:val="32"/>
          <w:highlight w:val="none"/>
          <w:lang w:val="en-US" w:eastAsia="zh-CN" w:bidi="ar-SA"/>
        </w:rPr>
        <w:t>为保障公立医院正常运行，更好的服务广大患者，我院需配备充足的医护人员，现有在职职工96人，聘用医护人员及行政后勤人员94人，公立医院自有资金事业收入用于保障我院在职职工工资发放、社保公积金缴纳；聘用职工工资发放、社保公积金的缴纳及全体职工绩效发放，同时，为满足群众就医需求，还需采供充足药品及医用材料、保证日常零星维修及正常开展办公工作。</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b w:val="0"/>
          <w:bCs w:val="0"/>
          <w:kern w:val="2"/>
          <w:sz w:val="32"/>
          <w:szCs w:val="32"/>
          <w:highlight w:val="none"/>
          <w:lang w:val="en-US" w:eastAsia="zh-CN" w:bidi="ar-SA"/>
        </w:rPr>
        <w:t>保障了96名在职职工和94名聘用职工全年的工资、绩效、社保和公积金的按时发放和缴纳，完成了药品及材料的及时采购、保证医院日常后勤维修及办公设备的采购，为医院正常运转提供保障。</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全年其他资金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44"/>
          <w:szCs w:val="44"/>
          <w:highlight w:val="none"/>
          <w:lang w:val="en-US" w:eastAsia="zh-CN"/>
        </w:rPr>
        <w:fldChar w:fldCharType="begin"/>
      </w:r>
      <w:r>
        <w:rPr>
          <w:rFonts w:hint="default" w:ascii="Times New Roman" w:hAnsi="Times New Roman" w:eastAsia="仿宋_GB2312" w:cs="Times New Roman"/>
          <w:sz w:val="44"/>
          <w:szCs w:val="44"/>
          <w:highlight w:val="none"/>
          <w:lang w:val="en-US" w:eastAsia="zh-CN"/>
        </w:rPr>
        <w:instrText xml:space="preserve"> = 1 \* GB3 \* MERGEFORMAT </w:instrText>
      </w:r>
      <w:r>
        <w:rPr>
          <w:rFonts w:hint="default" w:ascii="Times New Roman" w:hAnsi="Times New Roman" w:eastAsia="仿宋_GB2312" w:cs="Times New Roman"/>
          <w:sz w:val="44"/>
          <w:szCs w:val="44"/>
          <w:highlight w:val="none"/>
          <w:lang w:val="en-US" w:eastAsia="zh-CN"/>
        </w:rPr>
        <w:fldChar w:fldCharType="separate"/>
      </w:r>
      <w:r>
        <w:rPr>
          <w:sz w:val="28"/>
          <w:szCs w:val="36"/>
          <w:highlight w:val="none"/>
        </w:rPr>
        <w:t>①</w:t>
      </w:r>
      <w:r>
        <w:rPr>
          <w:rFonts w:hint="default" w:ascii="Times New Roman" w:hAnsi="Times New Roman" w:eastAsia="仿宋_GB2312" w:cs="Times New Roman"/>
          <w:sz w:val="44"/>
          <w:szCs w:val="44"/>
          <w:highlight w:val="none"/>
          <w:lang w:val="en-US" w:eastAsia="zh-CN"/>
        </w:rPr>
        <w:fldChar w:fldCharType="end"/>
      </w:r>
      <w:r>
        <w:rPr>
          <w:rFonts w:hint="eastAsia" w:ascii="Times New Roman" w:hAnsi="Times New Roman" w:eastAsia="仿宋_GB2312" w:cs="Times New Roman"/>
          <w:b w:val="0"/>
          <w:bCs w:val="0"/>
          <w:kern w:val="2"/>
          <w:sz w:val="32"/>
          <w:szCs w:val="32"/>
          <w:highlight w:val="none"/>
          <w:lang w:val="en-US" w:eastAsia="zh-CN" w:bidi="ar-SA"/>
        </w:rPr>
        <w:t>保障了96名在职职工和94名聘用职工全年的工资、绩效、社保和公积金的按时发放和缴纳，</w:t>
      </w:r>
      <w:r>
        <w:rPr>
          <w:rFonts w:hint="eastAsia" w:ascii="Times New Roman" w:hAnsi="Times New Roman" w:eastAsia="仿宋_GB2312" w:cs="Times New Roman"/>
          <w:b w:val="0"/>
          <w:bCs w:val="0"/>
          <w:kern w:val="2"/>
          <w:sz w:val="44"/>
          <w:szCs w:val="44"/>
          <w:highlight w:val="none"/>
          <w:lang w:val="en-US" w:eastAsia="zh-CN" w:bidi="ar-SA"/>
        </w:rPr>
        <w:fldChar w:fldCharType="begin"/>
      </w:r>
      <w:r>
        <w:rPr>
          <w:rFonts w:hint="eastAsia" w:ascii="Times New Roman" w:hAnsi="Times New Roman" w:eastAsia="仿宋_GB2312" w:cs="Times New Roman"/>
          <w:b w:val="0"/>
          <w:bCs w:val="0"/>
          <w:kern w:val="2"/>
          <w:sz w:val="44"/>
          <w:szCs w:val="44"/>
          <w:highlight w:val="none"/>
          <w:lang w:val="en-US" w:eastAsia="zh-CN" w:bidi="ar-SA"/>
        </w:rPr>
        <w:instrText xml:space="preserve"> = 2 \* GB3 \* MERGEFORMAT </w:instrText>
      </w:r>
      <w:r>
        <w:rPr>
          <w:rFonts w:hint="eastAsia" w:ascii="Times New Roman" w:hAnsi="Times New Roman" w:eastAsia="仿宋_GB2312" w:cs="Times New Roman"/>
          <w:b w:val="0"/>
          <w:bCs w:val="0"/>
          <w:kern w:val="2"/>
          <w:sz w:val="44"/>
          <w:szCs w:val="44"/>
          <w:highlight w:val="none"/>
          <w:lang w:val="en-US" w:eastAsia="zh-CN" w:bidi="ar-SA"/>
        </w:rPr>
        <w:fldChar w:fldCharType="separate"/>
      </w:r>
      <w:r>
        <w:rPr>
          <w:sz w:val="28"/>
          <w:szCs w:val="36"/>
        </w:rPr>
        <w:t>②</w:t>
      </w:r>
      <w:r>
        <w:rPr>
          <w:rFonts w:hint="eastAsia" w:ascii="Times New Roman" w:hAnsi="Times New Roman" w:eastAsia="仿宋_GB2312" w:cs="Times New Roman"/>
          <w:b w:val="0"/>
          <w:bCs w:val="0"/>
          <w:kern w:val="2"/>
          <w:sz w:val="44"/>
          <w:szCs w:val="44"/>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完成了药品及材料的及时采购</w:t>
      </w:r>
      <w:r>
        <w:rPr>
          <w:rFonts w:hint="eastAsia"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44"/>
          <w:szCs w:val="44"/>
          <w:highlight w:val="none"/>
          <w:lang w:val="en-US" w:eastAsia="zh-CN" w:bidi="ar-SA"/>
        </w:rPr>
        <w:fldChar w:fldCharType="begin"/>
      </w:r>
      <w:r>
        <w:rPr>
          <w:rFonts w:hint="eastAsia" w:eastAsia="仿宋_GB2312" w:cs="Times New Roman"/>
          <w:b w:val="0"/>
          <w:bCs w:val="0"/>
          <w:kern w:val="2"/>
          <w:sz w:val="44"/>
          <w:szCs w:val="44"/>
          <w:highlight w:val="none"/>
          <w:lang w:val="en-US" w:eastAsia="zh-CN" w:bidi="ar-SA"/>
        </w:rPr>
        <w:instrText xml:space="preserve"> = 3 \* GB3 \* MERGEFORMAT </w:instrText>
      </w:r>
      <w:r>
        <w:rPr>
          <w:rFonts w:hint="eastAsia" w:eastAsia="仿宋_GB2312" w:cs="Times New Roman"/>
          <w:b w:val="0"/>
          <w:bCs w:val="0"/>
          <w:kern w:val="2"/>
          <w:sz w:val="44"/>
          <w:szCs w:val="44"/>
          <w:highlight w:val="none"/>
          <w:lang w:val="en-US" w:eastAsia="zh-CN" w:bidi="ar-SA"/>
        </w:rPr>
        <w:fldChar w:fldCharType="separate"/>
      </w:r>
      <w:r>
        <w:rPr>
          <w:sz w:val="28"/>
          <w:szCs w:val="36"/>
        </w:rPr>
        <w:t>③</w:t>
      </w:r>
      <w:r>
        <w:rPr>
          <w:rFonts w:hint="eastAsia" w:eastAsia="仿宋_GB2312" w:cs="Times New Roman"/>
          <w:b w:val="0"/>
          <w:bCs w:val="0"/>
          <w:kern w:val="2"/>
          <w:sz w:val="44"/>
          <w:szCs w:val="44"/>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保证医院日常后勤维修及办公设备的采购</w:t>
      </w:r>
      <w:r>
        <w:rPr>
          <w:rFonts w:hint="eastAsia" w:eastAsia="仿宋_GB2312" w:cs="Times New Roman"/>
          <w:b w:val="0"/>
          <w:bCs w:val="0"/>
          <w:kern w:val="2"/>
          <w:sz w:val="32"/>
          <w:szCs w:val="32"/>
          <w:highlight w:val="none"/>
          <w:lang w:val="en-US" w:eastAsia="zh-CN" w:bidi="ar-SA"/>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为保障公立医院正常运行，更好的服务广大患者，我院将配备充足的医护人员，现有在职职工96人，聘用医护人员及行政后勤人员94人，公立医院自有资金事业收入用于保障我院在职职工及聘用职工工资发放；社保公积金的缴纳及全体职工绩效发放；为满足群众就医需求，还需采购充足药品及医用材料；为提高医护专业水品，我院计划安排医护人员前往上级医疗机构参加学习交流培训；为保障医院各项设施及大型医疗器械满足医院正常运转，我院后勤部门将做好日常维修的后勤保障工作。</w:t>
      </w:r>
    </w:p>
    <w:p>
      <w:pPr>
        <w:numPr>
          <w:ilvl w:val="0"/>
          <w:numId w:val="0"/>
        </w:num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eastAsia="仿宋_GB2312" w:cs="Times New Roman"/>
          <w:b w:val="0"/>
          <w:bCs w:val="0"/>
          <w:kern w:val="2"/>
          <w:sz w:val="32"/>
          <w:szCs w:val="32"/>
          <w:highlight w:val="none"/>
          <w:lang w:val="en-US" w:eastAsia="zh-CN" w:bidi="ar-SA"/>
        </w:rPr>
        <w:t>年中完成以下阶段性目标</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1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①</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聘用职工人数指标完成30%，在职职工人数指标完成25%</w:t>
      </w:r>
      <w:r>
        <w:rPr>
          <w:rFonts w:hint="eastAsia"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2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②</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维修合格率完成50%，药品材料验收合格率完成50%</w:t>
      </w:r>
      <w:r>
        <w:rPr>
          <w:rFonts w:hint="eastAsia"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3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③</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工资发放及时</w:t>
      </w:r>
      <w:r>
        <w:rPr>
          <w:rFonts w:hint="eastAsia" w:eastAsia="仿宋_GB2312" w:cs="Times New Roman"/>
          <w:b w:val="0"/>
          <w:bCs w:val="0"/>
          <w:kern w:val="2"/>
          <w:sz w:val="32"/>
          <w:szCs w:val="32"/>
          <w:highlight w:val="none"/>
          <w:lang w:val="en-US" w:eastAsia="zh-CN" w:bidi="ar-SA"/>
        </w:rPr>
        <w:t>率完成50%，社保缴纳及时率完成50%；</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4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④</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eastAsia="仿宋_GB2312" w:cs="Times New Roman"/>
          <w:b w:val="0"/>
          <w:bCs w:val="0"/>
          <w:kern w:val="2"/>
          <w:sz w:val="32"/>
          <w:szCs w:val="32"/>
          <w:highlight w:val="none"/>
          <w:lang w:val="en-US" w:eastAsia="zh-CN" w:bidi="ar-SA"/>
        </w:rPr>
        <w:t>办公服务支出完成50%，聘用人员工资及社保支出金额达到200万元，在职人员工资及社保支出金额达到400万元；</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5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⑤</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eastAsia="仿宋_GB2312" w:cs="Times New Roman"/>
          <w:b w:val="0"/>
          <w:bCs w:val="0"/>
          <w:kern w:val="2"/>
          <w:sz w:val="32"/>
          <w:szCs w:val="32"/>
          <w:highlight w:val="none"/>
          <w:lang w:val="en-US" w:eastAsia="zh-CN" w:bidi="ar-SA"/>
        </w:rPr>
        <w:t>后勤维修满意度达到50%。</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eastAsia" w:eastAsia="仿宋_GB2312" w:cs="Times New Roman"/>
          <w:sz w:val="32"/>
          <w:szCs w:val="32"/>
          <w:highlight w:val="none"/>
          <w:lang w:val="en-US" w:eastAsia="zh-CN"/>
        </w:rPr>
        <w:t>产出指标、成本指标、效益指标、满意度指标</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产出指标、成本指标、效益指标、满意度指标</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2024年单位事业收入</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特克斯县中医医院</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kern w:val="2"/>
          <w:sz w:val="32"/>
          <w:szCs w:val="32"/>
          <w:highlight w:val="none"/>
          <w:lang w:val="en-US" w:eastAsia="zh-CN" w:bidi="ar-SA"/>
        </w:rPr>
        <w:t>保障在职职工及聘用职工工资正常发放；保障社保公积金的缴纳及全体职工绩效发放；用于采购充足药品及医用材料；安排医护人员前往上级医疗机构参加学习交流培训；后勤部门持续做好日常维修的后勤保障工作从而保障公立医院正常运行，更好的服务广大患者</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2530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r>
        <w:rPr>
          <w:rFonts w:hint="default" w:ascii="Times New Roman" w:hAnsi="Times New Roman" w:eastAsia="仿宋_GB2312" w:cs="Times New Roman"/>
          <w:color w:val="000000"/>
          <w:spacing w:val="17"/>
          <w:sz w:val="32"/>
          <w:szCs w:val="32"/>
          <w:highlight w:val="none"/>
        </w:rPr>
        <w:t xml:space="preserve">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eastAsia="zh-CN"/>
        </w:rPr>
        <w:t>采用此方法主要原因有：</w:t>
      </w:r>
      <w:r>
        <w:rPr>
          <w:rFonts w:hint="default" w:ascii="Calibri" w:hAnsi="Calibri" w:eastAsia="仿宋_GB2312" w:cs="Calibri"/>
          <w:color w:val="000000"/>
          <w:spacing w:val="17"/>
          <w:sz w:val="28"/>
          <w:szCs w:val="28"/>
          <w:highlight w:val="none"/>
          <w:lang w:val="en-US" w:eastAsia="zh-CN"/>
        </w:rPr>
        <w:t>①</w:t>
      </w:r>
      <w:r>
        <w:rPr>
          <w:rFonts w:hint="eastAsia" w:eastAsia="仿宋_GB2312" w:cs="Times New Roman"/>
          <w:color w:val="000000"/>
          <w:spacing w:val="17"/>
          <w:sz w:val="32"/>
          <w:szCs w:val="32"/>
          <w:highlight w:val="none"/>
          <w:lang w:val="en-US" w:eastAsia="zh-CN"/>
        </w:rPr>
        <w:t>数据的可得性与可靠性。</w:t>
      </w:r>
      <w:r>
        <w:rPr>
          <w:rFonts w:hint="default" w:ascii="Calibri" w:hAnsi="Calibri" w:eastAsia="仿宋_GB2312" w:cs="Calibri"/>
          <w:color w:val="000000"/>
          <w:spacing w:val="17"/>
          <w:sz w:val="28"/>
          <w:szCs w:val="28"/>
          <w:highlight w:val="none"/>
          <w:lang w:val="en-US" w:eastAsia="zh-CN"/>
        </w:rPr>
        <w:t>②</w:t>
      </w:r>
      <w:r>
        <w:rPr>
          <w:rFonts w:hint="eastAsia" w:eastAsia="仿宋_GB2312" w:cs="Times New Roman"/>
          <w:color w:val="000000"/>
          <w:spacing w:val="17"/>
          <w:sz w:val="32"/>
          <w:szCs w:val="32"/>
          <w:highlight w:val="none"/>
          <w:lang w:val="en-US" w:eastAsia="zh-CN"/>
        </w:rPr>
        <w:t>灵活性与适应性。</w:t>
      </w:r>
      <w:r>
        <w:rPr>
          <w:rFonts w:hint="default" w:ascii="Calibri" w:hAnsi="Calibri" w:eastAsia="仿宋_GB2312" w:cs="Calibri"/>
          <w:color w:val="000000"/>
          <w:spacing w:val="17"/>
          <w:sz w:val="28"/>
          <w:szCs w:val="28"/>
          <w:highlight w:val="none"/>
          <w:lang w:val="en-US" w:eastAsia="zh-CN"/>
        </w:rPr>
        <w:t>③</w:t>
      </w:r>
      <w:r>
        <w:rPr>
          <w:rFonts w:hint="eastAsia" w:eastAsia="仿宋_GB2312" w:cs="Times New Roman"/>
          <w:color w:val="000000"/>
          <w:spacing w:val="17"/>
          <w:sz w:val="32"/>
          <w:szCs w:val="32"/>
          <w:highlight w:val="none"/>
          <w:lang w:val="en-US" w:eastAsia="zh-CN"/>
        </w:rPr>
        <w:t>客观性与公正性。</w:t>
      </w:r>
      <w:r>
        <w:rPr>
          <w:rFonts w:hint="eastAsia" w:eastAsia="仿宋_GB2312" w:cs="Times New Roman"/>
          <w:color w:val="000000"/>
          <w:spacing w:val="17"/>
          <w:sz w:val="48"/>
          <w:szCs w:val="48"/>
          <w:highlight w:val="none"/>
          <w:lang w:val="en-US" w:eastAsia="zh-CN"/>
        </w:rPr>
        <w:fldChar w:fldCharType="begin"/>
      </w:r>
      <w:r>
        <w:rPr>
          <w:rFonts w:hint="eastAsia" w:eastAsia="仿宋_GB2312" w:cs="Times New Roman"/>
          <w:color w:val="000000"/>
          <w:spacing w:val="17"/>
          <w:sz w:val="48"/>
          <w:szCs w:val="48"/>
          <w:highlight w:val="none"/>
          <w:lang w:val="en-US" w:eastAsia="zh-CN"/>
        </w:rPr>
        <w:instrText xml:space="preserve"> = 4 \* GB3 \* MERGEFORMAT </w:instrText>
      </w:r>
      <w:r>
        <w:rPr>
          <w:rFonts w:hint="eastAsia" w:eastAsia="仿宋_GB2312" w:cs="Times New Roman"/>
          <w:color w:val="000000"/>
          <w:spacing w:val="17"/>
          <w:sz w:val="48"/>
          <w:szCs w:val="48"/>
          <w:highlight w:val="none"/>
          <w:lang w:val="en-US" w:eastAsia="zh-CN"/>
        </w:rPr>
        <w:fldChar w:fldCharType="separate"/>
      </w:r>
      <w:r>
        <w:rPr>
          <w:sz w:val="32"/>
          <w:szCs w:val="40"/>
        </w:rPr>
        <w:t>④</w:t>
      </w:r>
      <w:r>
        <w:rPr>
          <w:rFonts w:hint="eastAsia" w:eastAsia="仿宋_GB2312" w:cs="Times New Roman"/>
          <w:color w:val="000000"/>
          <w:spacing w:val="17"/>
          <w:sz w:val="48"/>
          <w:szCs w:val="48"/>
          <w:highlight w:val="none"/>
          <w:lang w:val="en-US" w:eastAsia="zh-CN"/>
        </w:rPr>
        <w:fldChar w:fldCharType="end"/>
      </w:r>
      <w:r>
        <w:rPr>
          <w:rFonts w:hint="eastAsia" w:eastAsia="仿宋_GB2312" w:cs="Times New Roman"/>
          <w:color w:val="000000"/>
          <w:spacing w:val="17"/>
          <w:sz w:val="32"/>
          <w:szCs w:val="32"/>
          <w:highlight w:val="none"/>
          <w:lang w:val="en-US" w:eastAsia="zh-CN"/>
        </w:rPr>
        <w:t>有助于发现问题与改进问题。</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二</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eastAsia="zh-CN"/>
        </w:rPr>
        <w:t>采用此方法主要原因有：</w:t>
      </w:r>
      <w:r>
        <w:rPr>
          <w:rFonts w:hint="default" w:ascii="Calibri" w:hAnsi="Calibri" w:eastAsia="仿宋_GB2312" w:cs="Calibri"/>
          <w:color w:val="000000"/>
          <w:spacing w:val="17"/>
          <w:sz w:val="28"/>
          <w:szCs w:val="28"/>
          <w:highlight w:val="none"/>
          <w:lang w:val="en-US" w:eastAsia="zh-CN"/>
        </w:rPr>
        <w:t>①</w:t>
      </w:r>
      <w:r>
        <w:rPr>
          <w:rFonts w:hint="eastAsia" w:eastAsia="仿宋_GB2312" w:cs="Times New Roman"/>
          <w:color w:val="000000"/>
          <w:spacing w:val="17"/>
          <w:sz w:val="32"/>
          <w:szCs w:val="32"/>
          <w:highlight w:val="none"/>
          <w:lang w:val="en-US" w:eastAsia="zh-CN"/>
        </w:rPr>
        <w:t>可以全面考虑影响因素。</w:t>
      </w:r>
      <w:r>
        <w:rPr>
          <w:rFonts w:hint="default" w:ascii="Calibri" w:hAnsi="Calibri" w:eastAsia="仿宋_GB2312" w:cs="Calibri"/>
          <w:color w:val="000000"/>
          <w:spacing w:val="17"/>
          <w:sz w:val="28"/>
          <w:szCs w:val="28"/>
          <w:highlight w:val="none"/>
          <w:lang w:val="en-US" w:eastAsia="zh-CN"/>
        </w:rPr>
        <w:t>②</w:t>
      </w:r>
      <w:r>
        <w:rPr>
          <w:rFonts w:hint="eastAsia" w:eastAsia="仿宋_GB2312" w:cs="Times New Roman"/>
          <w:color w:val="000000"/>
          <w:spacing w:val="17"/>
          <w:sz w:val="32"/>
          <w:szCs w:val="32"/>
          <w:highlight w:val="none"/>
          <w:lang w:val="en-US" w:eastAsia="zh-CN"/>
        </w:rPr>
        <w:t>量化因素影响程度。</w:t>
      </w:r>
      <w:r>
        <w:rPr>
          <w:rFonts w:hint="default" w:ascii="Calibri" w:hAnsi="Calibri" w:eastAsia="仿宋_GB2312" w:cs="Calibri"/>
          <w:color w:val="000000"/>
          <w:spacing w:val="17"/>
          <w:sz w:val="28"/>
          <w:szCs w:val="28"/>
          <w:highlight w:val="none"/>
          <w:lang w:val="en-US" w:eastAsia="zh-CN"/>
        </w:rPr>
        <w:t>③</w:t>
      </w:r>
      <w:r>
        <w:rPr>
          <w:rFonts w:hint="eastAsia" w:eastAsia="仿宋_GB2312" w:cs="Times New Roman"/>
          <w:color w:val="000000"/>
          <w:spacing w:val="17"/>
          <w:sz w:val="32"/>
          <w:szCs w:val="32"/>
          <w:highlight w:val="none"/>
          <w:lang w:val="en-US" w:eastAsia="zh-CN"/>
        </w:rPr>
        <w:t>动态调整与适应性。</w:t>
      </w:r>
      <w:r>
        <w:rPr>
          <w:rFonts w:hint="eastAsia" w:eastAsia="仿宋_GB2312" w:cs="Times New Roman"/>
          <w:color w:val="000000"/>
          <w:spacing w:val="17"/>
          <w:sz w:val="48"/>
          <w:szCs w:val="48"/>
          <w:highlight w:val="none"/>
          <w:lang w:val="en-US" w:eastAsia="zh-CN"/>
        </w:rPr>
        <w:fldChar w:fldCharType="begin"/>
      </w:r>
      <w:r>
        <w:rPr>
          <w:rFonts w:hint="eastAsia" w:eastAsia="仿宋_GB2312" w:cs="Times New Roman"/>
          <w:color w:val="000000"/>
          <w:spacing w:val="17"/>
          <w:sz w:val="48"/>
          <w:szCs w:val="48"/>
          <w:highlight w:val="none"/>
          <w:lang w:val="en-US" w:eastAsia="zh-CN"/>
        </w:rPr>
        <w:instrText xml:space="preserve"> = 4 \* GB3 \* MERGEFORMAT </w:instrText>
      </w:r>
      <w:r>
        <w:rPr>
          <w:rFonts w:hint="eastAsia" w:eastAsia="仿宋_GB2312" w:cs="Times New Roman"/>
          <w:color w:val="000000"/>
          <w:spacing w:val="17"/>
          <w:sz w:val="48"/>
          <w:szCs w:val="48"/>
          <w:highlight w:val="none"/>
          <w:lang w:val="en-US" w:eastAsia="zh-CN"/>
        </w:rPr>
        <w:fldChar w:fldCharType="separate"/>
      </w:r>
      <w:r>
        <w:rPr>
          <w:sz w:val="32"/>
          <w:szCs w:val="40"/>
        </w:rPr>
        <w:t>④</w:t>
      </w:r>
      <w:r>
        <w:rPr>
          <w:rFonts w:hint="eastAsia" w:eastAsia="仿宋_GB2312" w:cs="Times New Roman"/>
          <w:color w:val="000000"/>
          <w:spacing w:val="17"/>
          <w:sz w:val="48"/>
          <w:szCs w:val="48"/>
          <w:highlight w:val="none"/>
          <w:lang w:val="en-US" w:eastAsia="zh-CN"/>
        </w:rPr>
        <w:fldChar w:fldCharType="end"/>
      </w:r>
      <w:r>
        <w:rPr>
          <w:rFonts w:hint="eastAsia" w:eastAsia="仿宋_GB2312" w:cs="Times New Roman"/>
          <w:color w:val="000000"/>
          <w:spacing w:val="17"/>
          <w:sz w:val="32"/>
          <w:szCs w:val="32"/>
          <w:highlight w:val="none"/>
          <w:lang w:val="en-US" w:eastAsia="zh-CN"/>
        </w:rPr>
        <w:t>增强指标和理性与科学性。</w:t>
      </w:r>
      <w:r>
        <w:rPr>
          <w:rFonts w:hint="eastAsia" w:eastAsia="仿宋_GB2312" w:cs="Times New Roman"/>
          <w:color w:val="000000"/>
          <w:spacing w:val="17"/>
          <w:sz w:val="48"/>
          <w:szCs w:val="48"/>
          <w:highlight w:val="none"/>
          <w:lang w:val="en-US" w:eastAsia="zh-CN"/>
        </w:rPr>
        <w:fldChar w:fldCharType="begin"/>
      </w:r>
      <w:r>
        <w:rPr>
          <w:rFonts w:hint="eastAsia" w:eastAsia="仿宋_GB2312" w:cs="Times New Roman"/>
          <w:color w:val="000000"/>
          <w:spacing w:val="17"/>
          <w:sz w:val="48"/>
          <w:szCs w:val="48"/>
          <w:highlight w:val="none"/>
          <w:lang w:val="en-US" w:eastAsia="zh-CN"/>
        </w:rPr>
        <w:instrText xml:space="preserve"> = 5 \* GB3 \* MERGEFORMAT </w:instrText>
      </w:r>
      <w:r>
        <w:rPr>
          <w:rFonts w:hint="eastAsia" w:eastAsia="仿宋_GB2312" w:cs="Times New Roman"/>
          <w:color w:val="000000"/>
          <w:spacing w:val="17"/>
          <w:sz w:val="48"/>
          <w:szCs w:val="48"/>
          <w:highlight w:val="none"/>
          <w:lang w:val="en-US" w:eastAsia="zh-CN"/>
        </w:rPr>
        <w:fldChar w:fldCharType="separate"/>
      </w:r>
      <w:r>
        <w:rPr>
          <w:sz w:val="32"/>
          <w:szCs w:val="40"/>
        </w:rPr>
        <w:t>⑤</w:t>
      </w:r>
      <w:r>
        <w:rPr>
          <w:rFonts w:hint="eastAsia" w:eastAsia="仿宋_GB2312" w:cs="Times New Roman"/>
          <w:color w:val="000000"/>
          <w:spacing w:val="17"/>
          <w:sz w:val="48"/>
          <w:szCs w:val="48"/>
          <w:highlight w:val="none"/>
          <w:lang w:val="en-US" w:eastAsia="zh-CN"/>
        </w:rPr>
        <w:fldChar w:fldCharType="end"/>
      </w:r>
      <w:r>
        <w:rPr>
          <w:rFonts w:hint="eastAsia" w:eastAsia="仿宋_GB2312" w:cs="Times New Roman"/>
          <w:color w:val="000000"/>
          <w:spacing w:val="17"/>
          <w:sz w:val="32"/>
          <w:szCs w:val="32"/>
          <w:highlight w:val="none"/>
          <w:lang w:val="en-US" w:eastAsia="zh-CN"/>
        </w:rPr>
        <w:t>便于沟通与理解。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w:t>
      </w:r>
      <w:r>
        <w:rPr>
          <w:rFonts w:hint="eastAsia" w:eastAsia="仿宋_GB2312" w:cs="Times New Roman"/>
          <w:sz w:val="32"/>
          <w:szCs w:val="32"/>
          <w:highlight w:val="none"/>
          <w:lang w:eastAsia="zh-CN"/>
        </w:rPr>
        <w:t>工作人员</w:t>
      </w:r>
      <w:r>
        <w:rPr>
          <w:rFonts w:hint="default" w:ascii="Times New Roman" w:hAnsi="Times New Roman" w:eastAsia="仿宋_GB2312" w:cs="Times New Roman"/>
          <w:sz w:val="32"/>
          <w:szCs w:val="32"/>
          <w:highlight w:val="none"/>
        </w:rPr>
        <w:t>、项目管理人员及相关领域骨干组成，确保从多角度、全方位对项目绩效进行评价。同时，明确了评价工作的目标、范围、重点及时间安排，制定了详细的工作计划，为评价工作的顺利开展奠定了坚实基础。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收集与项目相关的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2024年单位事业收入</w:t>
      </w:r>
      <w:r>
        <w:rPr>
          <w:rFonts w:hint="eastAsia"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rPr>
        <w:t>保障了96名在职职工和94名聘用职工全年的工资、绩效、社保和公积金的按时发放和缴纳</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完成了药品及材料的及时采购</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保证医院日常后勤维修及办公设备的采购</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保障工资社保及药品采购和后勤保障方面</w:t>
      </w:r>
      <w:r>
        <w:rPr>
          <w:rFonts w:hint="default" w:ascii="Times New Roman" w:hAnsi="Times New Roman" w:eastAsia="仿宋_GB2312" w:cs="Times New Roman"/>
          <w:sz w:val="32"/>
          <w:szCs w:val="32"/>
          <w:highlight w:val="none"/>
        </w:rPr>
        <w:t>取得了显著的成效，</w:t>
      </w:r>
      <w:r>
        <w:rPr>
          <w:rFonts w:hint="eastAsia" w:eastAsia="仿宋_GB2312" w:cs="Times New Roman"/>
          <w:sz w:val="32"/>
          <w:szCs w:val="32"/>
          <w:highlight w:val="none"/>
          <w:lang w:eastAsia="zh-CN"/>
        </w:rPr>
        <w:t>保障了</w:t>
      </w:r>
      <w:r>
        <w:rPr>
          <w:rFonts w:hint="eastAsia" w:eastAsia="仿宋_GB2312" w:cs="Times New Roman"/>
          <w:sz w:val="32"/>
          <w:szCs w:val="32"/>
          <w:highlight w:val="none"/>
          <w:lang w:val="en-US" w:eastAsia="zh-CN"/>
        </w:rPr>
        <w:t>96名在职职工工资社保支出417万元；保障了94名聘用职工社保及工资支出738万元；办公服务支出1375万元保障医院正常运转</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特克斯县中医院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eastAsia="zh-CN"/>
        </w:rPr>
        <w:t>医院的服务能力得到有效</w:t>
      </w:r>
      <w:r>
        <w:rPr>
          <w:rFonts w:hint="default" w:ascii="Times New Roman" w:hAnsi="Times New Roman" w:eastAsia="仿宋_GB2312" w:cs="Times New Roman"/>
          <w:sz w:val="32"/>
          <w:szCs w:val="32"/>
          <w:highlight w:val="none"/>
        </w:rPr>
        <w:t>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2024年事业单位收入项目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tblPrEx>
          <w:tblCellMar>
            <w:top w:w="0" w:type="dxa"/>
            <w:left w:w="108" w:type="dxa"/>
            <w:bottom w:w="0" w:type="dxa"/>
            <w:right w:w="108" w:type="dxa"/>
          </w:tblCellMar>
        </w:tblPrEx>
        <w:trPr>
          <w:trHeight w:val="328"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在职职工人数</w:t>
      </w:r>
      <w:r>
        <w:rPr>
          <w:rFonts w:hint="default" w:ascii="Times New Roman" w:hAnsi="Times New Roman" w:eastAsia="仿宋_GB2312" w:cs="Times New Roman"/>
          <w:sz w:val="32"/>
          <w:szCs w:val="32"/>
          <w:highlight w:val="none"/>
        </w:rPr>
        <w:t xml:space="preserve"> ，指标值：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聘用职工人数，</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94人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94人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药品材料验收合格率，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指标2：维修合格率，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工资发放及时率，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指标2：社保缴纳及时率，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1：在职职工工资及社保，指标值：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417万元，实际完成值：417万元，指标完成率：100%。</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2：聘用职工工资及社保，指标值：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738万元，实际完成值：738万元，指标完成率：100%。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3：办公服务支出，指标值：</w:t>
      </w:r>
      <w:r>
        <w:rPr>
          <w:rFonts w:hint="eastAsia" w:ascii="宋体" w:hAnsi="宋体" w:eastAsia="宋体" w:cs="宋体"/>
          <w:sz w:val="32"/>
          <w:szCs w:val="32"/>
          <w:highlight w:val="none"/>
          <w:lang w:val="en-US" w:eastAsia="zh-CN"/>
        </w:rPr>
        <w:t>≦</w:t>
      </w:r>
      <w:r>
        <w:rPr>
          <w:rFonts w:hint="eastAsia" w:ascii="宋体" w:hAnsi="宋体" w:cs="宋体"/>
          <w:sz w:val="32"/>
          <w:szCs w:val="32"/>
          <w:highlight w:val="none"/>
          <w:lang w:val="en-US" w:eastAsia="zh-CN"/>
        </w:rPr>
        <w:t>1375万元，</w:t>
      </w:r>
      <w:r>
        <w:rPr>
          <w:rFonts w:hint="eastAsia" w:eastAsia="仿宋_GB2312" w:cs="Times New Roman"/>
          <w:sz w:val="32"/>
          <w:szCs w:val="32"/>
          <w:highlight w:val="none"/>
          <w:lang w:val="en-US" w:eastAsia="zh-CN"/>
        </w:rPr>
        <w:t>实际完成值：1375万元，指标完成率：100%。</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1：服务能力有效提升，指标值：有效提升，实际完成值：有效提升，指标完成率：100%。</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p>
    <w:p>
      <w:pPr>
        <w:numPr>
          <w:ilvl w:val="0"/>
          <w:numId w:val="0"/>
        </w:num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指标1：后勤维修满意度，指标值：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2024年单位事业收入</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2530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2530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2530</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ascii="Times New Roman" w:hAnsi="Times New Roman" w:eastAsia="仿宋_GB2312" w:cs="Times New Roman"/>
          <w:kern w:val="2"/>
          <w:sz w:val="32"/>
          <w:szCs w:val="32"/>
          <w:lang w:val="en-US" w:eastAsia="zh-CN" w:bidi="ar-SA"/>
        </w:rPr>
        <w:t>五</w:t>
      </w:r>
      <w:r>
        <w:rPr>
          <w:rFonts w:hint="default" w:ascii="Times New Roman" w:hAnsi="Times New Roman" w:eastAsia="仿宋_GB2312" w:cs="Times New Roman"/>
          <w:kern w:val="2"/>
          <w:sz w:val="32"/>
          <w:szCs w:val="32"/>
          <w:lang w:val="en-US" w:eastAsia="zh-CN" w:bidi="ar-SA"/>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val="en-US" w:eastAsia="zh-CN"/>
        </w:rPr>
        <w:t>绩效管理工作，部门参与度低，基本上由财务人员与项目实施科室对接完成。</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2024年单位事业收入</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2024年单位事业收入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2530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为保障公立医院正常运行，更</w:t>
            </w:r>
            <w:bookmarkStart w:id="3" w:name="_GoBack"/>
            <w:bookmarkEnd w:id="3"/>
            <w:r>
              <w:rPr>
                <w:rFonts w:hint="eastAsia" w:ascii="仿宋_GB2312" w:hAnsi="仿宋_GB2312" w:eastAsia="仿宋_GB2312" w:cs="仿宋_GB2312"/>
                <w:i w:val="0"/>
                <w:iCs w:val="0"/>
                <w:color w:val="000000"/>
                <w:sz w:val="18"/>
                <w:szCs w:val="18"/>
                <w:u w:val="none"/>
              </w:rPr>
              <w:t>好的服务广大患者，我院将配备充足的医护人员，现有在职职工96人，聘用医护人员及行政后勤人员94人，公立医院自有资金事业收入用于保障我院在职职工及聘用职工工资发放；社保公积金的缴纳及全体职工绩效发放；为满足群众就医需求，还需采购充足药品及医用材料；为提高医护专业水品，我院计划安排医护人员前往上级医疗机构参加学习交流培训；为保障医院各项设施及大型医疗器械满足医院正常运转，我院后勤部门将做好日常维修的后勤保障工作</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保障了96名在职职工和94名聘用职工全年的工资、绩效、社保和公积金的按时发放和缴纳，完成了药品及材料的及时采购、保证医院日常后勤维修及办公设备的采购，为医院正常运转提供保障。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在职职工人数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&gt;=96人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96人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聘用职工人数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&gt;=94人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94人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药品、材料验收合格率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直接赋分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维修合格率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直接赋分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社保缴纳及时率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在职职工工资及社保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&lt;=417万元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417万元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聘用人员工资及社保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&lt;=738万元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738万元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办公服务支出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&lt;=1375万元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1369.09万元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99.57%</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9.96</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为节约成本，医院减少办公成本，故办公服务支出减少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服务能力有效提升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有效提升</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有效提升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后勤维修满意度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89.96</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533EE2B"/>
    <w:multiLevelType w:val="singleLevel"/>
    <w:tmpl w:val="3533EE2B"/>
    <w:lvl w:ilvl="0" w:tentative="0">
      <w:start w:val="2"/>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6714D1"/>
    <w:rsid w:val="03EC461B"/>
    <w:rsid w:val="045953AD"/>
    <w:rsid w:val="07311887"/>
    <w:rsid w:val="07353F6D"/>
    <w:rsid w:val="07397B77"/>
    <w:rsid w:val="09472A8E"/>
    <w:rsid w:val="0A2B42A7"/>
    <w:rsid w:val="0ABD7849"/>
    <w:rsid w:val="0AD007F3"/>
    <w:rsid w:val="0C100F9A"/>
    <w:rsid w:val="0D765768"/>
    <w:rsid w:val="0E3C619F"/>
    <w:rsid w:val="0F321A1C"/>
    <w:rsid w:val="100F38EC"/>
    <w:rsid w:val="107B0F57"/>
    <w:rsid w:val="11170296"/>
    <w:rsid w:val="121156B7"/>
    <w:rsid w:val="12C66037"/>
    <w:rsid w:val="12CD1ABC"/>
    <w:rsid w:val="13471461"/>
    <w:rsid w:val="13B90F01"/>
    <w:rsid w:val="13EE09B7"/>
    <w:rsid w:val="155E4C4D"/>
    <w:rsid w:val="178C2932"/>
    <w:rsid w:val="181066D2"/>
    <w:rsid w:val="181C1014"/>
    <w:rsid w:val="1B7724B8"/>
    <w:rsid w:val="1C671E73"/>
    <w:rsid w:val="1D2C7DB8"/>
    <w:rsid w:val="1D31702A"/>
    <w:rsid w:val="1D322C47"/>
    <w:rsid w:val="1DC363C3"/>
    <w:rsid w:val="20314A9A"/>
    <w:rsid w:val="20D356D3"/>
    <w:rsid w:val="218A329E"/>
    <w:rsid w:val="23616034"/>
    <w:rsid w:val="23696C97"/>
    <w:rsid w:val="23A12C11"/>
    <w:rsid w:val="24480FA2"/>
    <w:rsid w:val="25227A45"/>
    <w:rsid w:val="26AC3A6A"/>
    <w:rsid w:val="270F46CF"/>
    <w:rsid w:val="27386E16"/>
    <w:rsid w:val="2AE43057"/>
    <w:rsid w:val="2B9D7E25"/>
    <w:rsid w:val="2C7C7A3B"/>
    <w:rsid w:val="2F364819"/>
    <w:rsid w:val="2FD63906"/>
    <w:rsid w:val="31ED570E"/>
    <w:rsid w:val="32790D85"/>
    <w:rsid w:val="328A3799"/>
    <w:rsid w:val="37215DAE"/>
    <w:rsid w:val="38CA40DD"/>
    <w:rsid w:val="395F2B56"/>
    <w:rsid w:val="39781271"/>
    <w:rsid w:val="3BBA0580"/>
    <w:rsid w:val="3BECE841"/>
    <w:rsid w:val="3C757443"/>
    <w:rsid w:val="3CDE204C"/>
    <w:rsid w:val="3D363C36"/>
    <w:rsid w:val="3E9C3F6D"/>
    <w:rsid w:val="3EB17641"/>
    <w:rsid w:val="3FF7797D"/>
    <w:rsid w:val="441B5D56"/>
    <w:rsid w:val="44C37C5C"/>
    <w:rsid w:val="45325188"/>
    <w:rsid w:val="46690BD8"/>
    <w:rsid w:val="48937A8F"/>
    <w:rsid w:val="49F70BF1"/>
    <w:rsid w:val="4B4340EE"/>
    <w:rsid w:val="4CE15B19"/>
    <w:rsid w:val="4DFC1764"/>
    <w:rsid w:val="4EFA381C"/>
    <w:rsid w:val="4FB365C5"/>
    <w:rsid w:val="503D507A"/>
    <w:rsid w:val="51B365DD"/>
    <w:rsid w:val="51FA74D0"/>
    <w:rsid w:val="52AA4A52"/>
    <w:rsid w:val="55CD4161"/>
    <w:rsid w:val="580253F7"/>
    <w:rsid w:val="58BC1B3E"/>
    <w:rsid w:val="59943D66"/>
    <w:rsid w:val="59E051FD"/>
    <w:rsid w:val="59E6355E"/>
    <w:rsid w:val="5B821531"/>
    <w:rsid w:val="5BFF6039"/>
    <w:rsid w:val="5C9D712F"/>
    <w:rsid w:val="5D76A616"/>
    <w:rsid w:val="5D7F20B9"/>
    <w:rsid w:val="5DAC7D0E"/>
    <w:rsid w:val="5F4307C0"/>
    <w:rsid w:val="5F98B5AF"/>
    <w:rsid w:val="5FD840B6"/>
    <w:rsid w:val="5FFE8511"/>
    <w:rsid w:val="5FFEACE2"/>
    <w:rsid w:val="609D5BF6"/>
    <w:rsid w:val="61073070"/>
    <w:rsid w:val="6170751F"/>
    <w:rsid w:val="61B9080E"/>
    <w:rsid w:val="61DF3FED"/>
    <w:rsid w:val="642A04B6"/>
    <w:rsid w:val="642B176B"/>
    <w:rsid w:val="643EE26D"/>
    <w:rsid w:val="656019A0"/>
    <w:rsid w:val="65F242EE"/>
    <w:rsid w:val="666D7E19"/>
    <w:rsid w:val="68376930"/>
    <w:rsid w:val="68F91E38"/>
    <w:rsid w:val="6990307E"/>
    <w:rsid w:val="6B3158B9"/>
    <w:rsid w:val="6BA02A3F"/>
    <w:rsid w:val="6C147A5E"/>
    <w:rsid w:val="6C1E5A53"/>
    <w:rsid w:val="6F5C41AC"/>
    <w:rsid w:val="6FAF6C78"/>
    <w:rsid w:val="70804C87"/>
    <w:rsid w:val="716167CC"/>
    <w:rsid w:val="718A7AD1"/>
    <w:rsid w:val="723260BF"/>
    <w:rsid w:val="72A44BC2"/>
    <w:rsid w:val="7317C656"/>
    <w:rsid w:val="734ED73F"/>
    <w:rsid w:val="73C82B32"/>
    <w:rsid w:val="73F94DAE"/>
    <w:rsid w:val="74220495"/>
    <w:rsid w:val="747D1B6F"/>
    <w:rsid w:val="749E5641"/>
    <w:rsid w:val="76271066"/>
    <w:rsid w:val="77FD8BE9"/>
    <w:rsid w:val="78000AED"/>
    <w:rsid w:val="79A9BD3F"/>
    <w:rsid w:val="7A9847CD"/>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32</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2025-07-22T09:53:34Z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