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eastAsia" w:ascii="方正小标宋简体" w:hAnsi="方正小标宋简体" w:eastAsia="方正小标宋简体" w:cs="方正小标宋简体"/>
          <w:kern w:val="0"/>
          <w:sz w:val="44"/>
          <w:szCs w:val="44"/>
        </w:rPr>
      </w:pPr>
      <w:r>
        <w:rPr>
          <w:rFonts w:ascii="宋体" w:hAnsi="宋体" w:eastAsia="宋体" w:cs="宋体"/>
          <w:sz w:val="24"/>
          <w:szCs w:val="24"/>
        </w:rPr>
        <w:br w:type="textWrapping"/>
      </w:r>
      <w:r>
        <w:rPr>
          <w:rFonts w:hint="eastAsia" w:ascii="方正小标宋简体" w:hAnsi="方正小标宋简体" w:eastAsia="方正小标宋简体" w:cs="方正小标宋简体"/>
          <w:kern w:val="0"/>
          <w:sz w:val="44"/>
          <w:szCs w:val="44"/>
          <w:lang w:val="en-US" w:eastAsia="zh-CN"/>
        </w:rPr>
        <w:t>2024年</w:t>
      </w:r>
      <w:r>
        <w:rPr>
          <w:rFonts w:hint="eastAsia" w:ascii="方正小标宋简体" w:hAnsi="方正小标宋简体" w:eastAsia="方正小标宋简体" w:cs="方正小标宋简体"/>
          <w:kern w:val="0"/>
          <w:sz w:val="44"/>
          <w:szCs w:val="44"/>
          <w:lang w:eastAsia="zh-CN"/>
        </w:rPr>
        <w:t>“</w:t>
      </w:r>
      <w:r>
        <w:rPr>
          <w:rFonts w:hint="eastAsia" w:ascii="方正小标宋简体" w:hAnsi="方正小标宋简体" w:eastAsia="方正小标宋简体" w:cs="方正小标宋简体"/>
          <w:kern w:val="0"/>
          <w:sz w:val="44"/>
          <w:szCs w:val="44"/>
          <w:lang w:val="en-US" w:eastAsia="zh-CN"/>
        </w:rPr>
        <w:t>基</w:t>
      </w:r>
      <w:r>
        <w:rPr>
          <w:rFonts w:hint="eastAsia" w:ascii="方正小标宋简体" w:hAnsi="方正小标宋简体" w:eastAsia="方正小标宋简体" w:cs="方正小标宋简体"/>
          <w:kern w:val="0"/>
          <w:sz w:val="44"/>
          <w:szCs w:val="44"/>
          <w:lang w:eastAsia="zh-CN"/>
        </w:rPr>
        <w:t>层科普行动计划项</w:t>
      </w:r>
      <w:r>
        <w:rPr>
          <w:rFonts w:hint="eastAsia" w:ascii="方正小标宋简体" w:hAnsi="方正小标宋简体" w:eastAsia="方正小标宋简体" w:cs="方正小标宋简体"/>
          <w:kern w:val="0"/>
          <w:sz w:val="44"/>
          <w:szCs w:val="44"/>
        </w:rPr>
        <w:t>目</w:t>
      </w:r>
      <w:r>
        <w:rPr>
          <w:rFonts w:hint="eastAsia" w:ascii="方正小标宋简体" w:hAnsi="方正小标宋简体" w:eastAsia="方正小标宋简体" w:cs="方正小标宋简体"/>
          <w:kern w:val="0"/>
          <w:sz w:val="44"/>
          <w:szCs w:val="44"/>
          <w:lang w:eastAsia="zh-CN"/>
        </w:rPr>
        <w:t>”</w:t>
      </w:r>
      <w:r>
        <w:rPr>
          <w:rFonts w:hint="eastAsia" w:ascii="方正小标宋简体" w:hAnsi="方正小标宋简体" w:eastAsia="方正小标宋简体" w:cs="方正小标宋简体"/>
          <w:kern w:val="0"/>
          <w:sz w:val="44"/>
          <w:szCs w:val="44"/>
        </w:rPr>
        <w:t>支出</w:t>
      </w: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w:t>
      </w:r>
      <w:bookmarkStart w:id="3" w:name="_GoBack"/>
      <w:bookmarkEnd w:id="3"/>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0"/>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960" w:firstLineChars="3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w:t>
      </w:r>
      <w:r>
        <w:rPr>
          <w:rFonts w:hint="eastAsia" w:ascii="Times New Roman" w:hAnsi="Times New Roman" w:eastAsia="仿宋_GB2312" w:cs="Times New Roman"/>
          <w:kern w:val="0"/>
          <w:sz w:val="32"/>
          <w:szCs w:val="32"/>
          <w:lang w:eastAsia="zh-CN"/>
        </w:rPr>
        <w:t>年“基层科普行动计划”项目</w:t>
      </w:r>
    </w:p>
    <w:p>
      <w:pPr>
        <w:spacing w:line="700" w:lineRule="exact"/>
        <w:ind w:firstLine="960" w:firstLineChars="3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特克斯县科学技术协会</w:t>
      </w:r>
    </w:p>
    <w:p>
      <w:pPr>
        <w:spacing w:line="700" w:lineRule="exact"/>
        <w:ind w:firstLine="960" w:firstLineChars="3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特克斯县县委办</w:t>
      </w:r>
    </w:p>
    <w:p>
      <w:pPr>
        <w:spacing w:line="700" w:lineRule="exact"/>
        <w:ind w:firstLine="960" w:firstLineChars="3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袁丽沙</w:t>
      </w:r>
    </w:p>
    <w:p>
      <w:pPr>
        <w:spacing w:line="700" w:lineRule="exact"/>
        <w:ind w:firstLine="960" w:firstLineChars="300"/>
        <w:jc w:val="lef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19</w:t>
      </w:r>
      <w:r>
        <w:rPr>
          <w:rFonts w:hint="default" w:ascii="Times New Roman" w:hAnsi="Times New Roman" w:eastAsia="仿宋_GB2312" w:cs="Times New Roman"/>
          <w:kern w:val="0"/>
          <w:sz w:val="32"/>
          <w:szCs w:val="32"/>
        </w:rPr>
        <w:t>日</w:t>
      </w: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40" w:firstLineChars="200"/>
        <w:rPr>
          <w:rFonts w:hint="eastAsia" w:ascii="仿宋" w:hAnsi="仿宋" w:eastAsia="仿宋" w:cs="仿宋"/>
          <w:color w:val="auto"/>
          <w:sz w:val="32"/>
          <w:szCs w:val="32"/>
          <w:highlight w:val="none"/>
          <w:lang w:eastAsia="zh-CN"/>
        </w:rPr>
      </w:pPr>
      <w:r>
        <w:rPr>
          <w:rFonts w:hint="eastAsia" w:ascii="仿宋_GB2312" w:hAnsi="仿宋_GB2312" w:eastAsia="仿宋_GB2312" w:cs="仿宋_GB2312"/>
          <w:sz w:val="32"/>
          <w:szCs w:val="32"/>
          <w:lang w:bidi="ar"/>
        </w:rPr>
        <w:t>进一步落实《关于提前下达2024年中央“基层科普行动计划”资金预算通知》（伊州财教〔2023〕82号），《关于提前下达2024年自治区“基层科普行动计划”资金预算通知》（伊州财教〔2023〕87号）文件精神，伊犁州科协《关于2024年全国和自治区“基层科普行动计划”项目资金分配及管理使用的通知》要求，进一步提升基层科普服务能力，</w:t>
      </w:r>
      <w:r>
        <w:rPr>
          <w:rFonts w:hint="eastAsia" w:ascii="仿宋_GB2312" w:hAnsi="仿宋_GB2312" w:eastAsia="仿宋_GB2312" w:cs="仿宋_GB2312"/>
          <w:sz w:val="32"/>
          <w:szCs w:val="32"/>
        </w:rPr>
        <w:t>以科普活动进社区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村）</w:t>
      </w:r>
      <w:r>
        <w:rPr>
          <w:rFonts w:hint="eastAsia" w:ascii="仿宋_GB2312" w:hAnsi="仿宋_GB2312" w:eastAsia="仿宋_GB2312" w:cs="仿宋_GB2312"/>
          <w:sz w:val="32"/>
          <w:szCs w:val="32"/>
        </w:rPr>
        <w:t>、进</w:t>
      </w:r>
      <w:r>
        <w:rPr>
          <w:rFonts w:hint="eastAsia" w:ascii="仿宋_GB2312" w:hAnsi="仿宋_GB2312" w:eastAsia="仿宋_GB2312" w:cs="仿宋_GB2312"/>
          <w:sz w:val="32"/>
          <w:szCs w:val="32"/>
          <w:lang w:val="en-US" w:eastAsia="zh-CN"/>
        </w:rPr>
        <w:t>校园、进机关</w:t>
      </w:r>
      <w:r>
        <w:rPr>
          <w:rFonts w:hint="eastAsia" w:ascii="仿宋_GB2312" w:hAnsi="仿宋_GB2312" w:eastAsia="仿宋_GB2312" w:cs="仿宋_GB2312"/>
          <w:sz w:val="32"/>
          <w:szCs w:val="32"/>
        </w:rPr>
        <w:t>的方式，开展丰富多彩、形式多样的科普活动，将科普工作引入全县各领域，树立浓厚科普氛围。</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40" w:firstLineChars="200"/>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项目主要内容：</w:t>
      </w:r>
      <w:r>
        <w:rPr>
          <w:rFonts w:hint="eastAsia" w:ascii="仿宋_GB2312" w:hAnsi="仿宋_GB2312" w:eastAsia="仿宋_GB2312" w:cs="仿宋_GB2312"/>
          <w:sz w:val="32"/>
          <w:szCs w:val="32"/>
        </w:rPr>
        <w:t>引导和推动学会开展“三下乡”等科技服务活动，促进优质服务与乡村科技需求精准对接，为农村地区提供亟需的科技服务；办好老年科技大学，推动“银铃跨越数字鸿沟”科普专项行动，服务老年人科学素质提升；与融媒体合作开展网上科普宣传，提升优质科普内容资源传播力，通过融媒平台将科普工作贯穿到学校、家庭等各个领域；先进集体和个人，加强基层科普组织和年度科普人才队伍建设，继续奖补有较强辐射作用的先进集体和个人。</w:t>
      </w:r>
    </w:p>
    <w:p>
      <w:pPr>
        <w:spacing w:line="560" w:lineRule="exact"/>
        <w:ind w:firstLine="640" w:firstLineChars="200"/>
        <w:rPr>
          <w:rFonts w:hint="eastAsia" w:ascii="仿宋_GB2312" w:hAnsi="仿宋_GB2312" w:eastAsia="仿宋_GB2312" w:cs="仿宋_GB2312"/>
          <w:sz w:val="32"/>
          <w:szCs w:val="32"/>
        </w:rPr>
      </w:pPr>
      <w:r>
        <w:rPr>
          <w:rFonts w:hint="default" w:ascii="仿宋_GB2312" w:hAnsi="仿宋_GB2312" w:eastAsia="仿宋_GB2312" w:cs="仿宋_GB2312"/>
          <w:sz w:val="32"/>
          <w:szCs w:val="32"/>
        </w:rPr>
        <w:t>项目实施情况：</w:t>
      </w:r>
      <w:r>
        <w:rPr>
          <w:rFonts w:hint="eastAsia" w:ascii="仿宋_GB2312" w:hAnsi="仿宋_GB2312" w:eastAsia="仿宋_GB2312" w:cs="仿宋_GB2312"/>
          <w:sz w:val="32"/>
          <w:szCs w:val="32"/>
          <w:lang w:val="en-US" w:eastAsia="zh-CN"/>
        </w:rPr>
        <w:t>2.4万元</w:t>
      </w:r>
      <w:r>
        <w:rPr>
          <w:rFonts w:hint="eastAsia" w:ascii="仿宋_GB2312" w:hAnsi="仿宋_GB2312" w:eastAsia="仿宋_GB2312" w:cs="仿宋_GB2312"/>
          <w:sz w:val="32"/>
          <w:szCs w:val="32"/>
        </w:rPr>
        <w:t>用于引导和推动协会开展“三下乡”等科技服务活动，促进优质服务与乡村科技需求精准对接，为农村地区提供亟需的科技服务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结合我县现有的协会重点开展科技培训、科普讲座、产业指导等科技服务活动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1.6万元</w:t>
      </w:r>
      <w:r>
        <w:rPr>
          <w:rFonts w:hint="eastAsia" w:ascii="仿宋_GB2312" w:hAnsi="仿宋_GB2312" w:eastAsia="仿宋_GB2312" w:cs="仿宋_GB2312"/>
          <w:sz w:val="32"/>
          <w:szCs w:val="32"/>
          <w:lang w:eastAsia="zh-CN"/>
        </w:rPr>
        <w:t>用于开展科技服务活动</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场次</w:t>
      </w:r>
      <w:r>
        <w:rPr>
          <w:rFonts w:hint="eastAsia" w:ascii="仿宋_GB2312" w:hAnsi="仿宋_GB2312" w:eastAsia="仿宋_GB2312" w:cs="仿宋_GB2312"/>
          <w:sz w:val="32"/>
          <w:szCs w:val="32"/>
          <w:lang w:val="en-US" w:eastAsia="zh-CN"/>
        </w:rPr>
        <w:t>以上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办好老年科技大学，组织老年人参加</w:t>
      </w:r>
      <w:r>
        <w:rPr>
          <w:rFonts w:hint="eastAsia" w:ascii="仿宋_GB2312" w:hAnsi="仿宋_GB2312" w:eastAsia="仿宋_GB2312" w:cs="仿宋_GB2312"/>
          <w:sz w:val="32"/>
          <w:szCs w:val="32"/>
          <w:lang w:eastAsia="zh-CN"/>
        </w:rPr>
        <w:t>老干部专业技术服务团、老干部宣讲团开展的科普</w:t>
      </w:r>
      <w:r>
        <w:rPr>
          <w:rFonts w:hint="eastAsia" w:ascii="仿宋_GB2312" w:hAnsi="仿宋_GB2312" w:eastAsia="仿宋_GB2312" w:cs="仿宋_GB2312"/>
          <w:sz w:val="32"/>
          <w:szCs w:val="32"/>
        </w:rPr>
        <w:t>讲座，服务老年人</w:t>
      </w:r>
      <w:r>
        <w:rPr>
          <w:rFonts w:hint="eastAsia" w:ascii="仿宋_GB2312" w:hAnsi="仿宋_GB2312" w:eastAsia="仿宋_GB2312" w:cs="仿宋_GB2312"/>
          <w:sz w:val="32"/>
          <w:szCs w:val="32"/>
          <w:lang w:eastAsia="zh-CN"/>
        </w:rPr>
        <w:t>、农牧民</w:t>
      </w:r>
      <w:r>
        <w:rPr>
          <w:rFonts w:hint="eastAsia" w:ascii="仿宋_GB2312" w:hAnsi="仿宋_GB2312" w:eastAsia="仿宋_GB2312" w:cs="仿宋_GB2312"/>
          <w:sz w:val="32"/>
          <w:szCs w:val="32"/>
        </w:rPr>
        <w:t>科学素质提升。</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万元，全年预算万元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仿宋_GB2312" w:hAnsi="仿宋_GB2312" w:eastAsia="仿宋_GB2312" w:cs="仿宋_GB2312"/>
          <w:sz w:val="32"/>
          <w:szCs w:val="32"/>
          <w:lang w:bidi="ar"/>
        </w:rPr>
        <w:t>协会开展科技培训、科普讲座、产业指导</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老年科技大学</w:t>
      </w:r>
      <w:r>
        <w:rPr>
          <w:rFonts w:hint="eastAsia" w:ascii="仿宋_GB2312" w:hAnsi="仿宋_GB2312" w:eastAsia="仿宋_GB2312" w:cs="仿宋_GB2312"/>
          <w:sz w:val="32"/>
          <w:szCs w:val="32"/>
          <w:lang w:eastAsia="zh-CN" w:bidi="ar"/>
        </w:rPr>
        <w:t>、老干部宣讲团等</w:t>
      </w:r>
      <w:r>
        <w:rPr>
          <w:rFonts w:hint="eastAsia" w:eastAsia="仿宋_GB2312" w:cs="Times New Roman"/>
          <w:sz w:val="32"/>
          <w:szCs w:val="32"/>
          <w:highlight w:val="none"/>
          <w:lang w:val="en-US" w:eastAsia="zh-CN"/>
        </w:rPr>
        <w:t>科普宣传</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hd w:val="clear"/>
        <w:spacing w:line="600" w:lineRule="exact"/>
        <w:ind w:firstLine="640" w:firstLineChars="200"/>
        <w:outlineLvl w:val="0"/>
        <w:rPr>
          <w:rFonts w:hint="default" w:ascii="仿宋_GB2312" w:hAnsi="仿宋_GB2312" w:eastAsia="仿宋_GB2312" w:cs="仿宋_GB2312"/>
          <w:sz w:val="32"/>
          <w:szCs w:val="32"/>
          <w:lang w:eastAsia="zh-CN" w:bidi="ar"/>
        </w:rPr>
      </w:pPr>
      <w:r>
        <w:rPr>
          <w:rFonts w:hint="eastAsia" w:ascii="仿宋_GB2312" w:hAnsi="仿宋_GB2312" w:eastAsia="仿宋_GB2312" w:cs="仿宋_GB2312"/>
          <w:sz w:val="32"/>
          <w:szCs w:val="32"/>
          <w:lang w:bidi="ar"/>
        </w:rPr>
        <w:t>引导和推动学会开展“三下乡”等科技服务活动，促进优质服务与乡村科技需求精准对接，为农村地区提供亟需的科技服务；办好老年科技大学，推动“银铃跨越数字鸿沟”科普专项行动，服务老年人科学素质提升；与融媒体合作开展网上科普宣传，提升优质科普内容资源传播力，通过融媒平台将科普工作贯穿到学校、家庭等各个领域；先进集体和个人，加强基层科普组织和年度科普人才队伍建设，继续奖补有较强辐射作用的先进集体和个人。</w:t>
      </w:r>
    </w:p>
    <w:p>
      <w:pPr>
        <w:numPr>
          <w:ilvl w:val="0"/>
          <w:numId w:val="0"/>
        </w:numPr>
        <w:spacing w:line="560" w:lineRule="exact"/>
        <w:ind w:left="640" w:leftChars="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阶段性目标</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上半年召开单位</w:t>
      </w:r>
      <w:r>
        <w:rPr>
          <w:rFonts w:hint="eastAsia" w:eastAsia="仿宋_GB2312" w:cs="Times New Roman"/>
          <w:sz w:val="32"/>
          <w:szCs w:val="32"/>
          <w:highlight w:val="none"/>
          <w:lang w:val="en-US" w:eastAsia="zh-CN"/>
        </w:rPr>
        <w:t>党组</w:t>
      </w:r>
      <w:r>
        <w:rPr>
          <w:rFonts w:hint="eastAsia" w:ascii="Times New Roman" w:hAnsi="Times New Roman" w:eastAsia="仿宋_GB2312" w:cs="Times New Roman"/>
          <w:sz w:val="32"/>
          <w:szCs w:val="32"/>
          <w:highlight w:val="none"/>
          <w:lang w:val="en-US" w:eastAsia="zh-CN"/>
        </w:rPr>
        <w:t>会议制定会议方案及目标，下半年按照方案执行会议经费</w:t>
      </w:r>
      <w:r>
        <w:rPr>
          <w:rFonts w:hint="eastAsia" w:eastAsia="仿宋_GB2312" w:cs="Times New Roman"/>
          <w:sz w:val="32"/>
          <w:szCs w:val="32"/>
          <w:highlight w:val="none"/>
          <w:lang w:val="en-US" w:eastAsia="zh-CN"/>
        </w:rPr>
        <w:t>。</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评价指标体系的构建上，充分考虑了项目的性质、目标以及预期成果，选取了具有代表性和可衡量性的关键指标，涵盖了社会效益等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通过对项目预算执行情况及各项绩效目标达成程度的系统性分析，全面、客观地评估项目在预定周期内的实施效果，包括社会效益等维度指标，为项目后续的改进与优化提供科学依据。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本项目预算绩效评价报告的评价对象是</w:t>
      </w:r>
      <w:r>
        <w:rPr>
          <w:rFonts w:hint="eastAsia" w:ascii="Times New Roman" w:hAnsi="Times New Roman" w:eastAsia="仿宋_GB2312" w:cs="Times New Roman"/>
          <w:b w:val="0"/>
          <w:bCs w:val="0"/>
          <w:color w:val="auto"/>
          <w:highlight w:val="none"/>
          <w:lang w:val="en-US" w:eastAsia="zh-CN"/>
        </w:rPr>
        <w:t>2024年“</w:t>
      </w:r>
      <w:r>
        <w:rPr>
          <w:rFonts w:hint="eastAsia" w:eastAsia="仿宋_GB2312" w:cs="Times New Roman"/>
          <w:b w:val="0"/>
          <w:bCs w:val="0"/>
          <w:color w:val="auto"/>
          <w:kern w:val="0"/>
          <w:sz w:val="32"/>
          <w:szCs w:val="32"/>
          <w:highlight w:val="none"/>
          <w:lang w:eastAsia="zh-CN"/>
        </w:rPr>
        <w:t>基层科普行动计划”项目</w:t>
      </w:r>
      <w:r>
        <w:rPr>
          <w:rFonts w:hint="default" w:ascii="Times New Roman" w:hAnsi="Times New Roman" w:eastAsia="仿宋_GB2312" w:cs="Times New Roman"/>
          <w:b w:val="0"/>
          <w:bCs w:val="0"/>
          <w:color w:val="auto"/>
          <w:highlight w:val="none"/>
        </w:rPr>
        <w:t>及其预算执行情况。该项目由</w:t>
      </w:r>
      <w:r>
        <w:rPr>
          <w:rFonts w:hint="eastAsia" w:ascii="Times New Roman" w:hAnsi="Times New Roman" w:eastAsia="仿宋_GB2312" w:cs="Times New Roman"/>
          <w:b w:val="0"/>
          <w:bCs w:val="0"/>
          <w:color w:val="auto"/>
          <w:highlight w:val="none"/>
          <w:lang w:eastAsia="zh-CN"/>
        </w:rPr>
        <w:t>科学技术协会</w:t>
      </w:r>
      <w:r>
        <w:rPr>
          <w:rFonts w:hint="default" w:ascii="Times New Roman" w:hAnsi="Times New Roman" w:eastAsia="仿宋_GB2312" w:cs="Times New Roman"/>
          <w:b w:val="0"/>
          <w:bCs w:val="0"/>
          <w:color w:val="auto"/>
          <w:highlight w:val="none"/>
        </w:rPr>
        <w:t>负责实施，旨在引导和推动协会“三下乡”科技服务。项目预算涵盖从</w:t>
      </w:r>
      <w:r>
        <w:rPr>
          <w:rFonts w:hint="eastAsia" w:ascii="Times New Roman" w:hAnsi="Times New Roman" w:eastAsia="仿宋_GB2312" w:cs="Times New Roman"/>
          <w:b w:val="0"/>
          <w:bCs w:val="0"/>
          <w:color w:val="auto"/>
          <w:highlight w:val="none"/>
          <w:lang w:val="en-US" w:eastAsia="zh-CN"/>
        </w:rPr>
        <w:t>2024年1月1日</w:t>
      </w:r>
      <w:r>
        <w:rPr>
          <w:rFonts w:hint="default" w:ascii="Times New Roman" w:hAnsi="Times New Roman" w:eastAsia="仿宋_GB2312" w:cs="Times New Roman"/>
          <w:b w:val="0"/>
          <w:bCs w:val="0"/>
          <w:color w:val="auto"/>
          <w:highlight w:val="none"/>
        </w:rPr>
        <w:t>至</w:t>
      </w:r>
      <w:r>
        <w:rPr>
          <w:rFonts w:hint="eastAsia" w:ascii="Times New Roman" w:hAnsi="Times New Roman" w:eastAsia="仿宋_GB2312" w:cs="Times New Roman"/>
          <w:b w:val="0"/>
          <w:bCs w:val="0"/>
          <w:color w:val="auto"/>
          <w:highlight w:val="none"/>
          <w:lang w:val="en-US" w:eastAsia="zh-CN"/>
        </w:rPr>
        <w:t>2024年12月31日</w:t>
      </w:r>
      <w:r>
        <w:rPr>
          <w:rFonts w:hint="default" w:ascii="Times New Roman" w:hAnsi="Times New Roman" w:eastAsia="仿宋_GB2312" w:cs="Times New Roman"/>
          <w:b w:val="0"/>
          <w:bCs w:val="0"/>
          <w:color w:val="auto"/>
          <w:highlight w:val="none"/>
        </w:rPr>
        <w:t>的全部资金投入与支出，涉及资金总额为</w:t>
      </w:r>
      <w:r>
        <w:rPr>
          <w:rFonts w:hint="eastAsia" w:ascii="Times New Roman" w:hAnsi="Times New Roman" w:eastAsia="仿宋_GB2312" w:cs="Times New Roman"/>
          <w:b w:val="0"/>
          <w:bCs w:val="0"/>
          <w:color w:val="auto"/>
          <w:highlight w:val="none"/>
          <w:lang w:val="en-US" w:eastAsia="zh-CN"/>
        </w:rPr>
        <w:t>4</w:t>
      </w:r>
      <w:r>
        <w:rPr>
          <w:rFonts w:hint="default" w:ascii="Times New Roman" w:hAnsi="Times New Roman" w:eastAsia="仿宋_GB2312" w:cs="Times New Roman"/>
          <w:b w:val="0"/>
          <w:bCs w:val="0"/>
          <w:color w:val="auto"/>
          <w:highlight w:val="none"/>
          <w:lang w:val="en-US" w:eastAsia="zh-CN"/>
        </w:rPr>
        <w:t>万</w:t>
      </w:r>
      <w:r>
        <w:rPr>
          <w:rFonts w:hint="default" w:ascii="Times New Roman" w:hAnsi="Times New Roman" w:eastAsia="仿宋_GB2312" w:cs="Times New Roman"/>
          <w:b w:val="0"/>
          <w:bCs w:val="0"/>
          <w:color w:val="auto"/>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0"/>
        </w:numPr>
        <w:spacing w:before="0" w:after="0" w:line="560" w:lineRule="exact"/>
        <w:ind w:firstLine="640" w:firstLineChars="200"/>
        <w:jc w:val="both"/>
        <w:outlineLvl w:val="9"/>
        <w:rPr>
          <w:rFonts w:hint="eastAsia" w:ascii="Times New Roman" w:hAnsi="Times New Roman" w:eastAsia="仿宋_GB2312" w:cs="Times New Roman"/>
          <w:b w:val="0"/>
          <w:bCs w:val="0"/>
          <w:highlight w:val="green"/>
          <w:lang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影响：考察项目对社会等方面的综合影响。</w:t>
      </w:r>
      <w:r>
        <w:rPr>
          <w:rFonts w:hint="eastAsia" w:ascii="Times New Roman" w:hAnsi="Times New Roman" w:eastAsia="仿宋_GB2312" w:cs="Times New Roman"/>
          <w:b w:val="0"/>
          <w:bCs w:val="0"/>
          <w:highlight w:val="none"/>
          <w:lang w:eastAsia="zh-CN"/>
        </w:rPr>
        <w:t>进一步提升了老年人，科普工作者素质，让他们更好地为科协事业做贡献。</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eastAsia" w:ascii="Times New Roman" w:hAnsi="Times New Roman" w:eastAsia="仿宋_GB2312" w:cs="Times New Roman"/>
          <w:color w:val="000000"/>
          <w:spacing w:val="17"/>
          <w:sz w:val="32"/>
          <w:szCs w:val="32"/>
          <w:highlight w:val="green"/>
          <w:lang w:val="en-US" w:eastAsia="zh-CN"/>
        </w:rPr>
      </w:pPr>
      <w:r>
        <w:rPr>
          <w:rFonts w:hint="default" w:ascii="Times New Roman" w:hAnsi="Times New Roman" w:eastAsia="仿宋_GB2312" w:cs="Times New Roman"/>
          <w:color w:val="000000"/>
          <w:spacing w:val="17"/>
          <w:sz w:val="32"/>
          <w:szCs w:val="32"/>
        </w:rPr>
        <w:t>（</w:t>
      </w:r>
      <w:r>
        <w:rPr>
          <w:rFonts w:hint="eastAsia" w:eastAsia="仿宋_GB2312" w:cs="Times New Roman"/>
          <w:color w:val="000000"/>
          <w:spacing w:val="17"/>
          <w:sz w:val="32"/>
          <w:szCs w:val="32"/>
          <w:lang w:val="en-US" w:eastAsia="zh-CN"/>
        </w:rPr>
        <w:t>一</w:t>
      </w:r>
      <w:r>
        <w:rPr>
          <w:rFonts w:hint="default" w:ascii="Times New Roman" w:hAnsi="Times New Roman" w:eastAsia="仿宋_GB2312" w:cs="Times New Roman"/>
          <w:color w:val="000000"/>
          <w:spacing w:val="17"/>
          <w:sz w:val="32"/>
          <w:szCs w:val="32"/>
        </w:rPr>
        <w:t>）因素分析法。是指综合分析影响绩效目标实现、实施效果的内外部因素的方法。</w:t>
      </w:r>
      <w:r>
        <w:rPr>
          <w:rFonts w:hint="eastAsia" w:eastAsia="仿宋_GB2312" w:cs="Times New Roman"/>
          <w:color w:val="000000"/>
          <w:spacing w:val="17"/>
          <w:sz w:val="32"/>
          <w:szCs w:val="32"/>
          <w:lang w:val="en-US" w:eastAsia="zh-CN"/>
        </w:rPr>
        <w:t>主要是可以深入分析经济现象或结果背后的原因，明确哪些因素对特定变量产生影响，以及影响的方向和程度，帮助研究或决策者理解事物发展变化的内在机制。</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eastAsia="zh-CN"/>
        </w:rPr>
        <w:t>计划</w:t>
      </w:r>
      <w:r>
        <w:rPr>
          <w:rFonts w:hint="default" w:ascii="Times New Roman" w:hAnsi="Times New Roman" w:eastAsia="仿宋_GB2312" w:cs="Times New Roman"/>
          <w:b w:val="0"/>
          <w:bCs w:val="0"/>
        </w:rPr>
        <w:t>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cs="Times New Roman"/>
          <w:sz w:val="32"/>
          <w:szCs w:val="32"/>
          <w:highlight w:val="none"/>
          <w:lang w:eastAsia="zh-CN"/>
        </w:rPr>
        <w:t>基层科普行动计划项目</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eastAsia="zh-CN"/>
        </w:rPr>
        <w:t>科普宣传</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sz w:val="32"/>
          <w:szCs w:val="32"/>
          <w:highlight w:val="none"/>
          <w:lang w:eastAsia="zh-CN"/>
        </w:rPr>
        <w:t>科技宣传</w:t>
      </w:r>
      <w:r>
        <w:rPr>
          <w:rFonts w:hint="default" w:ascii="Times New Roman" w:hAnsi="Times New Roman" w:eastAsia="仿宋_GB2312" w:cs="Times New Roman"/>
          <w:sz w:val="32"/>
          <w:szCs w:val="32"/>
          <w:highlight w:val="none"/>
        </w:rPr>
        <w:t>取得了显著的成效。</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科学技术协会</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w:t>
      </w:r>
      <w:r>
        <w:rPr>
          <w:rFonts w:hint="eastAsia" w:eastAsia="仿宋_GB2312" w:cs="Times New Roman"/>
          <w:sz w:val="32"/>
          <w:szCs w:val="32"/>
          <w:highlight w:val="none"/>
          <w:lang w:eastAsia="zh-CN"/>
        </w:rPr>
        <w:t>在社会效益</w:t>
      </w:r>
      <w:r>
        <w:rPr>
          <w:rFonts w:hint="default" w:ascii="Times New Roman" w:hAnsi="Times New Roman" w:eastAsia="仿宋_GB2312" w:cs="Times New Roman"/>
          <w:sz w:val="32"/>
          <w:szCs w:val="32"/>
          <w:highlight w:val="none"/>
        </w:rPr>
        <w:t>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val="en-US" w:eastAsia="zh-CN"/>
        </w:rPr>
        <w:t>2024年“</w:t>
      </w:r>
      <w:r>
        <w:rPr>
          <w:rFonts w:hint="eastAsia" w:eastAsia="仿宋_GB2312" w:cs="Times New Roman"/>
          <w:sz w:val="32"/>
          <w:szCs w:val="32"/>
          <w:highlight w:val="none"/>
          <w:lang w:eastAsia="zh-CN"/>
        </w:rPr>
        <w:t>基层科普行动计划”项目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12</w:t>
      </w:r>
      <w:r>
        <w:rPr>
          <w:rFonts w:hint="default" w:ascii="Times New Roman" w:hAnsi="Times New Roman" w:eastAsia="仿宋_GB2312" w:cs="Times New Roman"/>
          <w:sz w:val="32"/>
          <w:szCs w:val="32"/>
          <w:lang w:val="en-US" w:eastAsia="zh-CN"/>
        </w:rPr>
        <w:t>个三级指标构成，权重分为40分，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引导和推动协会“三下乡”科技服务</w:t>
      </w:r>
      <w:r>
        <w:rPr>
          <w:rFonts w:hint="default" w:ascii="Times New Roman" w:hAnsi="Times New Roman" w:eastAsia="仿宋_GB2312" w:cs="Times New Roman"/>
          <w:sz w:val="32"/>
          <w:szCs w:val="32"/>
          <w:highlight w:val="none"/>
        </w:rPr>
        <w:t>，指标值：</w:t>
      </w:r>
      <w:r>
        <w:rPr>
          <w:rFonts w:hint="default" w:ascii="Arial" w:hAnsi="Arial" w:eastAsia="仿宋_GB2312" w:cs="Arial"/>
          <w:sz w:val="32"/>
          <w:szCs w:val="32"/>
          <w:highlight w:val="none"/>
        </w:rPr>
        <w:t>≥</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val="en-US" w:eastAsia="zh-CN"/>
        </w:rPr>
        <w:t>2个</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无</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2：科普助力老年人科普素质提升，指标值：</w:t>
      </w:r>
      <w:r>
        <w:rPr>
          <w:rFonts w:hint="default" w:ascii="Arial" w:hAnsi="Arial" w:eastAsia="仿宋_GB2312" w:cs="Arial"/>
          <w:sz w:val="32"/>
          <w:szCs w:val="32"/>
          <w:highlight w:val="none"/>
          <w:lang w:val="en-US" w:eastAsia="zh-CN"/>
        </w:rPr>
        <w:t>≥</w:t>
      </w:r>
      <w:r>
        <w:rPr>
          <w:rFonts w:hint="eastAsia" w:eastAsia="仿宋_GB2312" w:cs="Times New Roman"/>
          <w:sz w:val="32"/>
          <w:szCs w:val="32"/>
          <w:highlight w:val="none"/>
          <w:lang w:val="en-US" w:eastAsia="zh-CN"/>
        </w:rPr>
        <w:t>20次，实际完成值：20次，指标完成率100%，偏差原因：无。</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指标3：与融媒体合作开展网上科普，指标值：</w:t>
      </w:r>
      <w:r>
        <w:rPr>
          <w:rFonts w:hint="default" w:ascii="Arial" w:hAnsi="Arial" w:eastAsia="仿宋_GB2312" w:cs="Arial"/>
          <w:sz w:val="32"/>
          <w:szCs w:val="32"/>
          <w:highlight w:val="none"/>
          <w:lang w:val="en-US" w:eastAsia="zh-CN"/>
        </w:rPr>
        <w:t>≥</w:t>
      </w:r>
      <w:r>
        <w:rPr>
          <w:rFonts w:hint="eastAsia" w:ascii="Arial" w:hAnsi="Arial" w:eastAsia="仿宋_GB2312" w:cs="Arial"/>
          <w:sz w:val="32"/>
          <w:szCs w:val="32"/>
          <w:highlight w:val="none"/>
          <w:lang w:val="en-US" w:eastAsia="zh-CN"/>
        </w:rPr>
        <w:t>128条</w:t>
      </w:r>
      <w:r>
        <w:rPr>
          <w:rFonts w:hint="eastAsia" w:eastAsia="仿宋_GB2312" w:cs="Times New Roman"/>
          <w:sz w:val="32"/>
          <w:szCs w:val="32"/>
          <w:highlight w:val="none"/>
          <w:lang w:val="en-US" w:eastAsia="zh-CN"/>
        </w:rPr>
        <w:t>，实际完成值：128条，指标完成率100%，偏差原因：无。</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指标4：奖补先进集体，指标值：=</w:t>
      </w:r>
      <w:r>
        <w:rPr>
          <w:rFonts w:hint="eastAsia" w:ascii="Arial" w:hAnsi="Arial" w:eastAsia="仿宋_GB2312" w:cs="Arial"/>
          <w:sz w:val="32"/>
          <w:szCs w:val="32"/>
          <w:highlight w:val="none"/>
          <w:lang w:val="en-US" w:eastAsia="zh-CN"/>
        </w:rPr>
        <w:t>1个</w:t>
      </w:r>
      <w:r>
        <w:rPr>
          <w:rFonts w:hint="eastAsia" w:eastAsia="仿宋_GB2312" w:cs="Times New Roman"/>
          <w:sz w:val="32"/>
          <w:szCs w:val="32"/>
          <w:highlight w:val="none"/>
          <w:lang w:val="en-US" w:eastAsia="zh-CN"/>
        </w:rPr>
        <w:t>，实际完成值：1个，指标完成率100%，偏差原因：无。</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指标5：奖补先进个人，指标值：=</w:t>
      </w:r>
      <w:r>
        <w:rPr>
          <w:rFonts w:hint="eastAsia" w:ascii="Arial" w:hAnsi="Arial" w:eastAsia="仿宋_GB2312" w:cs="Arial"/>
          <w:sz w:val="32"/>
          <w:szCs w:val="32"/>
          <w:highlight w:val="none"/>
          <w:lang w:val="en-US" w:eastAsia="zh-CN"/>
        </w:rPr>
        <w:t>6人</w:t>
      </w:r>
      <w:r>
        <w:rPr>
          <w:rFonts w:hint="eastAsia" w:eastAsia="仿宋_GB2312" w:cs="Times New Roman"/>
          <w:sz w:val="32"/>
          <w:szCs w:val="32"/>
          <w:highlight w:val="none"/>
          <w:lang w:val="en-US" w:eastAsia="zh-CN"/>
        </w:rPr>
        <w:t>，实际完成值：6人，指标完成率100%，偏差原因：无。</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指标1：科普助力老年人科普素质提升度，指标值：</w:t>
      </w:r>
      <w:r>
        <w:rPr>
          <w:rFonts w:hint="default" w:ascii="Arial" w:hAnsi="Arial" w:eastAsia="仿宋_GB2312" w:cs="Arial"/>
          <w:sz w:val="32"/>
          <w:szCs w:val="32"/>
          <w:highlight w:val="none"/>
          <w:lang w:val="en-US" w:eastAsia="zh-CN"/>
        </w:rPr>
        <w:t>≥</w:t>
      </w:r>
      <w:r>
        <w:rPr>
          <w:rFonts w:hint="eastAsia" w:ascii="Arial" w:hAnsi="Arial" w:eastAsia="仿宋_GB2312" w:cs="Arial"/>
          <w:sz w:val="32"/>
          <w:szCs w:val="32"/>
          <w:highlight w:val="none"/>
          <w:lang w:val="en-US" w:eastAsia="zh-CN"/>
        </w:rPr>
        <w:t>95%</w:t>
      </w:r>
      <w:r>
        <w:rPr>
          <w:rFonts w:hint="eastAsia" w:eastAsia="仿宋_GB2312" w:cs="Times New Roman"/>
          <w:sz w:val="32"/>
          <w:szCs w:val="32"/>
          <w:highlight w:val="none"/>
          <w:lang w:val="en-US" w:eastAsia="zh-CN"/>
        </w:rPr>
        <w:t>，实际完成值：95%，指标完成率100%，偏差原因：无。</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指标2：奖补先进集体和个人发放率，指标值：=</w:t>
      </w:r>
      <w:r>
        <w:rPr>
          <w:rFonts w:hint="eastAsia" w:ascii="Arial" w:hAnsi="Arial" w:eastAsia="仿宋_GB2312" w:cs="Arial"/>
          <w:sz w:val="32"/>
          <w:szCs w:val="32"/>
          <w:highlight w:val="none"/>
          <w:lang w:val="en-US" w:eastAsia="zh-CN"/>
        </w:rPr>
        <w:t>100%</w:t>
      </w:r>
      <w:r>
        <w:rPr>
          <w:rFonts w:hint="eastAsia" w:eastAsia="仿宋_GB2312" w:cs="Times New Roman"/>
          <w:sz w:val="32"/>
          <w:szCs w:val="32"/>
          <w:highlight w:val="none"/>
          <w:lang w:val="en-US" w:eastAsia="zh-CN"/>
        </w:rPr>
        <w:t>，实际完成值：100%，指标完成率100%，偏差原因：无。</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指标1：资金拨付及时率，指标值：=</w:t>
      </w:r>
      <w:r>
        <w:rPr>
          <w:rFonts w:hint="eastAsia" w:ascii="Arial" w:hAnsi="Arial" w:eastAsia="仿宋_GB2312" w:cs="Arial"/>
          <w:sz w:val="32"/>
          <w:szCs w:val="32"/>
          <w:highlight w:val="none"/>
          <w:lang w:val="en-US" w:eastAsia="zh-CN"/>
        </w:rPr>
        <w:t>100%</w:t>
      </w:r>
      <w:r>
        <w:rPr>
          <w:rFonts w:hint="eastAsia" w:eastAsia="仿宋_GB2312" w:cs="Times New Roman"/>
          <w:sz w:val="32"/>
          <w:szCs w:val="32"/>
          <w:highlight w:val="none"/>
          <w:lang w:val="en-US" w:eastAsia="zh-CN"/>
        </w:rPr>
        <w:t>，实际完成值：100%，指标完成率100%，偏差原因：无。</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指标1：引导和推动协会“三下乡”科技服务使用资金，指标值：=1.6万元，实际完成值：1.6万元，指标完成率100%，偏差原因：无。</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指标2：科普助力老年人科普素质提升使用资金，指标值：=0.8万元，实际完成值：0.8万元，指标完成率100%，偏差原因：无。</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指标3：与融媒体合作开展网上科普使用资金，指标值：=0.8万元，实际完成值：0.8万元，指标完成率100%，偏差原因：无。</w:t>
      </w:r>
    </w:p>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指标4：奖补先进集体和先进个人使用资金，指标值：=0.8万元，实际完成值：0.8万元，指标完成率100%，偏差原因：无。</w:t>
      </w:r>
    </w:p>
    <w:p>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w:t>
      </w:r>
      <w:r>
        <w:rPr>
          <w:rFonts w:hint="default" w:ascii="Times New Roman" w:hAnsi="Times New Roman" w:eastAsia="仿宋_GB2312" w:cs="Times New Roman"/>
          <w:sz w:val="32"/>
          <w:szCs w:val="32"/>
          <w:lang w:val="en-US" w:eastAsia="zh-CN"/>
        </w:rPr>
        <w:t>标完成情况如下：</w:t>
      </w:r>
    </w:p>
    <w:p>
      <w:pPr>
        <w:numPr>
          <w:ilvl w:val="0"/>
          <w:numId w:val="5"/>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指标1：提高全民科学素质，指标值：有效提高，实际完成值：有效提高，指标完成率100%，偏差原因：无。</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指标1：科普宣传满意度，指标值：</w:t>
      </w:r>
      <w:r>
        <w:rPr>
          <w:rFonts w:hint="default" w:ascii="Arial" w:hAnsi="Arial" w:eastAsia="仿宋_GB2312" w:cs="Arial"/>
          <w:sz w:val="32"/>
          <w:szCs w:val="32"/>
          <w:highlight w:val="none"/>
          <w:lang w:val="en-US" w:eastAsia="zh-CN"/>
        </w:rPr>
        <w:t>≥</w:t>
      </w:r>
      <w:r>
        <w:rPr>
          <w:rFonts w:hint="eastAsia" w:eastAsia="仿宋_GB2312" w:cs="Times New Roman"/>
          <w:sz w:val="32"/>
          <w:szCs w:val="32"/>
          <w:highlight w:val="none"/>
          <w:lang w:val="en-US" w:eastAsia="zh-CN"/>
        </w:rPr>
        <w:t>90%，实际完成值：90%，指标完成率100%，偏差原因：无。</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9"/>
        <w:spacing w:line="560" w:lineRule="exact"/>
        <w:ind w:firstLine="640"/>
        <w:rPr>
          <w:rFonts w:hint="eastAsia" w:ascii="仿宋" w:hAnsi="仿宋" w:eastAsia="仿宋" w:cs="仿宋"/>
          <w:sz w:val="32"/>
          <w:szCs w:val="32"/>
          <w:highlight w:val="yellow"/>
        </w:rPr>
      </w:pPr>
      <w:r>
        <w:rPr>
          <w:rFonts w:hint="eastAsia" w:ascii="仿宋" w:hAnsi="仿宋" w:eastAsia="仿宋" w:cs="仿宋"/>
          <w:sz w:val="32"/>
          <w:szCs w:val="32"/>
          <w:highlight w:val="none"/>
          <w:lang w:val="en-US" w:eastAsia="zh-CN"/>
        </w:rPr>
        <w:t>2024年“</w:t>
      </w:r>
      <w:r>
        <w:rPr>
          <w:rFonts w:hint="eastAsia" w:ascii="仿宋" w:hAnsi="仿宋" w:eastAsia="仿宋" w:cs="仿宋"/>
          <w:sz w:val="32"/>
          <w:szCs w:val="32"/>
          <w:highlight w:val="none"/>
          <w:lang w:eastAsia="zh-CN"/>
        </w:rPr>
        <w:t>基层科普行动计划”</w:t>
      </w:r>
      <w:r>
        <w:rPr>
          <w:rFonts w:hint="eastAsia" w:ascii="仿宋" w:hAnsi="仿宋" w:eastAsia="仿宋" w:cs="仿宋"/>
          <w:sz w:val="32"/>
          <w:szCs w:val="32"/>
          <w:highlight w:val="none"/>
        </w:rPr>
        <w:t>项目年初预算</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万元，全年预算</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万元，实际支出</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万元，预算执行率为</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%，项目绩效指标总体完成率为</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Hans"/>
        </w:rPr>
        <w:t>总体</w:t>
      </w:r>
      <w:r>
        <w:rPr>
          <w:rFonts w:hint="eastAsia" w:ascii="仿宋" w:hAnsi="仿宋" w:eastAsia="仿宋" w:cs="仿宋"/>
          <w:sz w:val="32"/>
          <w:szCs w:val="32"/>
          <w:highlight w:val="none"/>
        </w:rPr>
        <w:t>偏差率为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highlight w:val="none"/>
          <w:lang w:eastAsia="zh-CN"/>
        </w:rPr>
        <w:t>，</w:t>
      </w:r>
      <w:r>
        <w:rPr>
          <w:rFonts w:hint="eastAsia" w:ascii="仿宋" w:hAnsi="仿宋" w:eastAsia="仿宋" w:cs="仿宋"/>
          <w:sz w:val="32"/>
          <w:szCs w:val="32"/>
          <w:highlight w:val="none"/>
          <w:lang w:eastAsia="zh-Hans"/>
        </w:rPr>
        <w:t>偏差</w:t>
      </w:r>
      <w:r>
        <w:rPr>
          <w:rFonts w:hint="eastAsia" w:ascii="仿宋" w:hAnsi="仿宋" w:eastAsia="仿宋" w:cs="仿宋"/>
          <w:sz w:val="32"/>
          <w:szCs w:val="32"/>
          <w:highlight w:val="none"/>
        </w:rPr>
        <w:t>原因</w:t>
      </w:r>
      <w:r>
        <w:rPr>
          <w:rFonts w:hint="eastAsia" w:ascii="仿宋" w:hAnsi="仿宋" w:eastAsia="仿宋" w:cs="仿宋"/>
          <w:sz w:val="32"/>
          <w:szCs w:val="32"/>
          <w:highlight w:val="none"/>
          <w:lang w:eastAsia="zh-CN"/>
        </w:rPr>
        <w:t>无</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Hans"/>
        </w:rPr>
        <w:t>改进</w:t>
      </w:r>
      <w:r>
        <w:rPr>
          <w:rFonts w:hint="eastAsia" w:ascii="仿宋" w:hAnsi="仿宋" w:eastAsia="仿宋" w:cs="仿宋"/>
          <w:sz w:val="32"/>
          <w:szCs w:val="32"/>
          <w:highlight w:val="none"/>
        </w:rPr>
        <w:t>措施</w:t>
      </w:r>
      <w:r>
        <w:rPr>
          <w:rFonts w:hint="eastAsia" w:ascii="仿宋" w:hAnsi="仿宋" w:eastAsia="仿宋" w:cs="仿宋"/>
          <w:sz w:val="32"/>
          <w:szCs w:val="32"/>
          <w:highlight w:val="none"/>
          <w:lang w:eastAsia="zh-CN"/>
        </w:rPr>
        <w:t>无</w:t>
      </w:r>
      <w:r>
        <w:rPr>
          <w:rFonts w:hint="eastAsia" w:ascii="仿宋" w:hAnsi="仿宋" w:eastAsia="仿宋" w:cs="仿宋"/>
          <w:sz w:val="32"/>
          <w:szCs w:val="32"/>
          <w:highlight w:val="none"/>
        </w:rPr>
        <w:t>。</w:t>
      </w:r>
    </w:p>
    <w:p>
      <w:pPr>
        <w:spacing w:line="560" w:lineRule="exact"/>
        <w:ind w:firstLine="640" w:firstLineChars="200"/>
        <w:rPr>
          <w:rStyle w:val="18"/>
          <w:rFonts w:hint="eastAsia" w:ascii="仿宋" w:hAnsi="仿宋" w:eastAsia="仿宋" w:cs="仿宋"/>
          <w:color w:val="auto"/>
        </w:rPr>
      </w:pPr>
      <w:r>
        <w:rPr>
          <w:rFonts w:hint="eastAsia" w:ascii="仿宋" w:hAnsi="仿宋" w:eastAsia="仿宋" w:cs="仿宋"/>
          <w:sz w:val="32"/>
          <w:szCs w:val="32"/>
          <w:lang w:val="en-US" w:eastAsia="zh-CN"/>
        </w:rPr>
        <w:t>五</w:t>
      </w:r>
      <w:r>
        <w:rPr>
          <w:rFonts w:hint="eastAsia" w:ascii="仿宋" w:hAnsi="仿宋" w:eastAsia="仿宋" w:cs="仿宋"/>
          <w:b/>
          <w:bCs/>
          <w:sz w:val="32"/>
          <w:szCs w:val="32"/>
          <w:lang w:val="en-US" w:eastAsia="zh-CN"/>
        </w:rPr>
        <w:t>.</w:t>
      </w:r>
      <w:r>
        <w:rPr>
          <w:rFonts w:hint="eastAsia" w:ascii="仿宋" w:hAnsi="仿宋" w:eastAsia="仿宋" w:cs="仿宋"/>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Hans"/>
        </w:rPr>
        <w:t>本项目无其他需说明的问题。</w:t>
      </w: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lang w:val="en-US" w:eastAsia="zh-CN"/>
        </w:rPr>
        <w:t>2024年“</w:t>
      </w:r>
      <w:r>
        <w:rPr>
          <w:rFonts w:hint="eastAsia" w:ascii="仿宋_GB2312" w:hAnsi="仿宋_GB2312" w:eastAsia="仿宋_GB2312" w:cs="仿宋_GB2312"/>
          <w:b/>
          <w:bCs/>
          <w:sz w:val="28"/>
          <w:szCs w:val="40"/>
          <w:lang w:eastAsia="zh-CN"/>
        </w:rPr>
        <w:t>基层科普行动计划”项目</w:t>
      </w:r>
      <w:r>
        <w:rPr>
          <w:rFonts w:hint="eastAsia" w:ascii="仿宋_GB2312" w:hAnsi="仿宋_GB2312" w:eastAsia="仿宋_GB2312" w:cs="仿宋_GB2312"/>
          <w:b/>
          <w:bCs/>
          <w:sz w:val="28"/>
          <w:szCs w:val="40"/>
        </w:rPr>
        <w:t>绩效评价指标体系及综合评分表</w:t>
      </w:r>
      <w:bookmarkEnd w:id="1"/>
      <w:bookmarkEnd w:id="2"/>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025"/>
        <w:gridCol w:w="1020"/>
        <w:gridCol w:w="2010"/>
        <w:gridCol w:w="855"/>
        <w:gridCol w:w="1030"/>
        <w:gridCol w:w="924"/>
        <w:gridCol w:w="837"/>
        <w:gridCol w:w="1034"/>
        <w:gridCol w:w="690"/>
        <w:gridCol w:w="945"/>
        <w:gridCol w:w="795"/>
        <w:gridCol w:w="805"/>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223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val="en-US" w:eastAsia="zh-CN"/>
              </w:rPr>
              <w:t>2024年“</w:t>
            </w:r>
            <w:r>
              <w:rPr>
                <w:rFonts w:hint="eastAsia" w:ascii="仿宋_GB2312" w:hAnsi="仿宋_GB2312" w:eastAsia="仿宋_GB2312" w:cs="仿宋_GB2312"/>
                <w:i w:val="0"/>
                <w:iCs w:val="0"/>
                <w:color w:val="000000"/>
                <w:sz w:val="18"/>
                <w:szCs w:val="18"/>
                <w:u w:val="none"/>
                <w:lang w:eastAsia="zh-CN"/>
              </w:rPr>
              <w:t>基层科普行动计划”项目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83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特克斯县科学技术协会</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5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特克斯县科学技术协会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3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3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85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954"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71"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73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5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735"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引导和推动学会开展“三下乡”等科技服务活动，促进优质服务与乡村科技需求精准对接，为农村地区提供亟需的科技服务；办好老年科技大学，推动“银铃跨越数字鸿沟”科普专项行动，服务老年人科学素质提升；与融媒体合作开展网上科普宣传，提升优质科普内容资源传播力，通过融媒平台将科普工作贯穿到学校、家庭等各个领域；先进集体和个人，加强基层科普组织和年度科普人才队伍建设，继续奖补有较强辐射作用的先进集体和个人。</w:t>
            </w:r>
          </w:p>
        </w:tc>
        <w:tc>
          <w:tcPr>
            <w:tcW w:w="45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开展科普宣传，奖补先进集体和个人。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020"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2010"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引导和推动协会“三下乡”科技服务</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default" w:ascii="Arial" w:hAnsi="Arial" w:eastAsia="仿宋_GB2312" w:cs="Arial"/>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2个</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2个</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25"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020"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010"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科普助力老年人科普素质提升</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Arial" w:hAnsi="Arial" w:eastAsia="仿宋_GB2312" w:cs="Arial"/>
                <w:i w:val="0"/>
                <w:iCs w:val="0"/>
                <w:color w:val="000000"/>
                <w:sz w:val="18"/>
                <w:szCs w:val="18"/>
                <w:u w:val="none"/>
                <w:lang w:val="en-US" w:eastAsia="zh-CN"/>
              </w:rPr>
            </w:pPr>
            <w:r>
              <w:rPr>
                <w:rFonts w:hint="default" w:ascii="Arial" w:hAnsi="Arial" w:eastAsia="仿宋_GB2312" w:cs="Arial"/>
                <w:i w:val="0"/>
                <w:iCs w:val="0"/>
                <w:color w:val="000000"/>
                <w:sz w:val="18"/>
                <w:szCs w:val="18"/>
                <w:u w:val="none"/>
              </w:rPr>
              <w:t>≥</w:t>
            </w:r>
            <w:r>
              <w:rPr>
                <w:rFonts w:hint="eastAsia" w:ascii="Arial" w:hAnsi="Arial" w:eastAsia="仿宋_GB2312" w:cs="Arial"/>
                <w:i w:val="0"/>
                <w:iCs w:val="0"/>
                <w:color w:val="000000"/>
                <w:sz w:val="18"/>
                <w:szCs w:val="18"/>
                <w:u w:val="none"/>
                <w:lang w:val="en-US" w:eastAsia="zh-CN"/>
              </w:rPr>
              <w:t>20次</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20次</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25"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020"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010"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与融媒体合作开展网上科普</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Arial" w:hAnsi="Arial" w:eastAsia="仿宋_GB2312" w:cs="Arial"/>
                <w:i w:val="0"/>
                <w:iCs w:val="0"/>
                <w:color w:val="000000"/>
                <w:sz w:val="18"/>
                <w:szCs w:val="18"/>
                <w:u w:val="none"/>
                <w:lang w:val="en-US" w:eastAsia="zh-CN"/>
              </w:rPr>
            </w:pPr>
            <w:r>
              <w:rPr>
                <w:rFonts w:hint="default" w:ascii="Arial" w:hAnsi="Arial" w:eastAsia="仿宋_GB2312" w:cs="Arial"/>
                <w:i w:val="0"/>
                <w:iCs w:val="0"/>
                <w:color w:val="000000"/>
                <w:sz w:val="18"/>
                <w:szCs w:val="18"/>
                <w:u w:val="none"/>
              </w:rPr>
              <w:t>≥</w:t>
            </w:r>
            <w:r>
              <w:rPr>
                <w:rFonts w:hint="eastAsia" w:ascii="Arial" w:hAnsi="Arial" w:eastAsia="仿宋_GB2312" w:cs="Arial"/>
                <w:i w:val="0"/>
                <w:iCs w:val="0"/>
                <w:color w:val="000000"/>
                <w:sz w:val="18"/>
                <w:szCs w:val="18"/>
                <w:u w:val="none"/>
                <w:lang w:val="en-US" w:eastAsia="zh-CN"/>
              </w:rPr>
              <w:t>128条</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128条</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25"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020"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010"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奖补先进集体</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Arial" w:hAnsi="Arial" w:eastAsia="仿宋_GB2312" w:cs="Arial"/>
                <w:i w:val="0"/>
                <w:iCs w:val="0"/>
                <w:color w:val="000000"/>
                <w:sz w:val="18"/>
                <w:szCs w:val="18"/>
                <w:u w:val="none"/>
                <w:lang w:val="en-US" w:eastAsia="zh-CN"/>
              </w:rPr>
            </w:pPr>
            <w:r>
              <w:rPr>
                <w:rFonts w:hint="eastAsia" w:ascii="Arial" w:hAnsi="Arial" w:eastAsia="仿宋_GB2312" w:cs="Arial"/>
                <w:i w:val="0"/>
                <w:iCs w:val="0"/>
                <w:color w:val="000000"/>
                <w:sz w:val="18"/>
                <w:szCs w:val="18"/>
                <w:u w:val="none"/>
                <w:lang w:val="en-US" w:eastAsia="zh-CN"/>
              </w:rPr>
              <w:t>=1个</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1个</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25"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020" w:type="dxa"/>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010"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奖补先进个人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Arial" w:hAnsi="Arial" w:eastAsia="仿宋_GB2312" w:cs="Arial"/>
                <w:i w:val="0"/>
                <w:iCs w:val="0"/>
                <w:color w:val="000000"/>
                <w:sz w:val="18"/>
                <w:szCs w:val="18"/>
                <w:u w:val="none"/>
                <w:lang w:val="en-US" w:eastAsia="zh-CN"/>
              </w:rPr>
            </w:pPr>
            <w:r>
              <w:rPr>
                <w:rFonts w:hint="eastAsia" w:ascii="Arial" w:hAnsi="Arial" w:eastAsia="仿宋_GB2312" w:cs="Arial"/>
                <w:i w:val="0"/>
                <w:iCs w:val="0"/>
                <w:color w:val="000000"/>
                <w:sz w:val="18"/>
                <w:szCs w:val="18"/>
                <w:u w:val="none"/>
                <w:lang w:val="en-US" w:eastAsia="zh-CN"/>
              </w:rPr>
              <w:t>=6个</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6个</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02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科普助力老年人科普素质提升率</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default" w:ascii="Arial" w:hAnsi="Arial" w:eastAsia="仿宋_GB2312" w:cs="Arial"/>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95%</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02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奖补先进集体和个人发放率</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Arial" w:hAnsi="Arial" w:eastAsia="仿宋_GB2312" w:cs="Arial"/>
                <w:i w:val="0"/>
                <w:iCs w:val="0"/>
                <w:color w:val="000000"/>
                <w:sz w:val="18"/>
                <w:szCs w:val="18"/>
                <w:u w:val="none"/>
                <w:lang w:val="en-US" w:eastAsia="zh-CN"/>
              </w:rPr>
            </w:pPr>
            <w:r>
              <w:rPr>
                <w:rFonts w:hint="eastAsia" w:ascii="Arial" w:hAnsi="Arial" w:eastAsia="仿宋_GB2312" w:cs="Arial"/>
                <w:i w:val="0"/>
                <w:iCs w:val="0"/>
                <w:color w:val="000000"/>
                <w:sz w:val="18"/>
                <w:szCs w:val="18"/>
                <w:u w:val="none"/>
                <w:lang w:val="en-US" w:eastAsia="zh-CN"/>
              </w:rPr>
              <w:t>=100%</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02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资金拨付及时率</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Arial" w:hAnsi="Arial" w:eastAsia="仿宋_GB2312" w:cs="Arial"/>
                <w:i w:val="0"/>
                <w:iCs w:val="0"/>
                <w:color w:val="000000"/>
                <w:sz w:val="18"/>
                <w:szCs w:val="18"/>
                <w:u w:val="none"/>
                <w:lang w:val="en-US" w:eastAsia="zh-CN"/>
              </w:rPr>
              <w:t>=</w:t>
            </w:r>
            <w:r>
              <w:rPr>
                <w:rFonts w:hint="eastAsia" w:ascii="仿宋_GB2312" w:hAnsi="仿宋_GB2312" w:eastAsia="仿宋_GB2312" w:cs="仿宋_GB2312"/>
                <w:i w:val="0"/>
                <w:iCs w:val="0"/>
                <w:color w:val="000000"/>
                <w:sz w:val="18"/>
                <w:szCs w:val="18"/>
                <w:u w:val="none"/>
                <w:lang w:val="en-US" w:eastAsia="zh-CN"/>
              </w:rPr>
              <w:t>100%</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025"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020"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引导和推动协会“三下乡”科技服务使用资金</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=1.6万元</w:t>
            </w:r>
          </w:p>
        </w:tc>
        <w:tc>
          <w:tcPr>
            <w:tcW w:w="103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03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1.6万元</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025" w:type="dxa"/>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020"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科普助力老年科普素质提升使用资金</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=0.8万元</w:t>
            </w:r>
          </w:p>
        </w:tc>
        <w:tc>
          <w:tcPr>
            <w:tcW w:w="103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03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0.8万元</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025" w:type="dxa"/>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020"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与融媒体开展网上科普使用资金</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=0.8万元</w:t>
            </w:r>
          </w:p>
        </w:tc>
        <w:tc>
          <w:tcPr>
            <w:tcW w:w="103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03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0.8万元</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025"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020" w:type="dxa"/>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奖补先进集体和个人使用资金</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=0.8万元</w:t>
            </w:r>
          </w:p>
        </w:tc>
        <w:tc>
          <w:tcPr>
            <w:tcW w:w="103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03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0.8万元</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提高全民科学素质</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有效提高</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有效提高</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科普宣传满意度</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default" w:ascii="Arial" w:hAnsi="Arial" w:eastAsia="仿宋_GB2312" w:cs="Arial"/>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90%</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972"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0"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A9BD6A"/>
    <w:multiLevelType w:val="singleLevel"/>
    <w:tmpl w:val="A2A9BD6A"/>
    <w:lvl w:ilvl="0" w:tentative="0">
      <w:start w:val="1"/>
      <w:numFmt w:val="decimal"/>
      <w:lvlText w:val="%1."/>
      <w:lvlJc w:val="left"/>
      <w:pPr>
        <w:tabs>
          <w:tab w:val="left" w:pos="312"/>
        </w:tabs>
      </w:pPr>
    </w:lvl>
  </w:abstractNum>
  <w:abstractNum w:abstractNumId="1">
    <w:nsid w:val="F4CD2B0F"/>
    <w:multiLevelType w:val="singleLevel"/>
    <w:tmpl w:val="F4CD2B0F"/>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C157D7C"/>
    <w:rsid w:val="0E3C619F"/>
    <w:rsid w:val="100F38EC"/>
    <w:rsid w:val="11170296"/>
    <w:rsid w:val="12C66037"/>
    <w:rsid w:val="12CD1ABC"/>
    <w:rsid w:val="13471461"/>
    <w:rsid w:val="13B90F01"/>
    <w:rsid w:val="155E4C4D"/>
    <w:rsid w:val="174B7545"/>
    <w:rsid w:val="181066D2"/>
    <w:rsid w:val="188247B1"/>
    <w:rsid w:val="1C671E73"/>
    <w:rsid w:val="1D322C47"/>
    <w:rsid w:val="23616034"/>
    <w:rsid w:val="23696C97"/>
    <w:rsid w:val="24480FA2"/>
    <w:rsid w:val="25227A45"/>
    <w:rsid w:val="26AC3A6A"/>
    <w:rsid w:val="2B9D7E25"/>
    <w:rsid w:val="2C7C7A3B"/>
    <w:rsid w:val="2CD06A15"/>
    <w:rsid w:val="2F364819"/>
    <w:rsid w:val="2FD63906"/>
    <w:rsid w:val="37215DAE"/>
    <w:rsid w:val="38CA40DD"/>
    <w:rsid w:val="395F2B56"/>
    <w:rsid w:val="3BBA0580"/>
    <w:rsid w:val="3BECE841"/>
    <w:rsid w:val="3CCE4E31"/>
    <w:rsid w:val="3CDE204C"/>
    <w:rsid w:val="3D363C36"/>
    <w:rsid w:val="3E9C3F6D"/>
    <w:rsid w:val="3FF7797D"/>
    <w:rsid w:val="46690BD8"/>
    <w:rsid w:val="49F70BF1"/>
    <w:rsid w:val="4B4340EE"/>
    <w:rsid w:val="503D507A"/>
    <w:rsid w:val="51FA74D0"/>
    <w:rsid w:val="52AA4A52"/>
    <w:rsid w:val="59943D66"/>
    <w:rsid w:val="59E051FD"/>
    <w:rsid w:val="59E6355E"/>
    <w:rsid w:val="5B821531"/>
    <w:rsid w:val="5BFF6039"/>
    <w:rsid w:val="5D76A616"/>
    <w:rsid w:val="5D7F20B9"/>
    <w:rsid w:val="5DAC7D0E"/>
    <w:rsid w:val="5F98B5AF"/>
    <w:rsid w:val="5FFE8511"/>
    <w:rsid w:val="5FFEACE2"/>
    <w:rsid w:val="609D5BF6"/>
    <w:rsid w:val="61073070"/>
    <w:rsid w:val="613D1E86"/>
    <w:rsid w:val="61B9080E"/>
    <w:rsid w:val="61BE2941"/>
    <w:rsid w:val="61DF3FED"/>
    <w:rsid w:val="642B176B"/>
    <w:rsid w:val="643EE26D"/>
    <w:rsid w:val="656019A0"/>
    <w:rsid w:val="65F242EE"/>
    <w:rsid w:val="666D7E19"/>
    <w:rsid w:val="68376930"/>
    <w:rsid w:val="68F91E38"/>
    <w:rsid w:val="6B3158B9"/>
    <w:rsid w:val="6BA02A3F"/>
    <w:rsid w:val="6C1E5A53"/>
    <w:rsid w:val="6F5C41AC"/>
    <w:rsid w:val="6FAF6C78"/>
    <w:rsid w:val="716167CC"/>
    <w:rsid w:val="718A7AD1"/>
    <w:rsid w:val="72A44BC2"/>
    <w:rsid w:val="7317C656"/>
    <w:rsid w:val="734ED73F"/>
    <w:rsid w:val="73C82B32"/>
    <w:rsid w:val="73F94DAE"/>
    <w:rsid w:val="74220495"/>
    <w:rsid w:val="747D1B6F"/>
    <w:rsid w:val="749E5641"/>
    <w:rsid w:val="76271066"/>
    <w:rsid w:val="77FD8BE9"/>
    <w:rsid w:val="78000AED"/>
    <w:rsid w:val="79A9BD3F"/>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2211</Words>
  <Characters>2278</Characters>
  <Lines>58</Lines>
  <Paragraphs>16</Paragraphs>
  <TotalTime>44</TotalTime>
  <ScaleCrop>false</ScaleCrop>
  <LinksUpToDate>false</LinksUpToDate>
  <CharactersWithSpaces>2278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2025-07-21T03:13:43Z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