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驻村人员补贴</w:t>
      </w:r>
      <w:r>
        <w:rPr>
          <w:rFonts w:hint="eastAsia" w:ascii="方正小标宋简体" w:hAnsi="方正小标宋简体" w:eastAsia="方正小标宋简体" w:cs="方正小标宋简体"/>
          <w:kern w:val="0"/>
          <w:sz w:val="44"/>
          <w:szCs w:val="44"/>
        </w:rPr>
        <w:t>项目支出绩效评价</w:t>
      </w: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eastAsia" w:eastAsia="仿宋_GB2312" w:cs="Times New Roman"/>
          <w:kern w:val="0"/>
          <w:sz w:val="36"/>
          <w:szCs w:val="36"/>
          <w:lang w:val="en-US" w:eastAsia="zh-CN"/>
        </w:rPr>
        <w:t xml:space="preserve"> </w:t>
      </w:r>
      <w:bookmarkStart w:id="2" w:name="_GoBack"/>
      <w:bookmarkEnd w:id="2"/>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项目名称：驻村人员补贴</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特克斯县驻村办</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特克斯县委组织部</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杨国瑞</w:t>
      </w:r>
    </w:p>
    <w:p>
      <w:pPr>
        <w:spacing w:line="700" w:lineRule="exact"/>
        <w:ind w:firstLine="1280" w:firstLineChars="400"/>
        <w:jc w:val="left"/>
        <w:rPr>
          <w:rStyle w:val="16"/>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24" w:firstLineChars="200"/>
        <w:rPr>
          <w:rStyle w:val="16"/>
          <w:rFonts w:hint="eastAsia" w:ascii="Times New Roman" w:hAnsi="Times New Roman" w:eastAsia="黑体" w:cs="Times New Roman"/>
          <w:b w:val="0"/>
          <w:bCs/>
          <w:spacing w:val="-4"/>
          <w:sz w:val="32"/>
          <w:szCs w:val="32"/>
          <w:highlight w:val="yellow"/>
          <w:lang w:eastAsia="zh-CN"/>
        </w:rPr>
      </w:pPr>
      <w:r>
        <w:rPr>
          <w:rStyle w:val="16"/>
          <w:rFonts w:hint="eastAsia" w:ascii="仿宋_GB2312" w:hAnsi="仿宋_GB2312" w:eastAsia="仿宋_GB2312" w:cs="仿宋_GB2312"/>
          <w:b w:val="0"/>
          <w:bCs/>
          <w:spacing w:val="-4"/>
          <w:sz w:val="32"/>
          <w:szCs w:val="32"/>
          <w:highlight w:val="none"/>
          <w:lang w:eastAsia="zh-CN"/>
        </w:rPr>
        <w:t>为贯彻落实乡村振兴战略，推动农村经济社会发展，特克斯县通过选派驻村干部深入基层，协助开展党建引领、产业帮扶、基层治理等工作。驻村人员补贴项目旨在保障驻村人员的工作和生活需求，激励其扎根乡村、履职尽责。</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eastAsia" w:ascii="Times New Roman" w:hAnsi="Times New Roman" w:eastAsia="仿宋_GB2312"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Style w:val="16"/>
          <w:rFonts w:hint="eastAsia" w:ascii="仿宋_GB2312" w:hAnsi="仿宋_GB2312" w:eastAsia="仿宋_GB2312" w:cs="仿宋_GB2312"/>
          <w:b w:val="0"/>
          <w:bCs/>
          <w:spacing w:val="-4"/>
          <w:sz w:val="32"/>
          <w:szCs w:val="32"/>
          <w:highlight w:val="none"/>
          <w:lang w:eastAsia="zh-CN"/>
        </w:rPr>
        <w:t>主要用于发放驻村人员生活补助和通讯补贴，确保驻村工作顺利开展。</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Style w:val="16"/>
          <w:rFonts w:hint="eastAsia" w:ascii="仿宋_GB2312" w:hAnsi="仿宋_GB2312" w:eastAsia="仿宋_GB2312" w:cs="仿宋_GB2312"/>
          <w:b w:val="0"/>
          <w:bCs/>
          <w:spacing w:val="-4"/>
          <w:sz w:val="32"/>
          <w:szCs w:val="32"/>
          <w:highlight w:val="none"/>
          <w:lang w:eastAsia="zh-CN"/>
        </w:rPr>
        <w:t>保障驻村人员待遇落实，确保驻村工作顺利开展，促进乡村振兴与脱贫攻坚有效衔接。</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该项目年初预算数639.936万元，全年预算数639.936万元，该项目资金已</w:t>
      </w:r>
      <w:r>
        <w:rPr>
          <w:rFonts w:hint="eastAsia" w:eastAsia="仿宋_GB2312" w:cs="Times New Roman"/>
          <w:sz w:val="32"/>
          <w:szCs w:val="32"/>
          <w:highlight w:val="none"/>
          <w:lang w:val="en-US" w:eastAsia="zh-CN"/>
        </w:rPr>
        <w:t>全部</w:t>
      </w:r>
      <w:r>
        <w:rPr>
          <w:rFonts w:hint="default" w:ascii="Times New Roman" w:hAnsi="Times New Roman" w:eastAsia="仿宋_GB2312" w:cs="Times New Roman"/>
          <w:sz w:val="32"/>
          <w:szCs w:val="32"/>
          <w:highlight w:val="none"/>
          <w:lang w:val="en-US" w:eastAsia="zh-CN"/>
        </w:rPr>
        <w:t>落实</w:t>
      </w:r>
      <w:r>
        <w:rPr>
          <w:rFonts w:hint="eastAsia" w:eastAsia="仿宋_GB2312" w:cs="Times New Roman"/>
          <w:sz w:val="32"/>
          <w:szCs w:val="32"/>
          <w:highlight w:val="none"/>
          <w:lang w:val="en-US" w:eastAsia="zh-CN"/>
        </w:rPr>
        <w:t>到位，</w:t>
      </w:r>
      <w:r>
        <w:rPr>
          <w:rFonts w:hint="default" w:ascii="Times New Roman" w:hAnsi="Times New Roman" w:eastAsia="仿宋_GB2312" w:cs="Times New Roman"/>
          <w:sz w:val="32"/>
          <w:szCs w:val="32"/>
          <w:highlight w:val="none"/>
          <w:lang w:val="en-US" w:eastAsia="zh-CN"/>
        </w:rPr>
        <w:t>资金来源为</w:t>
      </w:r>
      <w:r>
        <w:rPr>
          <w:rFonts w:hint="eastAsia" w:eastAsia="仿宋_GB2312" w:cs="Times New Roman"/>
          <w:sz w:val="32"/>
          <w:szCs w:val="32"/>
          <w:highlight w:val="none"/>
          <w:lang w:val="en-US" w:eastAsia="zh-CN"/>
        </w:rPr>
        <w:t>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该项目年初预算数639.936万元，全年预算数639.936万元，全年执行数639.936万元，预算执行率为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Style w:val="16"/>
          <w:rFonts w:hint="eastAsia" w:ascii="仿宋_GB2312" w:hAnsi="仿宋_GB2312" w:eastAsia="仿宋_GB2312" w:cs="仿宋_GB2312"/>
          <w:b w:val="0"/>
          <w:bCs/>
          <w:spacing w:val="-4"/>
          <w:sz w:val="32"/>
          <w:szCs w:val="32"/>
          <w:highlight w:val="none"/>
          <w:lang w:eastAsia="zh-CN"/>
        </w:rPr>
        <w:t>发放驻村人员生活补助和通讯补贴，确保驻村工作顺利开展</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黑体" w:cs="Times New Roman"/>
          <w:b w:val="0"/>
          <w:bCs/>
          <w:lang w:val="en-US" w:eastAsia="zh-CN"/>
        </w:rPr>
      </w:pPr>
      <w:r>
        <w:rPr>
          <w:rFonts w:hint="eastAsia" w:eastAsia="仿宋_GB2312" w:cs="Times New Roman"/>
          <w:sz w:val="32"/>
          <w:szCs w:val="32"/>
          <w:highlight w:val="none"/>
          <w:lang w:val="en-US" w:eastAsia="zh-CN"/>
        </w:rPr>
        <w:t>通过补贴发放，稳定驻村干部队伍，确保队伍能够长期、稳定在村级开展工作，解决后顾之忧。加强村“两委”班子建设，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pPr>
        <w:spacing w:line="560" w:lineRule="exact"/>
        <w:ind w:firstLine="640" w:firstLineChars="20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半年目标：及时、足额发放驻村人员补贴，保障其基本生活和工作需求，聚焦半年的阶段性成果，为全年目标打基础。</w:t>
      </w:r>
    </w:p>
    <w:p>
      <w:pPr>
        <w:spacing w:line="560" w:lineRule="exact"/>
        <w:ind w:firstLine="640" w:firstLineChars="200"/>
        <w:rPr>
          <w:rFonts w:hint="default" w:ascii="Times New Roman" w:hAnsi="Times New Roman" w:eastAsia="黑体" w:cs="Times New Roman"/>
          <w:b w:val="0"/>
          <w:bCs/>
          <w:lang w:eastAsia="zh-CN"/>
        </w:rPr>
      </w:pPr>
      <w:r>
        <w:rPr>
          <w:rFonts w:hint="eastAsia" w:eastAsia="仿宋_GB2312" w:cs="Times New Roman"/>
          <w:sz w:val="32"/>
          <w:szCs w:val="32"/>
          <w:highlight w:val="none"/>
          <w:lang w:val="en-US" w:eastAsia="zh-CN"/>
        </w:rPr>
        <w:t>全年目标：</w:t>
      </w:r>
      <w:r>
        <w:rPr>
          <w:rFonts w:hint="eastAsia" w:ascii="Times New Roman" w:hAnsi="Times New Roman" w:eastAsia="仿宋_GB2312" w:cs="Times New Roman"/>
          <w:sz w:val="32"/>
          <w:szCs w:val="32"/>
          <w:highlight w:val="none"/>
          <w:lang w:val="en-US" w:eastAsia="zh-CN"/>
        </w:rPr>
        <w:t>通过</w:t>
      </w:r>
      <w:r>
        <w:rPr>
          <w:rFonts w:hint="eastAsia" w:eastAsia="仿宋_GB2312" w:cs="Times New Roman"/>
          <w:sz w:val="32"/>
          <w:szCs w:val="32"/>
          <w:highlight w:val="none"/>
          <w:lang w:val="en-US" w:eastAsia="zh-CN"/>
        </w:rPr>
        <w:t>保障驻村人员工作和生活待遇，提升其工作积极性，助力乡村振兴任务落实，推动农村产业发展、基层治理能力提升和群众满意度提高。</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（1）</w:t>
      </w:r>
      <w:r>
        <w:rPr>
          <w:rFonts w:hint="eastAsia" w:eastAsia="仿宋_GB2312" w:cs="Times New Roman"/>
          <w:sz w:val="32"/>
          <w:szCs w:val="32"/>
          <w:highlight w:val="none"/>
          <w:lang w:eastAsia="zh-CN"/>
        </w:rPr>
        <w:t>基于政策落实角度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通过绩效评价，核查驻村人员补贴政策的执行情况，确保补贴资金严格按照自治区驻村工作资金管理使用办法落实到位，保障驻村人员合法权益，推动乡村振兴、基层治理等政策目标有效落地，维护政策执行的严肃性和公平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（2）</w:t>
      </w:r>
      <w:r>
        <w:rPr>
          <w:rFonts w:hint="eastAsia" w:eastAsia="仿宋_GB2312" w:cs="Times New Roman"/>
          <w:sz w:val="32"/>
          <w:szCs w:val="32"/>
          <w:highlight w:val="none"/>
          <w:lang w:eastAsia="zh-CN"/>
        </w:rPr>
        <w:t>基于资金管理角度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全面评估驻村人员补贴资金的使用效率和规范性，检查资金分配、拨付、发放等环节是否存在漏洞或风险，防范截留、挪用等违规行为，提升财政资金使用效益，为后续预算编制和资金优化配置提供科学依据。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（3）</w:t>
      </w:r>
      <w:r>
        <w:rPr>
          <w:rFonts w:hint="eastAsia" w:eastAsia="仿宋_GB2312" w:cs="Times New Roman"/>
          <w:sz w:val="32"/>
          <w:szCs w:val="32"/>
          <w:highlight w:val="none"/>
          <w:lang w:eastAsia="zh-CN"/>
        </w:rPr>
        <w:t>基于项目效益角度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分析补贴资金对驻村人员工作积极性、生活保障的实际影响，评估其是否有效支撑驻村工作开展，总结项目实施成效与不足，进一步优化补贴机制，增强项目对乡村发展的促进作用</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（4）</w:t>
      </w:r>
      <w:r>
        <w:rPr>
          <w:rFonts w:hint="eastAsia" w:eastAsia="仿宋_GB2312" w:cs="Times New Roman"/>
          <w:sz w:val="32"/>
          <w:szCs w:val="32"/>
          <w:highlight w:val="none"/>
          <w:lang w:eastAsia="zh-CN"/>
        </w:rPr>
        <w:t>基于管理优化角度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通过绩效评价，发现驻村人员补贴项目在制度设计、流程管理、监督机制等方面的薄弱环节，提出改进建议，完善项目管理体系，提高补贴发放的精准性、及时性和透明度，强化部门协同与责任落实。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highlight w:val="green"/>
          <w:lang w:eastAsia="zh-CN"/>
        </w:rPr>
      </w:pPr>
      <w:r>
        <w:rPr>
          <w:rFonts w:hint="eastAsia" w:eastAsia="仿宋_GB2312" w:cs="Times New Roman"/>
          <w:sz w:val="32"/>
          <w:szCs w:val="32"/>
          <w:highlight w:val="none"/>
          <w:lang w:eastAsia="zh-CN"/>
        </w:rPr>
        <w:t>为深入贯彻落实乡村振兴战略，加强驻村人员补贴项目管理。本次绩效评价旨在全面核查补贴政策执行的规范性、资金使用的安全性和项目实施的有效性，客观评估补贴对驻村工作的支撑作用，发现问题并提出改进措施，推动项目持续优化，切实保障驻村人员扎根基层、服务群众，助力乡村全面发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本项目预算绩效评价报告的评价对象是驻村人员补贴及其预算执行情况。该项目由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特克斯县驻村办</w:t>
      </w:r>
      <w:r>
        <w:rPr>
          <w:rFonts w:hint="default" w:ascii="Times New Roman" w:hAnsi="Times New Roman" w:eastAsia="仿宋_GB2312" w:cs="Times New Roman"/>
          <w:b w:val="0"/>
          <w:bCs w:val="0"/>
          <w:kern w:val="2"/>
          <w:sz w:val="32"/>
          <w:szCs w:val="32"/>
          <w:highlight w:val="none"/>
          <w:lang w:val="en-US" w:eastAsia="zh-CN" w:bidi="ar-SA"/>
        </w:rPr>
        <w:t>负责实施，旨在</w:t>
      </w:r>
      <w:r>
        <w:rPr>
          <w:rFonts w:hint="eastAsia" w:ascii="Times New Roman" w:hAnsi="Times New Roman" w:eastAsia="仿宋_GB2312" w:cs="Times New Roman"/>
          <w:b w:val="0"/>
          <w:bCs w:val="0"/>
          <w:kern w:val="2"/>
          <w:sz w:val="32"/>
          <w:szCs w:val="32"/>
          <w:highlight w:val="none"/>
          <w:lang w:val="en-US" w:eastAsia="zh-CN" w:bidi="ar-SA"/>
        </w:rPr>
        <w:t>通过保障驻村人员工作和生活待遇，提升其工作积极性，助力乡村振兴任务落实，推动农村产业发展、基层治理能力提升和群众满意度提高</w:t>
      </w:r>
      <w:r>
        <w:rPr>
          <w:rFonts w:hint="default" w:ascii="Times New Roman" w:hAnsi="Times New Roman" w:eastAsia="仿宋_GB2312" w:cs="Times New Roman"/>
          <w:b w:val="0"/>
          <w:bCs w:val="0"/>
          <w:kern w:val="2"/>
          <w:sz w:val="32"/>
          <w:szCs w:val="32"/>
          <w:highlight w:val="none"/>
          <w:lang w:val="en-US" w:eastAsia="zh-CN" w:bidi="ar-SA"/>
        </w:rPr>
        <w:t>。项目预算涵盖从</w:t>
      </w:r>
      <w:r>
        <w:rPr>
          <w:rFonts w:hint="eastAsia" w:ascii="Times New Roman" w:hAnsi="Times New Roman" w:eastAsia="仿宋_GB2312" w:cs="Times New Roman"/>
          <w:b w:val="0"/>
          <w:bCs w:val="0"/>
          <w:kern w:val="2"/>
          <w:sz w:val="32"/>
          <w:szCs w:val="32"/>
          <w:highlight w:val="none"/>
          <w:lang w:val="en-US" w:eastAsia="zh-CN" w:bidi="ar-SA"/>
        </w:rPr>
        <w:t>2024年1月1日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2024年12月31日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的全部资金投入与支出，涉及资金总额为639.936万元。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eastAsia" w:ascii="Times New Roman" w:hAnsi="Times New Roman" w:eastAsia="仿宋_GB2312" w:cs="Times New Roman"/>
          <w:b w:val="0"/>
          <w:bCs w:val="0"/>
          <w:highlight w:val="none"/>
          <w:lang w:eastAsia="zh-CN"/>
        </w:rPr>
        <w:t>本次绩效评价聚焦特克斯县</w:t>
      </w:r>
      <w:r>
        <w:rPr>
          <w:rFonts w:hint="eastAsia" w:ascii="Times New Roman" w:hAnsi="Times New Roman" w:eastAsia="仿宋_GB2312" w:cs="Times New Roman"/>
          <w:b w:val="0"/>
          <w:bCs w:val="0"/>
          <w:highlight w:val="none"/>
          <w:lang w:val="en-US" w:eastAsia="zh-CN"/>
        </w:rPr>
        <w:t>2024年度驻村人员补贴项目，时间范围为2024年1月1日至2024年12月31日。评价内容包括补贴资金的预算编制与执行、政策标准落实、人员覆盖精准性、资金使用规范性，以及补贴对驻村工作成效的支撑作用。评价对象涉及176名驻村人员。</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eastAsia"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w:t>
      </w:r>
      <w:r>
        <w:rPr>
          <w:rFonts w:hint="default" w:ascii="Times New Roman" w:hAnsi="Times New Roman" w:eastAsia="仿宋_GB2312" w:cs="Times New Roman"/>
          <w:color w:val="000000"/>
          <w:spacing w:val="17"/>
          <w:sz w:val="32"/>
          <w:szCs w:val="32"/>
          <w:highlight w:val="none"/>
        </w:rPr>
        <w:t>因此核定具体指标时采用了比较法</w:t>
      </w:r>
      <w:r>
        <w:rPr>
          <w:rFonts w:hint="eastAsia" w:eastAsia="仿宋_GB2312" w:cs="Times New Roman"/>
          <w:color w:val="000000"/>
          <w:spacing w:val="17"/>
          <w:sz w:val="32"/>
          <w:szCs w:val="32"/>
          <w:highlight w:val="none"/>
          <w:lang w:eastAsia="zh-CN"/>
        </w:rPr>
        <w:t>，</w:t>
      </w:r>
      <w:r>
        <w:rPr>
          <w:rFonts w:hint="eastAsia" w:eastAsia="仿宋_GB2312" w:cs="Times New Roman"/>
          <w:color w:val="000000"/>
          <w:spacing w:val="17"/>
          <w:sz w:val="32"/>
          <w:szCs w:val="32"/>
          <w:highlight w:val="none"/>
          <w:lang w:val="en-US" w:eastAsia="zh-CN"/>
        </w:rPr>
        <w:t>具体评价方法如下：</w:t>
      </w:r>
    </w:p>
    <w:p>
      <w:pPr>
        <w:spacing w:line="560" w:lineRule="exact"/>
        <w:ind w:firstLine="708" w:firstLineChars="200"/>
        <w:rPr>
          <w:rFonts w:hint="default" w:eastAsia="仿宋_GB2312" w:cs="Times New Roman"/>
          <w:color w:val="000000"/>
          <w:spacing w:val="17"/>
          <w:sz w:val="32"/>
          <w:szCs w:val="32"/>
          <w:highlight w:val="none"/>
          <w:lang w:val="en-US" w:eastAsia="zh-CN"/>
        </w:rPr>
      </w:pPr>
      <w:r>
        <w:rPr>
          <w:rFonts w:hint="eastAsia" w:eastAsia="仿宋_GB2312" w:cs="Times New Roman"/>
          <w:color w:val="000000"/>
          <w:spacing w:val="17"/>
          <w:sz w:val="32"/>
          <w:szCs w:val="32"/>
          <w:highlight w:val="none"/>
          <w:lang w:val="en-US" w:eastAsia="zh-CN"/>
        </w:rPr>
        <w:t>比较法。是指将实施情况与绩效目标、历史情况、不同部门和地区同类支出情况进行比较的方法。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green"/>
          <w:lang w:val="en-US"/>
        </w:rPr>
      </w:pPr>
      <w:r>
        <w:rPr>
          <w:rFonts w:hint="eastAsia" w:eastAsia="仿宋_GB2312" w:cs="Times New Roman"/>
          <w:color w:val="000000"/>
          <w:spacing w:val="17"/>
          <w:sz w:val="32"/>
          <w:szCs w:val="32"/>
          <w:highlight w:val="none"/>
          <w:lang w:val="en-US" w:eastAsia="zh-CN"/>
        </w:rPr>
        <w:t>通过对比驻村补贴发放前后，在建强村党组织、推进强村富民、提升治理水平、为民办事服务等“四项重点任务”方面的开展情况，体现项目成效。</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pPr>
        <w:pStyle w:val="10"/>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w:t>
      </w:r>
      <w:r>
        <w:rPr>
          <w:rFonts w:hint="eastAsia" w:eastAsia="仿宋_GB2312" w:cs="Times New Roman"/>
          <w:sz w:val="32"/>
          <w:szCs w:val="32"/>
          <w:highlight w:val="none"/>
          <w:lang w:eastAsia="zh-CN"/>
        </w:rPr>
        <w:t>项目政策文件、资金拨付凭证、人员名单。驻村工作成果报告</w:t>
      </w:r>
      <w:r>
        <w:rPr>
          <w:rFonts w:hint="default" w:ascii="Times New Roman" w:hAnsi="Times New Roman" w:eastAsia="仿宋_GB2312" w:cs="Times New Roman"/>
          <w:sz w:val="32"/>
          <w:szCs w:val="32"/>
          <w:highlight w:val="none"/>
          <w:lang w:eastAsia="zh-CN"/>
        </w:rPr>
        <w:t>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eastAsia="zh-CN"/>
        </w:rPr>
        <w:t>驻村人员补贴</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助力乡村振兴任务落实、推动农村产业发展、基层治理能力提升</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sz w:val="32"/>
          <w:szCs w:val="32"/>
          <w:highlight w:val="none"/>
          <w:lang w:val="en-US" w:eastAsia="zh-CN"/>
        </w:rPr>
        <w:t>群众满意度提高方面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通过驻村帮扶，实现帮扶村集体经济增长、民生改善、群众满意度达98%以上</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特克斯县驻村办</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从项目效益的角度来看，本项目不仅实现了预期的社会效益，还产生了积极的影响。具体而言，在</w:t>
      </w:r>
      <w:r>
        <w:rPr>
          <w:rFonts w:hint="eastAsia" w:eastAsia="仿宋_GB2312" w:cs="Times New Roman"/>
          <w:sz w:val="32"/>
          <w:szCs w:val="32"/>
          <w:highlight w:val="none"/>
          <w:lang w:val="en-US" w:eastAsia="zh-CN"/>
        </w:rPr>
        <w:t>帮扶村集体经济增长、民生改善和群众满意度等方面的提升，为项目的利益相关者带来了实实在在的利益。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驻村人员补贴</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97.5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shd w:val="clear"/>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eastAsia" w:eastAsia="仿宋_GB2312" w:cs="Times New Roman"/>
          <w:sz w:val="32"/>
          <w:szCs w:val="32"/>
          <w:highlight w:val="none"/>
          <w:lang w:eastAsia="zh-CN"/>
        </w:rPr>
        <w:t>本项目预算编制严格遵循政策法规，以驻村工作实际需求为导向，科学核定支出标准，规范设置预算科目，并建立动态调整机制。整体预算编制体现了较强的合理性与可操作性，为项目顺利实施提供了资金保障。后续需进一步完善预算动态管理，确保资金使用效率与政策目标高度契合</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本项目资金分配</w:t>
      </w:r>
      <w:r>
        <w:rPr>
          <w:rFonts w:hint="eastAsia" w:eastAsia="仿宋_GB2312" w:cs="Times New Roman"/>
          <w:sz w:val="32"/>
          <w:szCs w:val="32"/>
          <w:highlight w:val="none"/>
          <w:lang w:eastAsia="zh-CN"/>
        </w:rPr>
        <w:t>严格</w:t>
      </w:r>
      <w:r>
        <w:rPr>
          <w:rFonts w:hint="default" w:ascii="Times New Roman" w:hAnsi="Times New Roman" w:eastAsia="仿宋_GB2312" w:cs="Times New Roman"/>
          <w:sz w:val="32"/>
          <w:szCs w:val="32"/>
          <w:highlight w:val="none"/>
          <w:lang w:eastAsia="zh-CN"/>
        </w:rPr>
        <w:t>遵循</w:t>
      </w:r>
      <w:r>
        <w:rPr>
          <w:rFonts w:hint="eastAsia" w:eastAsia="仿宋_GB2312" w:cs="Times New Roman"/>
          <w:sz w:val="32"/>
          <w:szCs w:val="32"/>
          <w:highlight w:val="none"/>
          <w:lang w:eastAsia="zh-CN"/>
        </w:rPr>
        <w:t>政策要求，通过差异化标准、量化测算及动态调整机制，确保资金向重点任务、关键人群倾斜，有效支撑驻村工作开展。但仍需进一步优化分配动态调整机制，提升资金分配的精准性与灵活性，保障驻村人员工作积极性与乡村振兴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highlight w:val="none"/>
          <w:lang w:val="en-US" w:eastAsia="zh-CN"/>
        </w:rPr>
        <w:t>本</w:t>
      </w:r>
      <w:r>
        <w:rPr>
          <w:rFonts w:hint="default" w:ascii="Times New Roman" w:hAnsi="Times New Roman" w:eastAsia="仿宋_GB2312" w:cs="Times New Roman"/>
          <w:sz w:val="32"/>
          <w:szCs w:val="32"/>
          <w:highlight w:val="none"/>
          <w:lang w:val="en-US" w:eastAsia="zh-CN"/>
        </w:rPr>
        <w:t>项目全年预算数639.936万元，全年执行数639.936万元，</w:t>
      </w:r>
      <w:r>
        <w:rPr>
          <w:rFonts w:hint="eastAsia" w:eastAsia="仿宋_GB2312" w:cs="Times New Roman"/>
          <w:sz w:val="32"/>
          <w:szCs w:val="32"/>
          <w:highlight w:val="none"/>
          <w:lang w:val="en-US" w:eastAsia="zh-CN"/>
        </w:rPr>
        <w:t>资金到位率</w:t>
      </w:r>
      <w:r>
        <w:rPr>
          <w:rFonts w:hint="default" w:ascii="Times New Roman" w:hAnsi="Times New Roman" w:eastAsia="仿宋_GB2312" w:cs="Times New Roman"/>
          <w:sz w:val="32"/>
          <w:szCs w:val="32"/>
          <w:highlight w:val="none"/>
          <w:lang w:val="en-US" w:eastAsia="zh-CN"/>
        </w:rPr>
        <w:t>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预算编制较为详细，项目资金支出总体能够按照预算执行，预算资金支出639.936万元，预算执行率为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97.5</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驻村工作队队员数</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176人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176人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补贴发放次数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发放补贴准确率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发放补贴及时性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每次发放补贴金额</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53.32万元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53.32万元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2"/>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提高驻村干部为民办事水平</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有所提升</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有所提升</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驻村干部满意度</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方正仿宋_GBK" w:cs="Times New Roman"/>
          <w:sz w:val="32"/>
          <w:szCs w:val="32"/>
          <w:highlight w:val="yellow"/>
        </w:rPr>
      </w:pPr>
      <w:r>
        <w:rPr>
          <w:rFonts w:hint="eastAsia" w:ascii="Times New Roman" w:hAnsi="Times New Roman" w:eastAsia="仿宋_GB2312" w:cs="Times New Roman"/>
          <w:kern w:val="2"/>
          <w:sz w:val="32"/>
          <w:szCs w:val="32"/>
          <w:highlight w:val="none"/>
          <w:lang w:val="en-US" w:eastAsia="zh-CN" w:bidi="ar-SA"/>
        </w:rPr>
        <w:t>驻村人员补贴</w:t>
      </w:r>
      <w:r>
        <w:rPr>
          <w:rFonts w:hint="default" w:ascii="Times New Roman" w:hAnsi="Times New Roman" w:eastAsia="仿宋_GB2312" w:cs="Times New Roman"/>
          <w:kern w:val="2"/>
          <w:sz w:val="32"/>
          <w:szCs w:val="32"/>
          <w:highlight w:val="none"/>
          <w:lang w:val="en-US" w:eastAsia="zh-CN" w:bidi="ar-SA"/>
        </w:rPr>
        <w:t>项目年初预算639.936万元，全年预算639.936万元，实际支出639.936万元，预算执行率为</w:t>
      </w:r>
      <w:r>
        <w:rPr>
          <w:rFonts w:hint="eastAsia"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bidi w:val="0"/>
        <w:ind w:firstLine="640" w:firstLineChars="200"/>
        <w:rPr>
          <w:rFonts w:hint="default" w:ascii="Times New Roman" w:hAnsi="Times New Roman" w:eastAsia="仿宋_GB2312" w:cs="Times New Roman"/>
          <w:b w:val="0"/>
          <w:bCs w:val="0"/>
          <w:kern w:val="2"/>
        </w:rPr>
      </w:pPr>
      <w:r>
        <w:rPr>
          <w:rFonts w:hint="eastAsia" w:ascii="Times New Roman" w:hAnsi="Times New Roman" w:eastAsia="仿宋_GB2312" w:cs="Times New Roman"/>
          <w:sz w:val="32"/>
          <w:szCs w:val="32"/>
          <w:highlight w:val="none"/>
          <w:lang w:val="en-US" w:eastAsia="zh-CN"/>
        </w:rPr>
        <w:t>本项目</w:t>
      </w:r>
      <w:r>
        <w:rPr>
          <w:rFonts w:hint="eastAsia" w:eastAsia="仿宋_GB2312" w:cs="Times New Roman"/>
          <w:sz w:val="32"/>
          <w:szCs w:val="32"/>
          <w:highlight w:val="none"/>
          <w:lang w:val="en-US" w:eastAsia="zh-CN"/>
        </w:rPr>
        <w:t>通过“制度+科技+监督”三位一体的管理模式，实现了资金使用规范、人员激励有效、群众满意的目标。其动态考核机制、信息化监管手段和多方协同模式，可为其他地区驻村人员补贴资金管理提供可复制的经验。</w:t>
      </w:r>
    </w:p>
    <w:p>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numPr>
          <w:ilvl w:val="0"/>
          <w:numId w:val="0"/>
        </w:num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1.考核机制不够完善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对驻村人员工作成效的量化考核指标较少，难以精准评估其工作贡献。</w:t>
      </w:r>
    </w:p>
    <w:p>
      <w:pPr>
        <w:numPr>
          <w:ilvl w:val="0"/>
          <w:numId w:val="0"/>
        </w:numPr>
        <w:shd w:val="clear"/>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2.监督反馈渠道待优化。群众对补贴政策的知晓度不足，监督反馈机制不够畅通。</w:t>
      </w: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0" w:name="_Toc26499_WPSOffice_Level2"/>
      <w:bookmarkStart w:id="1" w:name="_Toc30064_WPSOffice_Level1"/>
      <w:r>
        <w:rPr>
          <w:rFonts w:hint="eastAsia" w:ascii="仿宋_GB2312" w:hAnsi="仿宋_GB2312" w:eastAsia="仿宋_GB2312" w:cs="仿宋_GB2312"/>
          <w:b/>
          <w:bCs/>
          <w:sz w:val="28"/>
          <w:szCs w:val="40"/>
          <w:highlight w:val="none"/>
          <w:lang w:val="en-US" w:eastAsia="zh-CN"/>
        </w:rPr>
        <w:t>驻村人员补贴</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0"/>
      <w:bookmarkEnd w:id="1"/>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default" w:ascii="Times New Roman" w:hAnsi="Times New Roman" w:eastAsia="仿宋_GB2312" w:cs="Times New Roman"/>
                <w:kern w:val="0"/>
                <w:sz w:val="18"/>
                <w:szCs w:val="18"/>
              </w:rPr>
              <w:t>驻村人员补贴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特克斯县委组织部</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特克斯县驻村办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639.936</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639.936</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639.936</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639.936</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639.936</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639.936</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eastAsia="仿宋_GB2312" w:cs="Times New Roman"/>
                <w:sz w:val="18"/>
                <w:szCs w:val="18"/>
                <w:highlight w:val="none"/>
                <w:lang w:val="en-US" w:eastAsia="zh-CN"/>
              </w:rPr>
              <w:t>通过补贴发放，稳定驻村干部队伍，确保队伍能够长期、稳定在村级开展工作，解决后顾之忧。加强村“两委”班子建设，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Times New Roman" w:hAnsi="Times New Roman" w:eastAsia="仿宋_GB2312" w:cs="Times New Roman"/>
                <w:sz w:val="18"/>
                <w:szCs w:val="18"/>
                <w:highlight w:val="none"/>
                <w:lang w:val="en-US" w:eastAsia="zh-CN"/>
              </w:rPr>
              <w:t>通过</w:t>
            </w:r>
            <w:r>
              <w:rPr>
                <w:rFonts w:hint="eastAsia" w:eastAsia="仿宋_GB2312" w:cs="Times New Roman"/>
                <w:sz w:val="18"/>
                <w:szCs w:val="18"/>
                <w:highlight w:val="none"/>
                <w:lang w:val="en-US" w:eastAsia="zh-CN"/>
              </w:rPr>
              <w:t>保障驻村人员工作和生活待遇，提升其工作积极性，助力乡村振兴任务落实，推动农村产业发展、基层治理能力提升和群众满意度提高。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驻村工作队队员数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176人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=458人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176人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补贴发放次数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=12次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发放补贴准确率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发放补贴及时性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每次发放补贴金额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53.32万元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=138.77万元/次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53.32万元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提高驻村干部为民办事水平</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有所提升</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有所提升</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驻村干部满意度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8121DE8"/>
    <w:rsid w:val="084F2FC3"/>
    <w:rsid w:val="0AD007F3"/>
    <w:rsid w:val="0E3C619F"/>
    <w:rsid w:val="100F38EC"/>
    <w:rsid w:val="11170296"/>
    <w:rsid w:val="12C66037"/>
    <w:rsid w:val="12CD1ABC"/>
    <w:rsid w:val="13471461"/>
    <w:rsid w:val="13B90F01"/>
    <w:rsid w:val="155E4C4D"/>
    <w:rsid w:val="181066D2"/>
    <w:rsid w:val="1C620644"/>
    <w:rsid w:val="1C671E73"/>
    <w:rsid w:val="1D322C47"/>
    <w:rsid w:val="233D435E"/>
    <w:rsid w:val="23616034"/>
    <w:rsid w:val="23696C97"/>
    <w:rsid w:val="24480FA2"/>
    <w:rsid w:val="25227A45"/>
    <w:rsid w:val="26AC3A6A"/>
    <w:rsid w:val="2B9D7E25"/>
    <w:rsid w:val="2BD74F7C"/>
    <w:rsid w:val="2C7C7A3B"/>
    <w:rsid w:val="2F364819"/>
    <w:rsid w:val="2FD63906"/>
    <w:rsid w:val="31BE78AB"/>
    <w:rsid w:val="32F50547"/>
    <w:rsid w:val="33B43F5E"/>
    <w:rsid w:val="3461207D"/>
    <w:rsid w:val="362E5AF0"/>
    <w:rsid w:val="37215DAE"/>
    <w:rsid w:val="374B6987"/>
    <w:rsid w:val="38CA40DD"/>
    <w:rsid w:val="395F2B56"/>
    <w:rsid w:val="3BBA0580"/>
    <w:rsid w:val="3BECE841"/>
    <w:rsid w:val="3CDE204C"/>
    <w:rsid w:val="3D363C36"/>
    <w:rsid w:val="3E9C3F6D"/>
    <w:rsid w:val="3FF7797D"/>
    <w:rsid w:val="41F25CC2"/>
    <w:rsid w:val="438D0328"/>
    <w:rsid w:val="44F714AD"/>
    <w:rsid w:val="46690BD8"/>
    <w:rsid w:val="49F70BF1"/>
    <w:rsid w:val="4B4340EE"/>
    <w:rsid w:val="503D507A"/>
    <w:rsid w:val="51FA74D0"/>
    <w:rsid w:val="52AA4A52"/>
    <w:rsid w:val="597823D6"/>
    <w:rsid w:val="59943D66"/>
    <w:rsid w:val="59E051FD"/>
    <w:rsid w:val="59E6355E"/>
    <w:rsid w:val="5A435AAD"/>
    <w:rsid w:val="5AA95FCB"/>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06C65"/>
    <w:rsid w:val="666D7E19"/>
    <w:rsid w:val="671B5138"/>
    <w:rsid w:val="672C3830"/>
    <w:rsid w:val="67F95923"/>
    <w:rsid w:val="68376930"/>
    <w:rsid w:val="68F91E38"/>
    <w:rsid w:val="6B3158B9"/>
    <w:rsid w:val="6BA02A3F"/>
    <w:rsid w:val="6C1E5A53"/>
    <w:rsid w:val="6CC303BF"/>
    <w:rsid w:val="6CFC695A"/>
    <w:rsid w:val="6DF36EF3"/>
    <w:rsid w:val="6E2E3295"/>
    <w:rsid w:val="6E3F512F"/>
    <w:rsid w:val="6F5C41AC"/>
    <w:rsid w:val="6FAF6C78"/>
    <w:rsid w:val="716167CC"/>
    <w:rsid w:val="718A7AD1"/>
    <w:rsid w:val="72A44BC2"/>
    <w:rsid w:val="7317C656"/>
    <w:rsid w:val="734ED73F"/>
    <w:rsid w:val="73C566CB"/>
    <w:rsid w:val="73C82B32"/>
    <w:rsid w:val="73EE04C2"/>
    <w:rsid w:val="73F94DAE"/>
    <w:rsid w:val="74220495"/>
    <w:rsid w:val="747D1B6F"/>
    <w:rsid w:val="749E5641"/>
    <w:rsid w:val="76271066"/>
    <w:rsid w:val="77002B32"/>
    <w:rsid w:val="77FD8BE9"/>
    <w:rsid w:val="78000AED"/>
    <w:rsid w:val="79A9BD3F"/>
    <w:rsid w:val="79E91A91"/>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3756</Words>
  <Characters>3869</Characters>
  <Lines>58</Lines>
  <Paragraphs>16</Paragraphs>
  <TotalTime>41</TotalTime>
  <ScaleCrop>false</ScaleCrop>
  <LinksUpToDate>false</LinksUpToDate>
  <CharactersWithSpaces>3872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2025-07-21T02:36:52Z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eyJoZGlkIjoiZDNlNjUxMGI3ZjlmNWEyMTNkY2NiYmEwYjczNjg1NTEiLCJ1c2VySWQiOiIxNTg3OTQ2NzkxIn0=</vt:lpwstr>
  </property>
</Properties>
</file>