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4"/>
          <w:szCs w:val="44"/>
        </w:rPr>
      </w:pPr>
      <w:r>
        <w:rPr>
          <w:rFonts w:hint="eastAsia" w:ascii="方正小标宋简体" w:hAnsi="方正小标宋简体" w:eastAsia="方正小标宋简体" w:cs="方正小标宋简体"/>
          <w:kern w:val="0"/>
          <w:sz w:val="44"/>
          <w:szCs w:val="44"/>
          <w:lang w:eastAsia="zh-CN"/>
        </w:rPr>
        <w:t>村（社区）</w:t>
      </w:r>
      <w:r>
        <w:rPr>
          <w:rFonts w:hint="eastAsia" w:ascii="方正小标宋简体" w:hAnsi="方正小标宋简体" w:eastAsia="方正小标宋简体" w:cs="方正小标宋简体"/>
          <w:kern w:val="0"/>
          <w:sz w:val="44"/>
          <w:szCs w:val="44"/>
        </w:rPr>
        <w:t>支出</w:t>
      </w:r>
      <w:r>
        <w:rPr>
          <w:rFonts w:hint="eastAsia" w:ascii="方正小标宋简体" w:hAnsi="方正小标宋简体" w:eastAsia="方正小标宋简体" w:cs="方正小标宋简体"/>
          <w:kern w:val="0"/>
          <w:sz w:val="44"/>
          <w:szCs w:val="44"/>
          <w:lang w:eastAsia="zh-CN"/>
        </w:rPr>
        <w:t>项目</w:t>
      </w:r>
      <w:r>
        <w:rPr>
          <w:rFonts w:hint="eastAsia" w:ascii="方正小标宋简体" w:hAnsi="方正小标宋简体" w:eastAsia="方正小标宋简体" w:cs="方正小标宋简体"/>
          <w:kern w:val="0"/>
          <w:sz w:val="44"/>
          <w:szCs w:val="44"/>
        </w:rPr>
        <w:t>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w:t>
      </w:r>
      <w:r>
        <w:rPr>
          <w:rFonts w:hint="eastAsia" w:eastAsia="仿宋_GB2312" w:cs="Times New Roman"/>
          <w:kern w:val="0"/>
          <w:sz w:val="36"/>
          <w:szCs w:val="36"/>
          <w:lang w:val="en-US" w:eastAsia="zh-CN"/>
        </w:rPr>
        <w:t xml:space="preserve"> </w:t>
      </w: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eastAsia" w:eastAsia="仿宋_GB2312" w:cs="Times New Roman"/>
          <w:kern w:val="0"/>
          <w:sz w:val="36"/>
          <w:szCs w:val="36"/>
          <w:lang w:val="en-US" w:eastAsia="zh-CN"/>
        </w:rPr>
        <w:t xml:space="preserve"> </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3"/>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640" w:firstLineChars="2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eastAsia="zh-CN"/>
        </w:rPr>
        <w:t>村（社区）支出</w:t>
      </w:r>
    </w:p>
    <w:p>
      <w:pPr>
        <w:spacing w:line="700" w:lineRule="exact"/>
        <w:ind w:firstLine="640" w:firstLineChars="2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中共特克斯县委员会</w:t>
      </w:r>
    </w:p>
    <w:p>
      <w:pPr>
        <w:spacing w:line="700" w:lineRule="exact"/>
        <w:ind w:firstLine="640" w:firstLineChars="2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县委组织部组织二科</w:t>
      </w:r>
    </w:p>
    <w:p>
      <w:pPr>
        <w:spacing w:line="700" w:lineRule="exact"/>
        <w:ind w:firstLine="640" w:firstLineChars="2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闫晶</w:t>
      </w:r>
    </w:p>
    <w:p>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15</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9"/>
          <w:rFonts w:hint="default" w:ascii="Times New Roman" w:hAnsi="Times New Roman" w:eastAsia="黑体" w:cs="Times New Roman"/>
          <w:b w:val="0"/>
          <w:spacing w:val="-4"/>
          <w:sz w:val="32"/>
          <w:szCs w:val="32"/>
        </w:rPr>
      </w:pPr>
    </w:p>
    <w:p>
      <w:pPr>
        <w:spacing w:line="540" w:lineRule="exact"/>
        <w:rPr>
          <w:rStyle w:val="19"/>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建立了村级运转经费保障情况统计报告制度，并将对村级补助经费纳入政府年度预算，由乡财务室在月底按时发放村干工资，明确专人管理，实行专款专用，确保经费拨付到位。为了保障村级运转经费及时拨付到位，不断加大监督、检查力度，广泛开展政策宣传工作。村级经费运转工作领导小组下，设立检查组，由纪委、财政等工作人员不定期对该项经费的运转情况进行抽查，并对各村派驻了监督员，发现问题及时沟通，迅速解决。全面推行“村财乡管”，规范村级经费管理。取消村级账户，取消原村级会计，由乡财政所设立</w:t>
      </w:r>
      <w:bookmarkStart w:id="3" w:name="_GoBack"/>
      <w:bookmarkEnd w:id="3"/>
      <w:r>
        <w:rPr>
          <w:rFonts w:hint="eastAsia" w:ascii="Times New Roman" w:hAnsi="Times New Roman" w:eastAsia="仿宋_GB2312" w:cs="Times New Roman"/>
          <w:sz w:val="32"/>
          <w:szCs w:val="32"/>
          <w:highlight w:val="none"/>
          <w:lang w:val="en-US" w:eastAsia="zh-CN"/>
        </w:rPr>
        <w:t>村级资金专户，集中统一核算，并设立报账员。村级资金执行收支两条线，村干部工资按月发放，村委会的各项开支经村民理财小组审核后方可报账，每季度公开公示收支情况，接受群众监督。三是制定朝里瑶族乡保障村级运转经费管理办法。通过板报、展板、发放宣传册等方式，全方位、多角度宣传这一政策，力争使党和政府对村级运转经费的保障政策家喻户晓、深入人心，营造了良好的舆论氛围。关于印发《自治州加强农村党的基层组织建设20条措施》的通知（伊州党建办发〔2019〕3号）《特克斯县乡村振兴综合改革试点实施方案》（伊州党深改办字〔2020〕5号）《关于聚焦社会稳定和长治久安总目标加强自治州城市基层党建工作的实施意见》乡党委、政府认真制定了村级组织运转经费的管理办法。</w:t>
      </w:r>
    </w:p>
    <w:p>
      <w:pPr>
        <w:pStyle w:val="13"/>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主要内容：村级组织运转经费最低保障标准执行情况如下：各村村干部工资认真按照县财政拔付的一点都不打折扣按时的发放给村干,尚还未设有金融机构，使得无法通过帐户发放，通过乡财务室发放。基本报酬实行定期发放，业绩考核奖励报酬由乡党委、政府挤出经费，并根据村干部年度业绩考核情况结果在年底以福利形式发放。将符合条件的离任村支书、村主任生活困难补助标准按时发放。各村办公经费按县财政拔付经费。</w:t>
      </w:r>
    </w:p>
    <w:p>
      <w:pPr>
        <w:shd w:val="clear"/>
        <w:spacing w:line="600" w:lineRule="exact"/>
        <w:ind w:firstLine="640" w:firstLineChars="200"/>
        <w:outlineLvl w:val="0"/>
        <w:rPr>
          <w:rFonts w:hint="eastAsia" w:ascii="仿宋_GB2312" w:hAnsi="仿宋_GB2312" w:eastAsia="仿宋_GB2312" w:cs="仿宋_GB2312"/>
          <w:i w:val="0"/>
          <w:caps w:val="0"/>
          <w:color w:val="333333"/>
          <w:spacing w:val="0"/>
          <w:kern w:val="0"/>
          <w:sz w:val="32"/>
          <w:szCs w:val="32"/>
          <w:shd w:val="clear" w:color="auto" w:fill="FFFFFF"/>
          <w:lang w:val="en-US" w:eastAsia="zh-CN" w:bidi="ar"/>
        </w:rPr>
      </w:pPr>
      <w:r>
        <w:rPr>
          <w:rFonts w:hint="eastAsia" w:ascii="Times New Roman" w:hAnsi="Times New Roman" w:eastAsia="仿宋_GB2312" w:cs="Times New Roman"/>
          <w:sz w:val="32"/>
          <w:szCs w:val="32"/>
          <w:highlight w:val="none"/>
          <w:lang w:val="en-US" w:eastAsia="zh-CN"/>
        </w:rPr>
        <w:t>项目实施情况：有61个行政村、15个社区，共76个村（社区），拨付4次，每次拨付209万元。</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836</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836</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color w:val="000000" w:themeColor="text1"/>
          <w:sz w:val="32"/>
          <w:szCs w:val="32"/>
          <w:highlight w:val="none"/>
          <w:lang w:val="en-US" w:eastAsia="zh-CN"/>
          <w14:textFill>
            <w14:solidFill>
              <w14:schemeClr w14:val="tx1"/>
            </w14:solidFill>
          </w14:textFill>
        </w:rPr>
        <w:t>财政拨款。</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836</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836</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836</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确保76个村（社区）运转经费基层组织坚持党建引领，抓实抓细重点任务，有序推进各项工作，实现有钱办事、有人干事，提升服务群众的能力和水平，保障村级工作正常有序开展。</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按季度拨付76个村运转经费，确保村（社区）基层组织坚持党建引领，抓实抓细重点任务，有序推进各项工作，实现有钱办事、有人干事，提升服务群众的能力和水平，发挥基层组织在落实党的治疆方略中的重要作用，加速推进乡村治理体系和乡村治理能力。</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半年目标：及时、足额发放</w:t>
      </w:r>
      <w:r>
        <w:rPr>
          <w:rFonts w:hint="eastAsia" w:ascii="Times New Roman" w:hAnsi="Times New Roman" w:eastAsia="仿宋_GB2312" w:cs="Times New Roman"/>
          <w:sz w:val="32"/>
          <w:szCs w:val="32"/>
          <w:highlight w:val="none"/>
          <w:lang w:val="en-US" w:eastAsia="zh-CN"/>
        </w:rPr>
        <w:t>村级运转经费</w:t>
      </w:r>
      <w:r>
        <w:rPr>
          <w:rFonts w:hint="eastAsia" w:eastAsia="仿宋_GB2312" w:cs="Times New Roman"/>
          <w:sz w:val="32"/>
          <w:szCs w:val="32"/>
          <w:highlight w:val="none"/>
          <w:lang w:val="en-US" w:eastAsia="zh-CN"/>
        </w:rPr>
        <w:t>，保障其基本生活和工作需求，聚焦半年的阶段性成果，为全年目标打好基础。</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全年目标：通过及时拨付村（社区）运转经费，</w:t>
      </w:r>
      <w:r>
        <w:rPr>
          <w:rFonts w:hint="eastAsia" w:ascii="Times New Roman" w:hAnsi="Times New Roman" w:eastAsia="仿宋_GB2312" w:cs="Times New Roman"/>
          <w:sz w:val="32"/>
          <w:szCs w:val="32"/>
          <w:highlight w:val="none"/>
          <w:lang w:val="en-US" w:eastAsia="zh-CN"/>
        </w:rPr>
        <w:t>实现村里有钱办事，提高干部工作积极性，全心全意的为百姓服务</w:t>
      </w:r>
      <w:r>
        <w:rPr>
          <w:rFonts w:hint="eastAsia" w:eastAsia="仿宋_GB2312" w:cs="Times New Roman"/>
          <w:sz w:val="32"/>
          <w:szCs w:val="32"/>
          <w:highlight w:val="none"/>
          <w:lang w:val="en-US" w:eastAsia="zh-CN"/>
        </w:rPr>
        <w:t>，助力乡村振兴任务落实，推动基层治理能力提升和群众满意度提高</w:t>
      </w:r>
      <w:r>
        <w:rPr>
          <w:rFonts w:hint="eastAsia" w:ascii="Times New Roman" w:hAnsi="Times New Roman" w:eastAsia="仿宋_GB2312" w:cs="Times New Roman"/>
          <w:sz w:val="32"/>
          <w:szCs w:val="32"/>
          <w:highlight w:val="none"/>
          <w:lang w:val="en-US" w:eastAsia="zh-CN"/>
        </w:rPr>
        <w:t>。</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3"/>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kern w:val="2"/>
          <w:sz w:val="32"/>
          <w:szCs w:val="32"/>
          <w:highlight w:val="none"/>
          <w:lang w:val="en-US" w:eastAsia="zh-CN" w:bidi="ar-SA"/>
        </w:rPr>
        <w:t>村（社区）支出</w:t>
      </w:r>
      <w:r>
        <w:rPr>
          <w:rFonts w:hint="default" w:ascii="Times New Roman" w:hAnsi="Times New Roman" w:eastAsia="仿宋_GB2312" w:cs="Times New Roman"/>
          <w:b w:val="0"/>
          <w:bCs w:val="0"/>
          <w:kern w:val="2"/>
          <w:sz w:val="32"/>
          <w:szCs w:val="32"/>
          <w:highlight w:val="none"/>
          <w:lang w:val="en-US" w:eastAsia="zh-CN" w:bidi="ar-SA"/>
        </w:rPr>
        <w:t>及其预算执行情况。该项目由</w:t>
      </w:r>
      <w:r>
        <w:rPr>
          <w:rFonts w:hint="eastAsia" w:ascii="Times New Roman" w:hAnsi="Times New Roman" w:eastAsia="仿宋_GB2312" w:cs="Times New Roman"/>
          <w:b w:val="0"/>
          <w:bCs w:val="0"/>
          <w:kern w:val="2"/>
          <w:sz w:val="32"/>
          <w:szCs w:val="32"/>
          <w:highlight w:val="none"/>
          <w:lang w:val="en-US" w:eastAsia="zh-CN" w:bidi="ar-SA"/>
        </w:rPr>
        <w:t>中共特克斯县委员会组织部</w:t>
      </w:r>
      <w:r>
        <w:rPr>
          <w:rFonts w:hint="default" w:ascii="Times New Roman" w:hAnsi="Times New Roman" w:eastAsia="仿宋_GB2312" w:cs="Times New Roman"/>
          <w:b w:val="0"/>
          <w:bCs w:val="0"/>
          <w:kern w:val="2"/>
          <w:sz w:val="32"/>
          <w:szCs w:val="32"/>
          <w:highlight w:val="none"/>
          <w:lang w:val="en-US" w:eastAsia="zh-CN" w:bidi="ar-SA"/>
        </w:rPr>
        <w:t>负责实施，旨在</w:t>
      </w:r>
      <w:r>
        <w:rPr>
          <w:rFonts w:hint="eastAsia" w:ascii="Times New Roman" w:hAnsi="Times New Roman" w:eastAsia="仿宋_GB2312" w:cs="Times New Roman"/>
          <w:b w:val="0"/>
          <w:bCs w:val="0"/>
          <w:kern w:val="2"/>
          <w:sz w:val="32"/>
          <w:szCs w:val="32"/>
          <w:highlight w:val="none"/>
          <w:lang w:val="en-US" w:eastAsia="zh-CN" w:bidi="ar-SA"/>
        </w:rPr>
        <w:t>按季度拨付76个村运转经费，确保村（社区）基层组织坚持党建引领，抓实抓细重点任务，有序推进各项工作，实现有钱办事、有人干事，提升服务群众的能力和水平，发挥基层组织在落实党的治疆方略中的重要作用，加速推进乡村治理体系和乡村治理能力。</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项目预算涵盖从</w:t>
      </w:r>
      <w:r>
        <w:rPr>
          <w:rFonts w:hint="eastAsia" w:ascii="Times New Roman" w:hAnsi="Times New Roman" w:eastAsia="仿宋_GB2312" w:cs="Times New Roman"/>
          <w:b w:val="0"/>
          <w:bCs w:val="0"/>
          <w:kern w:val="2"/>
          <w:sz w:val="32"/>
          <w:szCs w:val="32"/>
          <w:highlight w:val="none"/>
          <w:lang w:val="en-US" w:eastAsia="zh-CN" w:bidi="ar-SA"/>
        </w:rPr>
        <w:t>2024年1月1日</w:t>
      </w:r>
      <w:r>
        <w:rPr>
          <w:rFonts w:hint="default" w:ascii="Times New Roman" w:hAnsi="Times New Roman" w:eastAsia="仿宋_GB2312" w:cs="Times New Roman"/>
          <w:b w:val="0"/>
          <w:bCs w:val="0"/>
          <w:kern w:val="2"/>
          <w:sz w:val="32"/>
          <w:szCs w:val="32"/>
          <w:highlight w:val="none"/>
          <w:lang w:val="en-US" w:eastAsia="zh-CN" w:bidi="ar-SA"/>
        </w:rPr>
        <w:t>至</w:t>
      </w:r>
      <w:r>
        <w:rPr>
          <w:rFonts w:hint="eastAsia" w:ascii="Times New Roman" w:hAnsi="Times New Roman" w:eastAsia="仿宋_GB2312" w:cs="Times New Roman"/>
          <w:b w:val="0"/>
          <w:bCs w:val="0"/>
          <w:kern w:val="2"/>
          <w:sz w:val="32"/>
          <w:szCs w:val="32"/>
          <w:highlight w:val="none"/>
          <w:lang w:val="en-US" w:eastAsia="zh-CN" w:bidi="ar-SA"/>
        </w:rPr>
        <w:t>2024年11月25日</w:t>
      </w:r>
      <w:r>
        <w:rPr>
          <w:rFonts w:hint="default" w:ascii="Times New Roman" w:hAnsi="Times New Roman" w:eastAsia="仿宋_GB2312" w:cs="Times New Roman"/>
          <w:b w:val="0"/>
          <w:bCs w:val="0"/>
          <w:kern w:val="2"/>
          <w:sz w:val="32"/>
          <w:szCs w:val="32"/>
          <w:highlight w:val="none"/>
          <w:lang w:val="en-US" w:eastAsia="zh-CN" w:bidi="ar-SA"/>
        </w:rPr>
        <w:t>的全部资金投入与支出，涉及资金总额为</w:t>
      </w:r>
      <w:r>
        <w:rPr>
          <w:rFonts w:hint="eastAsia" w:ascii="Times New Roman" w:hAnsi="Times New Roman" w:eastAsia="仿宋_GB2312" w:cs="Times New Roman"/>
          <w:b w:val="0"/>
          <w:bCs w:val="0"/>
          <w:kern w:val="2"/>
          <w:sz w:val="32"/>
          <w:szCs w:val="32"/>
          <w:highlight w:val="none"/>
          <w:lang w:val="en-US" w:eastAsia="zh-CN" w:bidi="ar-SA"/>
        </w:rPr>
        <w:t>836</w:t>
      </w:r>
      <w:r>
        <w:rPr>
          <w:rFonts w:hint="default" w:ascii="Times New Roman" w:hAnsi="Times New Roman" w:eastAsia="仿宋_GB2312" w:cs="Times New Roman"/>
          <w:b w:val="0"/>
          <w:bCs w:val="0"/>
          <w:kern w:val="2"/>
          <w:sz w:val="32"/>
          <w:szCs w:val="32"/>
          <w:highlight w:val="none"/>
          <w:lang w:val="en-US" w:eastAsia="zh-CN" w:bidi="ar-SA"/>
        </w:rPr>
        <w:t>万元。</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本项目预算绩效评价报告的评价范围广泛而全面，涵盖了从项目立项至评价时点期间的所有关键预算活动和财务流程。</w:t>
      </w:r>
    </w:p>
    <w:p>
      <w:pPr>
        <w:pStyle w:val="13"/>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highlight w:val="none"/>
        </w:rPr>
        <w:t>项目预算编制与执行：</w:t>
      </w:r>
      <w:r>
        <w:rPr>
          <w:rFonts w:hint="eastAsia" w:ascii="Times New Roman" w:hAnsi="Times New Roman" w:eastAsia="仿宋_GB2312" w:cs="Times New Roman"/>
          <w:b w:val="0"/>
          <w:bCs w:val="0"/>
          <w:highlight w:val="none"/>
          <w:lang w:val="en-US" w:eastAsia="zh-CN"/>
        </w:rPr>
        <w:t xml:space="preserve"> </w:t>
      </w:r>
      <w:r>
        <w:rPr>
          <w:rFonts w:hint="eastAsia" w:ascii="Times New Roman" w:hAnsi="Times New Roman" w:eastAsia="仿宋_GB2312" w:cs="Times New Roman"/>
          <w:b w:val="0"/>
          <w:bCs w:val="0"/>
          <w:kern w:val="2"/>
          <w:sz w:val="32"/>
          <w:szCs w:val="32"/>
          <w:highlight w:val="none"/>
          <w:lang w:val="en-US" w:eastAsia="zh-CN" w:bidi="ar-SA"/>
        </w:rPr>
        <w:t>按期拨付经费，实现了村里有钱办事，提高了干部工作积极性，全心全意的为百姓服务。</w:t>
      </w:r>
    </w:p>
    <w:p>
      <w:pPr>
        <w:pStyle w:val="13"/>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w:t>
      </w:r>
      <w:r>
        <w:rPr>
          <w:rFonts w:hint="eastAsia" w:ascii="Times New Roman" w:hAnsi="Times New Roman" w:eastAsia="仿宋_GB2312" w:cs="Times New Roman"/>
          <w:b w:val="0"/>
          <w:bCs w:val="0"/>
          <w:kern w:val="2"/>
          <w:sz w:val="32"/>
          <w:szCs w:val="32"/>
          <w:highlight w:val="none"/>
          <w:lang w:val="en-US" w:eastAsia="zh-CN" w:bidi="ar-SA"/>
        </w:rPr>
        <w:t>认真按照县财政拔付的一点都不打折扣按时的发放给村级，基本报酬实行定期发放，为了保障村级运转经费及时拨付到位，不断加大监督、检查力度。</w:t>
      </w:r>
    </w:p>
    <w:p>
      <w:pPr>
        <w:pStyle w:val="13"/>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w:t>
      </w:r>
      <w:r>
        <w:rPr>
          <w:rFonts w:hint="eastAsia" w:ascii="Times New Roman" w:hAnsi="Times New Roman" w:eastAsia="仿宋_GB2312" w:cs="Times New Roman"/>
          <w:b w:val="0"/>
          <w:bCs w:val="0"/>
          <w:kern w:val="2"/>
          <w:sz w:val="32"/>
          <w:szCs w:val="32"/>
          <w:highlight w:val="none"/>
          <w:lang w:val="en-US" w:eastAsia="zh-CN" w:bidi="ar-SA"/>
        </w:rPr>
        <w:t>确保村（社区）基层组织坚持党建引领，抓实抓细重点任务，有序推进各项工作，实现有钱办事、有人干事，提升服务群众的能力和水平，发挥基层组织在落实党的治疆方略中的重要作用，</w:t>
      </w:r>
    </w:p>
    <w:p>
      <w:pPr>
        <w:pStyle w:val="13"/>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w:t>
      </w:r>
      <w:r>
        <w:rPr>
          <w:rFonts w:hint="eastAsia" w:ascii="Times New Roman" w:hAnsi="Times New Roman" w:eastAsia="仿宋_GB2312" w:cs="Times New Roman"/>
          <w:b w:val="0"/>
          <w:bCs w:val="0"/>
          <w:kern w:val="2"/>
          <w:sz w:val="32"/>
          <w:szCs w:val="32"/>
          <w:highlight w:val="none"/>
          <w:lang w:val="en-US" w:eastAsia="zh-CN" w:bidi="ar-SA"/>
        </w:rPr>
        <w:t>通过板报、展板、发放宣传册等方式，全方位、多角度宣传这一政策，力争使党和政府对村级运转经费的保障政策家喻户晓、深入人心，营造了良好的舆论氛围。</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3"/>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3"/>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3"/>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3"/>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3"/>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3"/>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eastAsia" w:eastAsia="仿宋_GB2312" w:cs="Times New Roman"/>
          <w:color w:val="000000" w:themeColor="text1"/>
          <w:spacing w:val="17"/>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w:t>
      </w:r>
      <w:r>
        <w:rPr>
          <w:rFonts w:hint="default" w:ascii="Times New Roman" w:hAnsi="Times New Roman" w:eastAsia="仿宋_GB2312" w:cs="Times New Roman"/>
          <w:color w:val="000000" w:themeColor="text1"/>
          <w:spacing w:val="17"/>
          <w:sz w:val="32"/>
          <w:szCs w:val="32"/>
          <w:highlight w:val="none"/>
          <w14:textFill>
            <w14:solidFill>
              <w14:schemeClr w14:val="tx1"/>
            </w14:solidFill>
          </w14:textFill>
        </w:rPr>
        <w:t>了</w:t>
      </w:r>
      <w:r>
        <w:rPr>
          <w:rFonts w:hint="eastAsia" w:eastAsia="仿宋_GB2312" w:cs="Times New Roman"/>
          <w:color w:val="000000" w:themeColor="text1"/>
          <w:spacing w:val="17"/>
          <w:sz w:val="32"/>
          <w:szCs w:val="32"/>
          <w:highlight w:val="none"/>
          <w:lang w:eastAsia="zh-CN"/>
          <w14:textFill>
            <w14:solidFill>
              <w14:schemeClr w14:val="tx1"/>
            </w14:solidFill>
          </w14:textFill>
        </w:rPr>
        <w:t>比较</w:t>
      </w:r>
      <w:r>
        <w:rPr>
          <w:rFonts w:hint="default" w:ascii="Times New Roman" w:hAnsi="Times New Roman" w:eastAsia="仿宋_GB2312" w:cs="Times New Roman"/>
          <w:color w:val="000000" w:themeColor="text1"/>
          <w:spacing w:val="17"/>
          <w:sz w:val="32"/>
          <w:szCs w:val="32"/>
          <w:highlight w:val="none"/>
          <w14:textFill>
            <w14:solidFill>
              <w14:schemeClr w14:val="tx1"/>
            </w14:solidFill>
          </w14:textFill>
        </w:rPr>
        <w:t>法。</w:t>
      </w:r>
      <w:r>
        <w:rPr>
          <w:rFonts w:hint="eastAsia" w:eastAsia="仿宋_GB2312" w:cs="Times New Roman"/>
          <w:color w:val="000000" w:themeColor="text1"/>
          <w:spacing w:val="17"/>
          <w:sz w:val="32"/>
          <w:szCs w:val="32"/>
          <w:highlight w:val="none"/>
          <w:lang w:eastAsia="zh-CN"/>
          <w14:textFill>
            <w14:solidFill>
              <w14:schemeClr w14:val="tx1"/>
            </w14:solidFill>
          </w14:textFill>
        </w:rPr>
        <w:t>具体评价方法如下：</w:t>
      </w:r>
    </w:p>
    <w:p>
      <w:pPr>
        <w:pStyle w:val="16"/>
        <w:ind w:left="0" w:leftChars="0" w:firstLine="708" w:firstLineChars="200"/>
        <w:rPr>
          <w:rFonts w:hint="default"/>
          <w:lang w:val="en-US" w:eastAsia="zh-CN"/>
        </w:rPr>
      </w:pPr>
      <w:r>
        <w:rPr>
          <w:rFonts w:hint="eastAsia" w:eastAsia="仿宋_GB2312" w:cs="Times New Roman"/>
          <w:color w:val="000000" w:themeColor="text1"/>
          <w:spacing w:val="17"/>
          <w:sz w:val="32"/>
          <w:szCs w:val="32"/>
          <w:highlight w:val="none"/>
          <w:lang w:eastAsia="zh-CN"/>
          <w14:textFill>
            <w14:solidFill>
              <w14:schemeClr w14:val="tx1"/>
            </w14:solidFill>
          </w14:textFill>
        </w:rPr>
        <w:t>比较法。是指将实施情况与绩效目标、历史情况、不同部门和地区同类支出情况进行比较的方法。</w:t>
      </w:r>
    </w:p>
    <w:p>
      <w:pPr>
        <w:pStyle w:val="16"/>
        <w:ind w:left="0" w:leftChars="0" w:firstLine="708" w:firstLineChars="200"/>
        <w:rPr>
          <w:rFonts w:hint="default" w:eastAsia="仿宋_GB2312"/>
          <w:lang w:val="en-US" w:eastAsia="zh-CN"/>
        </w:rPr>
      </w:pPr>
      <w:r>
        <w:rPr>
          <w:rFonts w:hint="eastAsia" w:ascii="Times New Roman" w:hAnsi="Times New Roman" w:eastAsia="仿宋_GB2312" w:cs="Times New Roman"/>
          <w:color w:val="000000" w:themeColor="text1"/>
          <w:spacing w:val="17"/>
          <w:sz w:val="32"/>
          <w:szCs w:val="32"/>
          <w:highlight w:val="none"/>
          <w:lang w:eastAsia="zh-CN"/>
          <w14:textFill>
            <w14:solidFill>
              <w14:schemeClr w14:val="tx1"/>
            </w14:solidFill>
          </w14:textFill>
        </w:rPr>
        <w:t>通过对比村（社区）运转经费发放前后，在建强村党组织、推进强村富民、提升治理水平、为民办服务等“四项重点任务”方面的开展情况，体现项目成效。</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w:t>
      </w:r>
      <w:r>
        <w:rPr>
          <w:rFonts w:hint="default" w:ascii="Times New Roman" w:hAnsi="Times New Roman" w:eastAsia="仿宋_GB2312" w:cs="Times New Roman"/>
          <w:b w:val="0"/>
          <w:bCs w:val="0"/>
          <w:highlight w:val="none"/>
        </w:rPr>
        <w:t>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p>
    <w:p>
      <w:pPr>
        <w:rPr>
          <w:rFonts w:hint="default" w:ascii="Times New Roman" w:hAnsi="Times New Roman" w:eastAsia="仿宋_GB2312" w:cs="Times New Roman"/>
          <w:b w:val="0"/>
          <w:bCs w:val="0"/>
        </w:rPr>
      </w:pPr>
    </w:p>
    <w:p>
      <w:pPr>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计划标准。指以预先制定的目标、计划、预算、定额等作为评价标准。</w:t>
      </w:r>
    </w:p>
    <w:p>
      <w:pPr>
        <w:pStyle w:val="13"/>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4"/>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3"/>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kern w:val="2"/>
          <w:sz w:val="32"/>
          <w:szCs w:val="32"/>
          <w:highlight w:val="none"/>
          <w:lang w:val="en-US" w:eastAsia="zh-CN" w:bidi="ar-SA"/>
        </w:rPr>
        <w:t>村（社区）支出</w:t>
      </w:r>
      <w:r>
        <w:rPr>
          <w:rFonts w:hint="default" w:ascii="Times New Roman" w:hAnsi="Times New Roman" w:eastAsia="仿宋_GB2312" w:cs="Times New Roman"/>
          <w:kern w:val="2"/>
          <w:sz w:val="32"/>
          <w:szCs w:val="32"/>
          <w:highlight w:val="none"/>
          <w:lang w:val="en-US" w:eastAsia="zh-CN" w:bidi="ar-SA"/>
        </w:rPr>
        <w:t>在村级运转经费</w:t>
      </w:r>
      <w:r>
        <w:rPr>
          <w:rFonts w:hint="eastAsia" w:ascii="Times New Roman" w:hAnsi="Times New Roman" w:eastAsia="仿宋_GB2312" w:cs="Times New Roman"/>
          <w:kern w:val="2"/>
          <w:sz w:val="32"/>
          <w:szCs w:val="32"/>
          <w:highlight w:val="none"/>
          <w:lang w:val="en-US" w:eastAsia="zh-CN" w:bidi="ar-SA"/>
        </w:rPr>
        <w:t>使用</w:t>
      </w:r>
      <w:r>
        <w:rPr>
          <w:rFonts w:hint="default" w:ascii="Times New Roman" w:hAnsi="Times New Roman" w:eastAsia="仿宋_GB2312" w:cs="Times New Roman"/>
          <w:kern w:val="2"/>
          <w:sz w:val="32"/>
          <w:szCs w:val="32"/>
          <w:highlight w:val="none"/>
          <w:lang w:val="en-US" w:eastAsia="zh-CN" w:bidi="ar-SA"/>
        </w:rPr>
        <w:t>等方面表现出色，达到了预期</w:t>
      </w:r>
      <w:r>
        <w:rPr>
          <w:rFonts w:hint="default" w:ascii="Times New Roman" w:hAnsi="Times New Roman" w:eastAsia="仿宋_GB2312" w:cs="Times New Roman"/>
          <w:sz w:val="32"/>
          <w:szCs w:val="32"/>
          <w:highlight w:val="none"/>
        </w:rPr>
        <w:t>的标准与要求。</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特克斯县委组织部</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从项目效益的角度来看，本项目不仅实现了预期的社会效益方面产生了积极的影响。</w:t>
      </w:r>
      <w:r>
        <w:rPr>
          <w:rFonts w:hint="eastAsia" w:ascii="Times New Roman" w:hAnsi="Times New Roman" w:eastAsia="仿宋_GB2312" w:cs="Times New Roman"/>
          <w:sz w:val="32"/>
          <w:szCs w:val="32"/>
          <w:highlight w:val="none"/>
          <w:lang w:val="en-US" w:eastAsia="zh-CN"/>
        </w:rPr>
        <w:t>有序推进各项工作，实现有钱办事、有人干事，提升服务群众的能力和水平，发挥基层组织在落实党的治疆方略中的重要作用，加速推进乡村治理体系和乡村治理能力。</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eastAsia="zh-CN"/>
        </w:rPr>
        <w:t>村（社区）支出</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3"/>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3"/>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7"/>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3"/>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3"/>
        <w:numPr>
          <w:ilvl w:val="0"/>
          <w:numId w:val="5"/>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836</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836</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5"/>
        <w:numPr>
          <w:ilvl w:val="0"/>
          <w:numId w:val="5"/>
        </w:num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w:t>
      </w:r>
      <w:r>
        <w:rPr>
          <w:rFonts w:hint="default" w:ascii="Times New Roman" w:hAnsi="Times New Roman" w:eastAsia="仿宋_GB2312" w:cs="Times New Roman"/>
          <w:sz w:val="32"/>
          <w:szCs w:val="32"/>
          <w:lang w:val="en-US" w:eastAsia="zh-CN"/>
        </w:rPr>
        <w:t>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拨付村级运转经费数量</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76个</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76个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16"/>
        <w:ind w:left="0" w:leftChars="0" w:firstLine="640" w:firstLineChars="200"/>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kern w:val="2"/>
          <w:sz w:val="32"/>
          <w:szCs w:val="32"/>
          <w:highlight w:val="none"/>
          <w:lang w:val="en-US" w:eastAsia="zh-CN" w:bidi="ar-SA"/>
        </w:rPr>
        <w:t>拨付次数</w:t>
      </w:r>
      <w:r>
        <w:rPr>
          <w:rFonts w:hint="eastAsia" w:ascii="Times New Roman" w:hAnsi="Times New Roman" w:eastAsia="仿宋_GB2312" w:cs="Times New Roman"/>
          <w:kern w:val="2"/>
          <w:sz w:val="32"/>
          <w:szCs w:val="32"/>
          <w:highlight w:val="none"/>
          <w:lang w:val="en-US" w:eastAsia="zh-CN" w:bidi="ar-SA"/>
        </w:rPr>
        <w:t>，指标值：4次，实际完成值：4次，指标完成率100%。</w:t>
      </w:r>
    </w:p>
    <w:p>
      <w:pPr>
        <w:pStyle w:val="16"/>
        <w:ind w:left="0" w:leftChars="0"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default"/>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拨付资金准确率</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拨付资金及时性</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每次村级运转经费发放</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209万元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209万元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7"/>
        <w:rPr>
          <w:rFonts w:hint="eastAsia"/>
          <w:lang w:eastAsia="zh-CN"/>
        </w:rPr>
      </w:pPr>
    </w:p>
    <w:p>
      <w:pPr>
        <w:pStyle w:val="15"/>
        <w:numPr>
          <w:ilvl w:val="0"/>
          <w:numId w:val="5"/>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w:t>
      </w:r>
      <w:r>
        <w:rPr>
          <w:rFonts w:hint="default" w:ascii="Times New Roman" w:hAnsi="Times New Roman" w:eastAsia="仿宋_GB2312" w:cs="Times New Roman"/>
          <w:sz w:val="32"/>
          <w:szCs w:val="32"/>
          <w:highlight w:val="none"/>
          <w:lang w:val="en-US" w:eastAsia="zh-CN"/>
        </w:rPr>
        <w:t>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pStyle w:val="16"/>
        <w:ind w:left="0" w:leftChars="0" w:firstLine="640" w:firstLineChars="200"/>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效益指标</w:t>
      </w:r>
      <w:r>
        <w:rPr>
          <w:rFonts w:hint="eastAsia" w:ascii="Times New Roman" w:hAnsi="Times New Roman" w:eastAsia="仿宋_GB2312" w:cs="Times New Roman"/>
          <w:kern w:val="2"/>
          <w:sz w:val="32"/>
          <w:szCs w:val="32"/>
          <w:highlight w:val="none"/>
          <w:lang w:val="en-US" w:eastAsia="zh-CN" w:bidi="ar-SA"/>
        </w:rPr>
        <w:t>：</w:t>
      </w:r>
    </w:p>
    <w:p>
      <w:pPr>
        <w:pStyle w:val="7"/>
        <w:ind w:firstLine="640" w:firstLineChars="20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default" w:ascii="Times New Roman" w:hAnsi="Times New Roman" w:eastAsia="仿宋_GB2312" w:cs="Times New Roman"/>
          <w:kern w:val="2"/>
          <w:sz w:val="32"/>
          <w:szCs w:val="32"/>
          <w:highlight w:val="none"/>
          <w:lang w:val="en-US" w:eastAsia="zh-CN" w:bidi="ar-SA"/>
        </w:rPr>
        <w:t>提高干部工作热情</w:t>
      </w:r>
      <w:r>
        <w:rPr>
          <w:rFonts w:hint="eastAsia" w:ascii="Times New Roman" w:hAnsi="Times New Roman" w:eastAsia="仿宋_GB2312" w:cs="Times New Roman"/>
          <w:kern w:val="2"/>
          <w:sz w:val="32"/>
          <w:szCs w:val="32"/>
          <w:highlight w:val="none"/>
          <w:lang w:val="en-US" w:eastAsia="zh-CN" w:bidi="ar-SA"/>
        </w:rPr>
        <w:t>，指标值：有所提升，</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有所提升</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pStyle w:val="8"/>
        <w:numPr>
          <w:ilvl w:val="0"/>
          <w:numId w:val="0"/>
        </w:numPr>
        <w:ind w:firstLine="640" w:firstLineChars="200"/>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满意度指标</w:t>
      </w:r>
      <w:r>
        <w:rPr>
          <w:rFonts w:hint="eastAsia" w:ascii="Times New Roman" w:hAnsi="Times New Roman" w:eastAsia="仿宋_GB2312" w:cs="Times New Roman"/>
          <w:kern w:val="2"/>
          <w:sz w:val="32"/>
          <w:szCs w:val="32"/>
          <w:highlight w:val="none"/>
          <w:lang w:val="en-US" w:eastAsia="zh-CN" w:bidi="ar-SA"/>
        </w:rPr>
        <w:t>：</w:t>
      </w:r>
    </w:p>
    <w:p>
      <w:pPr>
        <w:pStyle w:val="7"/>
        <w:ind w:firstLine="640" w:firstLineChars="20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default" w:ascii="Times New Roman" w:hAnsi="Times New Roman" w:eastAsia="仿宋_GB2312" w:cs="Times New Roman"/>
          <w:kern w:val="2"/>
          <w:sz w:val="32"/>
          <w:szCs w:val="32"/>
          <w:highlight w:val="none"/>
          <w:lang w:val="en-US" w:eastAsia="zh-CN" w:bidi="ar-SA"/>
        </w:rPr>
        <w:t>干部满意度</w:t>
      </w:r>
      <w:r>
        <w:rPr>
          <w:rFonts w:hint="eastAsia" w:ascii="Times New Roman" w:hAnsi="Times New Roman" w:eastAsia="仿宋_GB2312" w:cs="Times New Roman"/>
          <w:kern w:val="2"/>
          <w:sz w:val="32"/>
          <w:szCs w:val="32"/>
          <w:highlight w:val="none"/>
          <w:lang w:val="en-US" w:eastAsia="zh-CN" w:bidi="ar-SA"/>
        </w:rPr>
        <w:t>，指标值：98%，</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22"/>
        <w:spacing w:line="560" w:lineRule="exact"/>
        <w:ind w:firstLine="64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村（社区）</w:t>
      </w:r>
      <w:r>
        <w:rPr>
          <w:rFonts w:hint="default" w:ascii="Times New Roman" w:hAnsi="Times New Roman" w:eastAsia="仿宋_GB2312" w:cs="Times New Roman"/>
          <w:kern w:val="2"/>
          <w:sz w:val="32"/>
          <w:szCs w:val="32"/>
          <w:lang w:val="en-US" w:eastAsia="zh-CN" w:bidi="ar-SA"/>
        </w:rPr>
        <w:t>项目年初预算</w:t>
      </w:r>
      <w:r>
        <w:rPr>
          <w:rFonts w:hint="eastAsia" w:ascii="Times New Roman" w:hAnsi="Times New Roman" w:eastAsia="仿宋_GB2312" w:cs="Times New Roman"/>
          <w:kern w:val="2"/>
          <w:sz w:val="32"/>
          <w:szCs w:val="32"/>
          <w:lang w:val="en-US" w:eastAsia="zh-CN" w:bidi="ar-SA"/>
        </w:rPr>
        <w:t>836</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836</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836</w:t>
      </w:r>
      <w:r>
        <w:rPr>
          <w:rFonts w:hint="default"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p>
    <w:p>
      <w:pPr>
        <w:spacing w:line="560" w:lineRule="exact"/>
        <w:ind w:firstLine="640" w:firstLineChars="200"/>
        <w:rPr>
          <w:rStyle w:val="21"/>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3"/>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6"/>
        <w:spacing w:after="0" w:line="560" w:lineRule="exact"/>
        <w:ind w:left="0" w:leftChars="0"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无</w:t>
      </w: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bookmarkStart w:id="1" w:name="_Toc26499_WPSOffice_Level2"/>
      <w:bookmarkStart w:id="2" w:name="_Toc30064_WPSOffice_Level1"/>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2"/>
        <w:ind w:firstLine="562"/>
        <w:jc w:val="center"/>
        <w:rPr>
          <w:rFonts w:hint="eastAsia"/>
          <w:b/>
          <w:bCs/>
          <w:sz w:val="28"/>
          <w:szCs w:val="40"/>
        </w:rPr>
      </w:pPr>
    </w:p>
    <w:p>
      <w:pPr>
        <w:pStyle w:val="22"/>
        <w:ind w:firstLine="562"/>
        <w:jc w:val="center"/>
        <w:rPr>
          <w:sz w:val="28"/>
          <w:szCs w:val="40"/>
        </w:rPr>
      </w:pPr>
      <w:r>
        <w:rPr>
          <w:rFonts w:hint="eastAsia"/>
          <w:b/>
          <w:bCs/>
          <w:sz w:val="28"/>
          <w:szCs w:val="40"/>
        </w:rPr>
        <w:t>项目绩效评价指标体系及综合评分表</w:t>
      </w:r>
      <w:bookmarkEnd w:id="1"/>
      <w:bookmarkEnd w:id="2"/>
    </w:p>
    <w:tbl>
      <w:tblPr>
        <w:tblStyle w:val="17"/>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4"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198"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noWrap w:val="0"/>
            <w:vAlign w:val="center"/>
          </w:tcPr>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r>
              <w:rPr>
                <w:color w:val="000000"/>
                <w:kern w:val="0"/>
                <w:sz w:val="22"/>
                <w:szCs w:val="22"/>
              </w:rPr>
              <w:t>决策　</w:t>
            </w:r>
          </w:p>
        </w:tc>
        <w:tc>
          <w:tcPr>
            <w:tcW w:w="764"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8" w:type="dxa"/>
            <w:shd w:val="clear" w:color="auto" w:fill="FFFFFF"/>
            <w:noWrap w:val="0"/>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noWrap w:val="0"/>
            <w:vAlign w:val="center"/>
          </w:tcPr>
          <w:p>
            <w:pPr>
              <w:spacing w:line="0" w:lineRule="atLeast"/>
              <w:jc w:val="center"/>
              <w:rPr>
                <w:color w:val="000000"/>
                <w:kern w:val="0"/>
                <w:sz w:val="22"/>
                <w:szCs w:val="22"/>
              </w:rPr>
            </w:pPr>
          </w:p>
        </w:tc>
        <w:tc>
          <w:tcPr>
            <w:tcW w:w="764" w:type="dxa"/>
            <w:vMerge w:val="continue"/>
            <w:shd w:val="clear" w:color="auto" w:fill="FFFFFF"/>
            <w:noWrap w:val="0"/>
            <w:vAlign w:val="center"/>
          </w:tcPr>
          <w:p>
            <w:pPr>
              <w:widowControl/>
              <w:spacing w:line="0" w:lineRule="atLeast"/>
              <w:jc w:val="center"/>
              <w:rPr>
                <w:color w:val="000000"/>
                <w:kern w:val="0"/>
                <w:sz w:val="22"/>
                <w:szCs w:val="22"/>
              </w:rPr>
            </w:pP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8" w:type="dxa"/>
            <w:shd w:val="clear" w:color="auto" w:fill="FFFFFF"/>
            <w:noWrap w:val="0"/>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noWrap w:val="0"/>
            <w:vAlign w:val="center"/>
          </w:tcPr>
          <w:p>
            <w:pPr>
              <w:spacing w:line="0" w:lineRule="atLeast"/>
              <w:jc w:val="center"/>
              <w:rPr>
                <w:color w:val="000000"/>
                <w:kern w:val="0"/>
                <w:sz w:val="22"/>
                <w:szCs w:val="22"/>
              </w:rPr>
            </w:pPr>
          </w:p>
        </w:tc>
        <w:tc>
          <w:tcPr>
            <w:tcW w:w="764"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noWrap w:val="0"/>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noWrap w:val="0"/>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noWrap w:val="0"/>
            <w:vAlign w:val="center"/>
          </w:tcPr>
          <w:p>
            <w:pPr>
              <w:widowControl/>
              <w:spacing w:line="0" w:lineRule="atLeast"/>
              <w:jc w:val="center"/>
              <w:rPr>
                <w:color w:val="000000"/>
                <w:kern w:val="0"/>
                <w:sz w:val="22"/>
                <w:szCs w:val="22"/>
              </w:rPr>
            </w:pPr>
          </w:p>
        </w:tc>
        <w:tc>
          <w:tcPr>
            <w:tcW w:w="764" w:type="dxa"/>
            <w:vMerge w:val="continue"/>
            <w:shd w:val="clear" w:color="auto" w:fill="FFFFFF"/>
            <w:noWrap w:val="0"/>
            <w:vAlign w:val="center"/>
          </w:tcPr>
          <w:p>
            <w:pPr>
              <w:widowControl/>
              <w:spacing w:line="0" w:lineRule="atLeast"/>
              <w:jc w:val="center"/>
              <w:rPr>
                <w:color w:val="000000"/>
                <w:kern w:val="0"/>
                <w:sz w:val="22"/>
                <w:szCs w:val="22"/>
              </w:rPr>
            </w:pP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8"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noWrap w:val="0"/>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noWrap w:val="0"/>
            <w:vAlign w:val="center"/>
          </w:tcPr>
          <w:p>
            <w:pPr>
              <w:spacing w:line="0" w:lineRule="atLeast"/>
              <w:jc w:val="center"/>
              <w:rPr>
                <w:color w:val="000000"/>
                <w:kern w:val="0"/>
                <w:sz w:val="22"/>
                <w:szCs w:val="22"/>
              </w:rPr>
            </w:pPr>
          </w:p>
        </w:tc>
        <w:tc>
          <w:tcPr>
            <w:tcW w:w="764"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noWrap w:val="0"/>
            <w:vAlign w:val="center"/>
          </w:tcPr>
          <w:p>
            <w:pPr>
              <w:widowControl/>
              <w:spacing w:line="0" w:lineRule="atLeast"/>
              <w:jc w:val="center"/>
              <w:rPr>
                <w:color w:val="000000"/>
                <w:kern w:val="0"/>
                <w:sz w:val="22"/>
                <w:szCs w:val="22"/>
              </w:rPr>
            </w:pPr>
          </w:p>
        </w:tc>
        <w:tc>
          <w:tcPr>
            <w:tcW w:w="764" w:type="dxa"/>
            <w:vMerge w:val="continue"/>
            <w:shd w:val="clear" w:color="auto" w:fill="FFFFFF"/>
            <w:noWrap w:val="0"/>
            <w:vAlign w:val="center"/>
          </w:tcPr>
          <w:p>
            <w:pPr>
              <w:widowControl/>
              <w:spacing w:line="0" w:lineRule="atLeast"/>
              <w:jc w:val="center"/>
              <w:rPr>
                <w:color w:val="000000"/>
                <w:kern w:val="0"/>
                <w:sz w:val="22"/>
                <w:szCs w:val="22"/>
              </w:rPr>
            </w:pP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noWrap w:val="0"/>
            <w:vAlign w:val="center"/>
          </w:tcPr>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r>
              <w:rPr>
                <w:color w:val="000000"/>
                <w:kern w:val="0"/>
                <w:sz w:val="22"/>
                <w:szCs w:val="22"/>
              </w:rPr>
              <w:t>过程</w:t>
            </w:r>
          </w:p>
          <w:p>
            <w:pPr>
              <w:widowControl/>
              <w:spacing w:line="0" w:lineRule="atLeast"/>
              <w:jc w:val="center"/>
              <w:rPr>
                <w:color w:val="000000"/>
                <w:kern w:val="0"/>
                <w:sz w:val="22"/>
                <w:szCs w:val="22"/>
              </w:rPr>
            </w:pPr>
            <w:r>
              <w:rPr>
                <w:color w:val="000000"/>
                <w:kern w:val="0"/>
                <w:sz w:val="22"/>
                <w:szCs w:val="22"/>
              </w:rPr>
              <w:t>　　</w:t>
            </w:r>
          </w:p>
        </w:tc>
        <w:tc>
          <w:tcPr>
            <w:tcW w:w="764"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8"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noWrap w:val="0"/>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noWrap w:val="0"/>
            <w:vAlign w:val="center"/>
          </w:tcPr>
          <w:p>
            <w:pPr>
              <w:spacing w:line="0" w:lineRule="atLeast"/>
              <w:jc w:val="center"/>
              <w:rPr>
                <w:color w:val="000000"/>
                <w:kern w:val="0"/>
                <w:sz w:val="22"/>
                <w:szCs w:val="22"/>
              </w:rPr>
            </w:pPr>
          </w:p>
        </w:tc>
        <w:tc>
          <w:tcPr>
            <w:tcW w:w="764" w:type="dxa"/>
            <w:vMerge w:val="continue"/>
            <w:shd w:val="clear" w:color="auto" w:fill="FFFFFF"/>
            <w:noWrap w:val="0"/>
            <w:vAlign w:val="center"/>
          </w:tcPr>
          <w:p>
            <w:pPr>
              <w:spacing w:line="0" w:lineRule="atLeast"/>
              <w:jc w:val="center"/>
              <w:rPr>
                <w:color w:val="000000"/>
                <w:kern w:val="0"/>
                <w:sz w:val="22"/>
                <w:szCs w:val="22"/>
              </w:rPr>
            </w:pP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8"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noWrap w:val="0"/>
            <w:vAlign w:val="center"/>
          </w:tcPr>
          <w:p>
            <w:pPr>
              <w:spacing w:line="0" w:lineRule="atLeast"/>
              <w:jc w:val="center"/>
              <w:rPr>
                <w:color w:val="000000"/>
                <w:kern w:val="0"/>
                <w:sz w:val="22"/>
                <w:szCs w:val="22"/>
              </w:rPr>
            </w:pPr>
          </w:p>
        </w:tc>
        <w:tc>
          <w:tcPr>
            <w:tcW w:w="764"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8"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noWrap w:val="0"/>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noWrap w:val="0"/>
            <w:vAlign w:val="center"/>
          </w:tcPr>
          <w:p>
            <w:pPr>
              <w:spacing w:line="0" w:lineRule="atLeast"/>
              <w:jc w:val="center"/>
              <w:rPr>
                <w:color w:val="000000"/>
                <w:kern w:val="0"/>
                <w:sz w:val="22"/>
                <w:szCs w:val="22"/>
              </w:rPr>
            </w:pPr>
          </w:p>
        </w:tc>
        <w:tc>
          <w:tcPr>
            <w:tcW w:w="764"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noWrap w:val="0"/>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noWrap w:val="0"/>
            <w:vAlign w:val="center"/>
          </w:tcPr>
          <w:p>
            <w:pPr>
              <w:widowControl/>
              <w:spacing w:line="0" w:lineRule="atLeast"/>
              <w:jc w:val="center"/>
              <w:rPr>
                <w:color w:val="000000"/>
                <w:kern w:val="0"/>
                <w:sz w:val="22"/>
                <w:szCs w:val="22"/>
              </w:rPr>
            </w:pPr>
          </w:p>
        </w:tc>
        <w:tc>
          <w:tcPr>
            <w:tcW w:w="764" w:type="dxa"/>
            <w:vMerge w:val="continue"/>
            <w:shd w:val="clear" w:color="auto" w:fill="FFFFFF"/>
            <w:noWrap w:val="0"/>
            <w:vAlign w:val="center"/>
          </w:tcPr>
          <w:p>
            <w:pPr>
              <w:widowControl/>
              <w:spacing w:line="0" w:lineRule="atLeast"/>
              <w:jc w:val="center"/>
              <w:rPr>
                <w:color w:val="000000"/>
                <w:kern w:val="0"/>
                <w:sz w:val="22"/>
                <w:szCs w:val="22"/>
              </w:rPr>
            </w:pP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8"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noWrap w:val="0"/>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产出</w:t>
            </w:r>
          </w:p>
        </w:tc>
        <w:tc>
          <w:tcPr>
            <w:tcW w:w="764"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8"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noWrap w:val="0"/>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noWrap w:val="0"/>
            <w:vAlign w:val="center"/>
          </w:tcPr>
          <w:p>
            <w:pPr>
              <w:widowControl/>
              <w:spacing w:line="0" w:lineRule="atLeast"/>
              <w:jc w:val="center"/>
              <w:rPr>
                <w:color w:val="000000"/>
                <w:kern w:val="0"/>
                <w:sz w:val="22"/>
                <w:szCs w:val="22"/>
              </w:rPr>
            </w:pPr>
          </w:p>
        </w:tc>
        <w:tc>
          <w:tcPr>
            <w:tcW w:w="764"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8"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noWrap w:val="0"/>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noWrap w:val="0"/>
            <w:vAlign w:val="center"/>
          </w:tcPr>
          <w:p>
            <w:pPr>
              <w:spacing w:line="0" w:lineRule="atLeast"/>
              <w:jc w:val="center"/>
              <w:rPr>
                <w:color w:val="000000"/>
                <w:kern w:val="0"/>
                <w:sz w:val="22"/>
                <w:szCs w:val="22"/>
              </w:rPr>
            </w:pPr>
          </w:p>
        </w:tc>
        <w:tc>
          <w:tcPr>
            <w:tcW w:w="764" w:type="dxa"/>
            <w:shd w:val="clear" w:color="auto" w:fill="FFFFFF"/>
            <w:noWrap w:val="0"/>
            <w:vAlign w:val="center"/>
          </w:tcPr>
          <w:p>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8"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noWrap w:val="0"/>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noWrap w:val="0"/>
            <w:vAlign w:val="center"/>
          </w:tcPr>
          <w:p>
            <w:pPr>
              <w:widowControl/>
              <w:spacing w:line="0" w:lineRule="atLeast"/>
              <w:jc w:val="center"/>
              <w:rPr>
                <w:color w:val="000000"/>
                <w:kern w:val="0"/>
                <w:sz w:val="22"/>
                <w:szCs w:val="22"/>
              </w:rPr>
            </w:pPr>
          </w:p>
        </w:tc>
        <w:tc>
          <w:tcPr>
            <w:tcW w:w="764"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8"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noWrap w:val="0"/>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效益　</w:t>
            </w:r>
          </w:p>
        </w:tc>
        <w:tc>
          <w:tcPr>
            <w:tcW w:w="764"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noWrap w:val="0"/>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198"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noWrap w:val="0"/>
            <w:vAlign w:val="center"/>
          </w:tcPr>
          <w:p>
            <w:pPr>
              <w:widowControl/>
              <w:spacing w:line="0" w:lineRule="atLeast"/>
              <w:jc w:val="center"/>
              <w:rPr>
                <w:color w:val="000000"/>
                <w:kern w:val="0"/>
                <w:sz w:val="22"/>
                <w:szCs w:val="22"/>
              </w:rPr>
            </w:pPr>
          </w:p>
        </w:tc>
        <w:tc>
          <w:tcPr>
            <w:tcW w:w="764" w:type="dxa"/>
            <w:vMerge w:val="continue"/>
            <w:shd w:val="clear" w:color="auto" w:fill="FFFFFF"/>
            <w:noWrap w:val="0"/>
            <w:vAlign w:val="center"/>
          </w:tcPr>
          <w:p>
            <w:pPr>
              <w:widowControl/>
              <w:spacing w:line="0" w:lineRule="atLeast"/>
              <w:jc w:val="center"/>
              <w:rPr>
                <w:color w:val="000000"/>
                <w:kern w:val="0"/>
                <w:sz w:val="22"/>
                <w:szCs w:val="22"/>
              </w:rPr>
            </w:pPr>
          </w:p>
        </w:tc>
        <w:tc>
          <w:tcPr>
            <w:tcW w:w="873"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8" w:type="dxa"/>
            <w:shd w:val="clear" w:color="000000" w:fill="FFFFFF"/>
            <w:noWrap w:val="0"/>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noWrap w:val="0"/>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noWrap w:val="0"/>
            <w:vAlign w:val="center"/>
          </w:tcPr>
          <w:p>
            <w:pPr>
              <w:widowControl/>
              <w:spacing w:line="0" w:lineRule="atLeast"/>
              <w:jc w:val="center"/>
              <w:rPr>
                <w:rFonts w:hint="default"/>
                <w:b/>
                <w:bCs/>
                <w:color w:val="000000"/>
                <w:kern w:val="0"/>
                <w:sz w:val="22"/>
                <w:szCs w:val="22"/>
                <w:lang w:val="en-US" w:eastAsia="zh-CN"/>
              </w:rPr>
            </w:pPr>
            <w:r>
              <w:rPr>
                <w:rFonts w:hint="eastAsia"/>
                <w:b/>
                <w:bCs/>
                <w:color w:val="000000"/>
                <w:kern w:val="0"/>
                <w:sz w:val="22"/>
                <w:szCs w:val="22"/>
                <w:lang w:val="en-US" w:eastAsia="zh-CN"/>
              </w:rPr>
              <w:t>10</w:t>
            </w:r>
          </w:p>
        </w:tc>
      </w:tr>
    </w:tbl>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村（社区）支出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836</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836</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836</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836</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aps w:val="0"/>
                <w:color w:val="333333"/>
                <w:spacing w:val="0"/>
                <w:kern w:val="0"/>
                <w:sz w:val="21"/>
                <w:szCs w:val="21"/>
                <w:shd w:val="clear" w:color="auto" w:fill="FFFFFF"/>
                <w:lang w:val="en-US" w:eastAsia="zh-CN" w:bidi="ar"/>
              </w:rPr>
              <w:t>按季度拨付76个村运转经费，确保村（社区）基层组织坚持党建引领，抓实抓细重点任务，有序推进各项工作，实现有钱办事、有人干事，提升服务群众的能力和水平，发挥基层组织在落实党的治疆方略中的重要作用，加速推进乡村治理体系和乡村治理能力。</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宋体" w:hAnsi="宋体" w:eastAsia="宋体" w:cs="宋体"/>
                <w:i w:val="0"/>
                <w:caps w:val="0"/>
                <w:color w:val="333333"/>
                <w:spacing w:val="0"/>
                <w:kern w:val="0"/>
                <w:sz w:val="21"/>
                <w:szCs w:val="21"/>
                <w:shd w:val="clear" w:color="auto" w:fill="FFFFFF"/>
                <w:lang w:val="en-US" w:eastAsia="zh-CN" w:bidi="ar"/>
              </w:rPr>
              <w:t>2024年度村（社区）支出项目总体目标顺利完成，取得了显著成效。提升了村（社区）建设与服务水平，为村民创造了更加美好的生活环境。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拨付村级运转经费数量</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ascii="宋体" w:hAnsi="宋体" w:eastAsia="宋体" w:cs="宋体"/>
                <w:color w:val="333333"/>
                <w:kern w:val="0"/>
                <w:sz w:val="24"/>
                <w:szCs w:val="24"/>
                <w:lang w:val="en-US" w:eastAsia="zh-CN" w:bidi="ar"/>
              </w:rPr>
              <w:t>&gt;=</w:t>
            </w:r>
            <w:r>
              <w:rPr>
                <w:rFonts w:hint="eastAsia" w:ascii="仿宋_GB2312" w:hAnsi="仿宋_GB2312" w:eastAsia="仿宋_GB2312" w:cs="仿宋_GB2312"/>
                <w:i w:val="0"/>
                <w:iCs w:val="0"/>
                <w:color w:val="000000"/>
                <w:kern w:val="0"/>
                <w:sz w:val="18"/>
                <w:szCs w:val="18"/>
                <w:u w:val="none"/>
                <w:lang w:val="en-US" w:eastAsia="zh-CN" w:bidi="ar"/>
              </w:rPr>
              <w:t>76个</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村（社区）数量</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76个</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76个</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拨付次数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ascii="宋体" w:hAnsi="宋体" w:eastAsia="宋体" w:cs="宋体"/>
                <w:color w:val="333333"/>
                <w:kern w:val="0"/>
                <w:sz w:val="24"/>
                <w:szCs w:val="24"/>
                <w:lang w:val="en-US" w:eastAsia="zh-CN" w:bidi="ar"/>
              </w:rPr>
              <w:t>=</w:t>
            </w:r>
            <w:r>
              <w:rPr>
                <w:rFonts w:hint="eastAsia" w:ascii="仿宋_GB2312" w:hAnsi="仿宋_GB2312" w:eastAsia="仿宋_GB2312" w:cs="仿宋_GB2312"/>
                <w:i w:val="0"/>
                <w:iCs w:val="0"/>
                <w:color w:val="000000"/>
                <w:kern w:val="0"/>
                <w:sz w:val="18"/>
                <w:szCs w:val="18"/>
                <w:u w:val="none"/>
                <w:lang w:val="en-US" w:eastAsia="zh-CN" w:bidi="ar"/>
              </w:rPr>
              <w:t>4次</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按季度拨付</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4次</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4次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拨付资金准确率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ascii="宋体" w:hAnsi="宋体" w:eastAsia="宋体" w:cs="宋体"/>
                <w:color w:val="333333"/>
                <w:kern w:val="0"/>
                <w:sz w:val="24"/>
                <w:szCs w:val="24"/>
                <w:lang w:val="en-US" w:eastAsia="zh-CN" w:bidi="ar"/>
              </w:rPr>
              <w:t>=</w:t>
            </w:r>
            <w:r>
              <w:rPr>
                <w:rFonts w:hint="eastAsia" w:ascii="仿宋_GB2312" w:hAnsi="仿宋_GB2312" w:eastAsia="仿宋_GB2312" w:cs="仿宋_GB2312"/>
                <w:i w:val="0"/>
                <w:iCs w:val="0"/>
                <w:color w:val="000000"/>
                <w:sz w:val="18"/>
                <w:szCs w:val="18"/>
                <w:u w:val="none"/>
                <w:lang w:val="en-US" w:eastAsia="zh-CN"/>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按预算执行标准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209万元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拨付资金及时性</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及时拨付资金</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原始凭证</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lang w:eastAsia="zh-CN"/>
              </w:rPr>
            </w:pPr>
            <w:r>
              <w:rPr>
                <w:rFonts w:hint="eastAsia" w:ascii="仿宋_GB2312" w:hAnsi="仿宋_GB2312" w:eastAsia="仿宋_GB2312" w:cs="仿宋_GB2312"/>
                <w:b/>
                <w:bCs/>
                <w:i w:val="0"/>
                <w:iCs w:val="0"/>
                <w:color w:val="000000"/>
                <w:sz w:val="18"/>
                <w:szCs w:val="18"/>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每次村级运转经费发放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ascii="宋体" w:hAnsi="宋体" w:eastAsia="宋体" w:cs="宋体"/>
                <w:color w:val="333333"/>
                <w:kern w:val="0"/>
                <w:sz w:val="24"/>
                <w:szCs w:val="24"/>
                <w:lang w:val="en-US" w:eastAsia="zh-CN" w:bidi="ar"/>
              </w:rPr>
              <w:t>&lt;=</w:t>
            </w:r>
            <w:r>
              <w:rPr>
                <w:rFonts w:hint="eastAsia" w:ascii="仿宋_GB2312" w:hAnsi="仿宋_GB2312" w:eastAsia="仿宋_GB2312" w:cs="仿宋_GB2312"/>
                <w:i w:val="0"/>
                <w:iCs w:val="0"/>
                <w:color w:val="000000"/>
                <w:sz w:val="18"/>
                <w:szCs w:val="18"/>
                <w:u w:val="none"/>
                <w:lang w:val="en-US" w:eastAsia="zh-CN"/>
              </w:rPr>
              <w:t>209万元</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预算支出标准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217.25万元</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原始凭证</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209万元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提高干部工作热情</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有所提升</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按实际效益</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有所提升</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有所提升</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干部满意度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ascii="宋体" w:hAnsi="宋体" w:eastAsia="宋体" w:cs="宋体"/>
                <w:color w:val="333333"/>
                <w:kern w:val="0"/>
                <w:sz w:val="24"/>
                <w:szCs w:val="24"/>
                <w:lang w:val="en-US" w:eastAsia="zh-CN" w:bidi="ar"/>
              </w:rPr>
              <w:t>&gt;=</w:t>
            </w:r>
            <w:r>
              <w:rPr>
                <w:rFonts w:hint="eastAsia" w:ascii="仿宋_GB2312" w:hAnsi="仿宋_GB2312" w:eastAsia="仿宋_GB2312" w:cs="仿宋_GB2312"/>
                <w:i w:val="0"/>
                <w:iCs w:val="0"/>
                <w:color w:val="000000"/>
                <w:sz w:val="18"/>
                <w:szCs w:val="18"/>
                <w:u w:val="none"/>
                <w:lang w:val="en-US" w:eastAsia="zh-CN"/>
              </w:rPr>
              <w: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干部满意度调查</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eastAsia="zh-CN"/>
              </w:rPr>
              <w:t>满意度赋分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10"/>
          <w:jc w:val="center"/>
        </w:pPr>
        <w:r>
          <w:fldChar w:fldCharType="begin"/>
        </w:r>
        <w:r>
          <w:instrText xml:space="preserve">PAGE   \* MERGEFORMAT</w:instrText>
        </w:r>
        <w:r>
          <w:fldChar w:fldCharType="separate"/>
        </w:r>
        <w:r>
          <w:rPr>
            <w:lang w:val="zh-CN"/>
          </w:rPr>
          <w:t>13</w:t>
        </w:r>
        <w:r>
          <w:fldChar w:fldCharType="end"/>
        </w:r>
      </w:p>
    </w:sdtContent>
  </w:sdt>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1F994C"/>
    <w:multiLevelType w:val="singleLevel"/>
    <w:tmpl w:val="F31F994C"/>
    <w:lvl w:ilvl="0" w:tentative="0">
      <w:start w:val="1"/>
      <w:numFmt w:val="decimal"/>
      <w:pStyle w:val="8"/>
      <w:lvlText w:val="%1."/>
      <w:lvlJc w:val="left"/>
      <w:pPr>
        <w:tabs>
          <w:tab w:val="left" w:pos="2040"/>
        </w:tabs>
        <w:ind w:left="2040" w:hanging="360"/>
      </w:pPr>
    </w:lvl>
  </w:abstractNum>
  <w:abstractNum w:abstractNumId="1">
    <w:nsid w:val="F4CD2B0F"/>
    <w:multiLevelType w:val="singleLevel"/>
    <w:tmpl w:val="F4CD2B0F"/>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100F38EC"/>
    <w:rsid w:val="11170296"/>
    <w:rsid w:val="12C66037"/>
    <w:rsid w:val="12CD1ABC"/>
    <w:rsid w:val="13471461"/>
    <w:rsid w:val="13B90F01"/>
    <w:rsid w:val="151D69F5"/>
    <w:rsid w:val="155E4C4D"/>
    <w:rsid w:val="181066D2"/>
    <w:rsid w:val="1C671E73"/>
    <w:rsid w:val="1CE5215F"/>
    <w:rsid w:val="1D322C47"/>
    <w:rsid w:val="23616034"/>
    <w:rsid w:val="23696C97"/>
    <w:rsid w:val="24480FA2"/>
    <w:rsid w:val="25227A45"/>
    <w:rsid w:val="26AC3A6A"/>
    <w:rsid w:val="29200286"/>
    <w:rsid w:val="2B9D7E25"/>
    <w:rsid w:val="2C7C7A3B"/>
    <w:rsid w:val="2DEA62E2"/>
    <w:rsid w:val="2F364819"/>
    <w:rsid w:val="2FD63906"/>
    <w:rsid w:val="315A2F70"/>
    <w:rsid w:val="34F522CE"/>
    <w:rsid w:val="35673B29"/>
    <w:rsid w:val="37215DAE"/>
    <w:rsid w:val="38CA40DD"/>
    <w:rsid w:val="395F2B56"/>
    <w:rsid w:val="3BBA0580"/>
    <w:rsid w:val="3BECE841"/>
    <w:rsid w:val="3CDE204C"/>
    <w:rsid w:val="3D363C36"/>
    <w:rsid w:val="3E9C3F6D"/>
    <w:rsid w:val="3FF07151"/>
    <w:rsid w:val="3FF7797D"/>
    <w:rsid w:val="40991705"/>
    <w:rsid w:val="440D1120"/>
    <w:rsid w:val="46690BD8"/>
    <w:rsid w:val="49F70BF1"/>
    <w:rsid w:val="4B4340EE"/>
    <w:rsid w:val="503D507A"/>
    <w:rsid w:val="51FA74D0"/>
    <w:rsid w:val="52954C28"/>
    <w:rsid w:val="52AA4A52"/>
    <w:rsid w:val="52B874E3"/>
    <w:rsid w:val="59943D66"/>
    <w:rsid w:val="59E051FD"/>
    <w:rsid w:val="59E6355E"/>
    <w:rsid w:val="5B821531"/>
    <w:rsid w:val="5BFF6039"/>
    <w:rsid w:val="5D6C7A74"/>
    <w:rsid w:val="5D76A616"/>
    <w:rsid w:val="5D7F20B9"/>
    <w:rsid w:val="5DAC7D0E"/>
    <w:rsid w:val="5F98B5AF"/>
    <w:rsid w:val="5FFE8511"/>
    <w:rsid w:val="5FFEACE2"/>
    <w:rsid w:val="609D5BF6"/>
    <w:rsid w:val="61073070"/>
    <w:rsid w:val="61B9080E"/>
    <w:rsid w:val="61DF3FED"/>
    <w:rsid w:val="642B176B"/>
    <w:rsid w:val="643EE26D"/>
    <w:rsid w:val="656019A0"/>
    <w:rsid w:val="65BB09B7"/>
    <w:rsid w:val="65F242EE"/>
    <w:rsid w:val="666D7E19"/>
    <w:rsid w:val="68376930"/>
    <w:rsid w:val="68F91E38"/>
    <w:rsid w:val="6B3158B9"/>
    <w:rsid w:val="6BA02A3F"/>
    <w:rsid w:val="6C1E5A53"/>
    <w:rsid w:val="6E617274"/>
    <w:rsid w:val="6F5C41AC"/>
    <w:rsid w:val="6FAF6C78"/>
    <w:rsid w:val="6FFE2587"/>
    <w:rsid w:val="716167CC"/>
    <w:rsid w:val="718A7AD1"/>
    <w:rsid w:val="72A44BC2"/>
    <w:rsid w:val="7317C656"/>
    <w:rsid w:val="734ED73F"/>
    <w:rsid w:val="73C82B32"/>
    <w:rsid w:val="73F94DAE"/>
    <w:rsid w:val="74220495"/>
    <w:rsid w:val="747D1B6F"/>
    <w:rsid w:val="749E5641"/>
    <w:rsid w:val="76271066"/>
    <w:rsid w:val="77FD8BE9"/>
    <w:rsid w:val="78000AED"/>
    <w:rsid w:val="78B06BB4"/>
    <w:rsid w:val="79A9BD3F"/>
    <w:rsid w:val="79BE72A0"/>
    <w:rsid w:val="7B776F12"/>
    <w:rsid w:val="7BFFFDD0"/>
    <w:rsid w:val="7C336E5F"/>
    <w:rsid w:val="7C8D4919"/>
    <w:rsid w:val="7D7A5F86"/>
    <w:rsid w:val="7E2441F4"/>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5"/>
    <w:qFormat/>
    <w:uiPriority w:val="0"/>
    <w:pPr>
      <w:jc w:val="left"/>
    </w:pPr>
  </w:style>
  <w:style w:type="paragraph" w:styleId="4">
    <w:name w:val="Body Text"/>
    <w:basedOn w:val="1"/>
    <w:qFormat/>
    <w:uiPriority w:val="0"/>
    <w:pPr>
      <w:spacing w:after="120"/>
    </w:pPr>
  </w:style>
  <w:style w:type="paragraph" w:styleId="5">
    <w:name w:val="Body Text Indent"/>
    <w:basedOn w:val="1"/>
    <w:next w:val="6"/>
    <w:qFormat/>
    <w:uiPriority w:val="0"/>
    <w:pPr>
      <w:spacing w:after="120"/>
      <w:ind w:left="420" w:leftChars="200"/>
    </w:pPr>
    <w:rPr>
      <w:rFonts w:ascii="Calibri" w:hAnsi="Calibri"/>
    </w:rPr>
  </w:style>
  <w:style w:type="paragraph" w:styleId="6">
    <w:name w:val="envelope return"/>
    <w:basedOn w:val="1"/>
    <w:qFormat/>
    <w:uiPriority w:val="0"/>
    <w:pPr>
      <w:snapToGrid w:val="0"/>
    </w:pPr>
    <w:rPr>
      <w:rFonts w:ascii="Arial" w:hAnsi="Arial"/>
    </w:rPr>
  </w:style>
  <w:style w:type="paragraph" w:styleId="7">
    <w:name w:val="Plain Text"/>
    <w:basedOn w:val="1"/>
    <w:next w:val="8"/>
    <w:qFormat/>
    <w:uiPriority w:val="0"/>
    <w:rPr>
      <w:rFonts w:ascii="宋体" w:hAnsi="Courier New" w:eastAsia="宋体" w:cs="Courier New"/>
      <w:szCs w:val="21"/>
    </w:rPr>
  </w:style>
  <w:style w:type="paragraph" w:styleId="8">
    <w:name w:val="List Number 5"/>
    <w:basedOn w:val="1"/>
    <w:qFormat/>
    <w:uiPriority w:val="0"/>
    <w:pPr>
      <w:numPr>
        <w:ilvl w:val="0"/>
        <w:numId w:val="1"/>
      </w:numPr>
    </w:pPr>
  </w:style>
  <w:style w:type="paragraph" w:styleId="9">
    <w:name w:val="Balloon Text"/>
    <w:basedOn w:val="1"/>
    <w:link w:val="23"/>
    <w:qFormat/>
    <w:uiPriority w:val="0"/>
    <w:rPr>
      <w:sz w:val="18"/>
      <w:szCs w:val="18"/>
    </w:rPr>
  </w:style>
  <w:style w:type="paragraph" w:styleId="10">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1">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4">
    <w:name w:val="annotation subject"/>
    <w:basedOn w:val="3"/>
    <w:next w:val="3"/>
    <w:link w:val="26"/>
    <w:qFormat/>
    <w:uiPriority w:val="0"/>
    <w:rPr>
      <w:b/>
      <w:bCs/>
    </w:rPr>
  </w:style>
  <w:style w:type="paragraph" w:styleId="15">
    <w:name w:val="Body Text First Indent"/>
    <w:basedOn w:val="4"/>
    <w:qFormat/>
    <w:uiPriority w:val="0"/>
    <w:pPr>
      <w:spacing w:after="0"/>
      <w:ind w:firstLine="200" w:firstLineChars="200"/>
    </w:pPr>
  </w:style>
  <w:style w:type="paragraph" w:styleId="16">
    <w:name w:val="Body Text First Indent 2"/>
    <w:basedOn w:val="5"/>
    <w:next w:val="7"/>
    <w:qFormat/>
    <w:uiPriority w:val="0"/>
    <w:pPr>
      <w:ind w:firstLine="420" w:firstLineChars="200"/>
    </w:pPr>
  </w:style>
  <w:style w:type="character" w:styleId="19">
    <w:name w:val="Strong"/>
    <w:basedOn w:val="18"/>
    <w:qFormat/>
    <w:uiPriority w:val="0"/>
    <w:rPr>
      <w:b/>
      <w:bCs/>
    </w:rPr>
  </w:style>
  <w:style w:type="character" w:styleId="20">
    <w:name w:val="annotation reference"/>
    <w:basedOn w:val="18"/>
    <w:qFormat/>
    <w:uiPriority w:val="0"/>
    <w:rPr>
      <w:sz w:val="21"/>
      <w:szCs w:val="21"/>
    </w:rPr>
  </w:style>
  <w:style w:type="character" w:customStyle="1" w:styleId="21">
    <w:name w:val="fontstyle01"/>
    <w:qFormat/>
    <w:uiPriority w:val="0"/>
    <w:rPr>
      <w:rFonts w:ascii="仿宋_GB2312" w:hAnsi="仿宋_GB2312" w:eastAsia="仿宋_GB2312" w:cs="仿宋_GB2312"/>
      <w:color w:val="000000"/>
      <w:sz w:val="32"/>
      <w:szCs w:val="32"/>
    </w:rPr>
  </w:style>
  <w:style w:type="paragraph" w:customStyle="1" w:styleId="22">
    <w:name w:val="闻政-正文段落文字"/>
    <w:basedOn w:val="1"/>
    <w:qFormat/>
    <w:uiPriority w:val="3"/>
    <w:pPr>
      <w:spacing w:line="500" w:lineRule="exact"/>
      <w:ind w:firstLine="200"/>
    </w:pPr>
    <w:rPr>
      <w:kern w:val="0"/>
      <w:szCs w:val="28"/>
    </w:rPr>
  </w:style>
  <w:style w:type="character" w:customStyle="1" w:styleId="23">
    <w:name w:val="批注框文本 字符"/>
    <w:basedOn w:val="18"/>
    <w:link w:val="9"/>
    <w:qFormat/>
    <w:uiPriority w:val="0"/>
    <w:rPr>
      <w:rFonts w:ascii="Times New Roman" w:hAnsi="Times New Roman" w:eastAsia="宋体" w:cs="Times New Roman"/>
      <w:kern w:val="2"/>
      <w:sz w:val="18"/>
      <w:szCs w:val="18"/>
    </w:rPr>
  </w:style>
  <w:style w:type="character" w:customStyle="1" w:styleId="24">
    <w:name w:val="页眉 字符"/>
    <w:basedOn w:val="18"/>
    <w:link w:val="11"/>
    <w:qFormat/>
    <w:uiPriority w:val="0"/>
    <w:rPr>
      <w:rFonts w:ascii="Times New Roman" w:hAnsi="Times New Roman" w:eastAsia="宋体" w:cs="Times New Roman"/>
      <w:kern w:val="2"/>
      <w:sz w:val="18"/>
      <w:szCs w:val="18"/>
    </w:rPr>
  </w:style>
  <w:style w:type="character" w:customStyle="1" w:styleId="25">
    <w:name w:val="批注文字 字符"/>
    <w:basedOn w:val="18"/>
    <w:link w:val="3"/>
    <w:qFormat/>
    <w:uiPriority w:val="0"/>
    <w:rPr>
      <w:rFonts w:ascii="Times New Roman" w:hAnsi="Times New Roman" w:eastAsia="宋体" w:cs="Times New Roman"/>
      <w:kern w:val="2"/>
      <w:sz w:val="21"/>
      <w:szCs w:val="24"/>
    </w:rPr>
  </w:style>
  <w:style w:type="character" w:customStyle="1" w:styleId="26">
    <w:name w:val="批注主题 字符"/>
    <w:basedOn w:val="25"/>
    <w:link w:val="14"/>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12716</Words>
  <Characters>13070</Characters>
  <Lines>58</Lines>
  <Paragraphs>16</Paragraphs>
  <TotalTime>85</TotalTime>
  <ScaleCrop>false</ScaleCrop>
  <LinksUpToDate>false</LinksUpToDate>
  <CharactersWithSpaces>13087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2025-07-21T02:39:28Z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eyJoZGlkIjoiOTY3OWQ5ODRhNWU2YjMzYWUyOTE0MDNjZTg2MTUxODIiLCJ1c2VySWQiOiIzNDkzMjE3MDYifQ==</vt:lpwstr>
  </property>
</Properties>
</file>