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中共特克斯县委员会党校2024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4、负责校内日常工作，社会治安综合治理及思想政治工作。</w:t>
      </w:r>
    </w:p>
    <w:p>
      <w:pPr>
        <w:spacing w:line="580" w:lineRule="exact"/>
        <w:ind w:firstLine="640"/>
        <w:jc w:val="both"/>
      </w:pPr>
      <w:r>
        <w:rPr>
          <w:rFonts w:ascii="仿宋_GB2312" w:hAnsi="仿宋_GB2312" w:eastAsia="仿宋_GB2312"/>
          <w:sz w:val="32"/>
        </w:rPr>
        <w:t>5、负责图书管理，支持理论教学工作。</w:t>
      </w:r>
    </w:p>
    <w:p>
      <w:pPr>
        <w:spacing w:line="580" w:lineRule="exact"/>
        <w:ind w:firstLine="640"/>
        <w:jc w:val="both"/>
      </w:pPr>
      <w:r>
        <w:rPr>
          <w:rFonts w:ascii="仿宋_GB2312" w:hAnsi="仿宋_GB2312" w:eastAsia="仿宋_GB2312"/>
          <w:sz w:val="32"/>
        </w:rPr>
        <w:t>6、完成县委交办的其他工作。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中共特克斯县委员会党校2024年度，实有人数36人，其中：在职人员17人，增加0人；离休人员0人，增加0人；退休人员19人,增加1人。</w:t>
      </w:r>
    </w:p>
    <w:p>
      <w:pPr>
        <w:spacing w:line="580" w:lineRule="exact"/>
        <w:ind w:firstLine="640"/>
        <w:jc w:val="both"/>
      </w:pPr>
      <w:r>
        <w:rPr>
          <w:rFonts w:ascii="仿宋_GB2312" w:hAnsi="仿宋_GB2312" w:eastAsia="仿宋_GB2312"/>
          <w:sz w:val="32"/>
        </w:rPr>
        <w:t>单位无下属预算单位，下设2个科室，分别是：办公室、教务处。。</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2024年度收入总计412.56万元，</w:t>
      </w:r>
      <w:r>
        <w:rPr>
          <w:rFonts w:ascii="仿宋_GB2312" w:hAnsi="仿宋_GB2312" w:eastAsia="仿宋_GB2312"/>
          <w:b w:val="0"/>
          <w:sz w:val="32"/>
        </w:rPr>
        <w:t>其中：本年收入合计412.56万元，使用非财政拨款结余（含专用结余）0.00万元，年初结转和结余0.00万元。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2024年度支出总计412.56万元，</w:t>
      </w:r>
      <w:r>
        <w:rPr>
          <w:rFonts w:ascii="仿宋_GB2312" w:hAnsi="仿宋_GB2312" w:eastAsia="仿宋_GB2312"/>
          <w:b w:val="0"/>
          <w:sz w:val="32"/>
        </w:rPr>
        <w:t>其中：本年支出合计412.56万元，结余分配0.00万元，年末结转和结余0.00万元。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增加30.82万元，增长8.07%，主要原因是：1.本年在职人员工资调增，社保、公积金基数调增，人员经费增加。2.本年在职人员增加1人，在职人员工资调增、社保、公积金基数调增，人员经费增加。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本年收入412.56万元，</w:t>
      </w:r>
      <w:r>
        <w:rPr>
          <w:rFonts w:ascii="仿宋_GB2312" w:hAnsi="仿宋_GB2312" w:eastAsia="仿宋_GB2312"/>
          <w:b w:val="0"/>
          <w:sz w:val="32"/>
        </w:rPr>
        <w:t>其中：财政拨款收入331.41万元，占80.33%；上级补助收入0.00万元，占0.00%；事业收入0.00万元，占0.00%；经营收入0.00万元，占0.00%；附属单位上缴收入0.00万元，占0.00%；其他收入81.15万元，占19.67%。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本年支出412.56万元，</w:t>
      </w:r>
      <w:r>
        <w:rPr>
          <w:rFonts w:ascii="仿宋_GB2312" w:hAnsi="仿宋_GB2312" w:eastAsia="仿宋_GB2312"/>
          <w:b w:val="0"/>
          <w:sz w:val="32"/>
        </w:rPr>
        <w:t>其中：基本支出382.56万元，占92.73%；项目支出30.00万元，占7.27%；上缴上级支出0.00万元，占0.00%；经营支出0.00万元，占0.00%；对附属单位补助支出0.00万元，占0.00%。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2024年度财政拨款收入总计331.41万元，</w:t>
      </w:r>
      <w:r>
        <w:rPr>
          <w:rFonts w:ascii="仿宋_GB2312" w:hAnsi="仿宋_GB2312" w:eastAsia="仿宋_GB2312"/>
          <w:b w:val="0"/>
          <w:sz w:val="32"/>
        </w:rPr>
        <w:t>其中：年初财政拨款结转和结余0.00万元，本年财政拨款收入331.41万元。</w:t>
      </w:r>
      <w:r>
        <w:rPr>
          <w:rFonts w:ascii="仿宋_GB2312" w:hAnsi="仿宋_GB2312" w:eastAsia="仿宋_GB2312"/>
          <w:b/>
          <w:sz w:val="32"/>
        </w:rPr>
        <w:t>财政拨款支出总计331.41万元，</w:t>
      </w:r>
      <w:r>
        <w:rPr>
          <w:rFonts w:ascii="仿宋_GB2312" w:hAnsi="仿宋_GB2312" w:eastAsia="仿宋_GB2312"/>
          <w:b w:val="0"/>
          <w:sz w:val="32"/>
        </w:rPr>
        <w:t>其中：年末财政拨款结转和结余0.00万元，本年财政拨款支出331.41万元。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增加35.53万元，增长12.01%，主要原因是：1.本年在职人员工资调增，社保、公积金基数调增，人员经费增加。2.本年在职人员增加1人，在职人员工资调增、社保、公积金基数调增，人员经费增加。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296.88万元，决算数331.41万元，预决算差异率11.63%，主要原因是：1.年中追加人员工资、社保、公积金基数调增部分资金，导致预决算存在差异。2.本年在职人员增加1人，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2024年度一般公共预算财政拨款支出331.41万元，</w:t>
      </w:r>
      <w:r>
        <w:rPr>
          <w:rFonts w:ascii="仿宋_GB2312" w:hAnsi="仿宋_GB2312" w:eastAsia="仿宋_GB2312"/>
          <w:b w:val="0"/>
          <w:sz w:val="32"/>
        </w:rPr>
        <w:t>占本年支出合计的80.33%。</w:t>
      </w:r>
      <w:r>
        <w:rPr>
          <w:rFonts w:ascii="仿宋_GB2312" w:hAnsi="仿宋_GB2312" w:eastAsia="仿宋_GB2312"/>
          <w:b/>
          <w:sz w:val="32"/>
        </w:rPr>
        <w:t>与上年相比，</w:t>
      </w:r>
      <w:r>
        <w:rPr>
          <w:rFonts w:ascii="仿宋_GB2312" w:hAnsi="仿宋_GB2312" w:eastAsia="仿宋_GB2312"/>
          <w:b w:val="0"/>
          <w:sz w:val="32"/>
        </w:rPr>
        <w:t>增加35.53万元，增长12.01%，主要原因是：1.本年在职人员工资调增，社保、公积金基数调增，人员经费增加。2.本年在职人员增加1人，在职人员工资调增、社保、公积金基数调增，人员经费增加。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296.88万元，决算数331.41万元，预决算差异率11.63%，主要原因是：1.年中追加人员工资、社保、公积金基数调增部分资金，导致预决算存在差异。2.本年在职人员增加1人，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1.教育支出(类)257.61万元,占77.73%。</w:t>
      </w:r>
    </w:p>
    <w:p>
      <w:pPr>
        <w:spacing w:line="580" w:lineRule="exact"/>
        <w:ind w:firstLine="640"/>
        <w:jc w:val="both"/>
      </w:pPr>
      <w:r>
        <w:rPr>
          <w:rFonts w:ascii="仿宋_GB2312" w:hAnsi="仿宋_GB2312" w:eastAsia="仿宋_GB2312"/>
          <w:b w:val="0"/>
          <w:sz w:val="32"/>
        </w:rPr>
        <w:t>2.社会保障和就业支出(类)38.53万元,占11.63%。</w:t>
      </w:r>
    </w:p>
    <w:p>
      <w:pPr>
        <w:spacing w:line="580" w:lineRule="exact"/>
        <w:ind w:firstLine="640"/>
        <w:jc w:val="both"/>
      </w:pPr>
      <w:r>
        <w:rPr>
          <w:rFonts w:ascii="仿宋_GB2312" w:hAnsi="仿宋_GB2312" w:eastAsia="仿宋_GB2312"/>
          <w:b w:val="0"/>
          <w:sz w:val="32"/>
        </w:rPr>
        <w:t>3.卫生健康支出(类)12.60万元,占3.80%。</w:t>
      </w:r>
    </w:p>
    <w:p>
      <w:pPr>
        <w:spacing w:line="580" w:lineRule="exact"/>
        <w:ind w:firstLine="640"/>
        <w:jc w:val="both"/>
      </w:pPr>
      <w:r>
        <w:rPr>
          <w:rFonts w:ascii="仿宋_GB2312" w:hAnsi="仿宋_GB2312" w:eastAsia="仿宋_GB2312"/>
          <w:b w:val="0"/>
          <w:sz w:val="32"/>
        </w:rPr>
        <w:t>4.住房保障支出(类)22.67万元,占6.84%。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1.教育支出(类)进修及培训(款)干部教育(项):支出决算数为227.61万元，比上年决算减少2.76万元，下降1.20%,主要原因是：一是本年度单位在职转退休1人，相应人员及公用经费减少；二是厉行节约，减少办公经费。</w:t>
      </w:r>
    </w:p>
    <w:p>
      <w:pPr>
        <w:spacing w:line="580" w:lineRule="exact"/>
        <w:ind w:firstLine="640"/>
        <w:jc w:val="both"/>
      </w:pPr>
      <w:r>
        <w:rPr>
          <w:rFonts w:ascii="仿宋_GB2312" w:hAnsi="仿宋_GB2312" w:eastAsia="仿宋_GB2312"/>
          <w:b w:val="0"/>
          <w:sz w:val="32"/>
        </w:rPr>
        <w:t>2.教育支出(类)进修及培训(款)其他进修及培训(项):支出决算数为30.00万元，比上年决算增加30.00万元，增长100.00%,主要原因是：本年度新增党员干部培训项目。</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29.94万元，比上年决算增加3.95万元，增长15.20%,主要原因是：（1）本年在职人员工资基数调增，养老缴费基数上涨，相应支出增加。（2）本年在职人员增加1人，养老保险缴费较上年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4.社会保障和就业支出(类)行政事业单位养老支出(款)机关事业单位职业年金缴费支出(项):支出决算数为8.59万元，比上年决算增加2.21万元，增长34.64%,主要原因是：本年新增退休人员1人，职业年金缴费支出增加。</w:t>
      </w:r>
    </w:p>
    <w:p>
      <w:pPr>
        <w:spacing w:line="580" w:lineRule="exact"/>
        <w:ind w:firstLine="640"/>
        <w:jc w:val="both"/>
      </w:pPr>
      <w:r>
        <w:rPr>
          <w:rFonts w:ascii="仿宋_GB2312" w:hAnsi="仿宋_GB2312" w:eastAsia="仿宋_GB2312"/>
          <w:b w:val="0"/>
          <w:sz w:val="32"/>
        </w:rPr>
        <w:t>5.卫生健康支出(类)行政事业单位医疗(款)行政单位医疗(项):支出决算数为12.32万元，比上年决算增加0.24万元，增长1.99%,主要原因是：（1）本年在职人员工资基数调增，医疗缴费基数上涨，相应支出增加。（2）本年在职人员增加1人，行政单位医疗支出较上年增加。</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6.卫生健康支出(类)行政事业单位医疗(款)公务员医疗补助(项):支出决算数为0.08万元，比上年决算减少0.05万元，下降38.46%,主要原因是：本年行政在职人员减少1人，公务员医疗补助较上年减少。</w:t>
      </w:r>
    </w:p>
    <w:p>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7.卫生健康支出(类)行政事业单位医疗(款)其他行政事业单位医疗支出(项):支出决算数为0.20万元，比上年决算减少0.20万元，下降50.00%,主要原因是：本年行政在职人员减少1人，行政单位医疗支出较上年减少。</w:t>
      </w:r>
    </w:p>
    <w:p>
      <w:pPr>
        <w:spacing w:line="580" w:lineRule="exact"/>
        <w:ind w:firstLine="640"/>
        <w:jc w:val="both"/>
      </w:pPr>
      <w:r>
        <w:rPr>
          <w:rFonts w:ascii="仿宋_GB2312" w:hAnsi="仿宋_GB2312" w:eastAsia="仿宋_GB2312"/>
          <w:b w:val="0"/>
          <w:sz w:val="32"/>
        </w:rPr>
        <w:t>8.住房保障支出(类)住房改革支出(款)住房公积金(项):支出决算数为22.67万元，比上年决算增加2.14万元，增长10.42%,主要原因是：（1）本年在职人员工资基数调增，公积金缴费基数上涨，相应支出增加。（2）本年在职人员增加1人，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2024年度一般公共预算财政拨款基本支出301.41万元，其中：</w:t>
      </w:r>
      <w:r>
        <w:rPr>
          <w:rFonts w:ascii="仿宋_GB2312" w:hAnsi="仿宋_GB2312" w:eastAsia="仿宋_GB2312"/>
          <w:b/>
          <w:sz w:val="32"/>
        </w:rPr>
        <w:t>人员经费298.18万元，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其他对个人和家庭的补助。</w:t>
      </w:r>
    </w:p>
    <w:p>
      <w:pPr>
        <w:spacing w:line="580" w:lineRule="exact"/>
        <w:ind w:firstLine="640"/>
        <w:jc w:val="both"/>
      </w:pPr>
      <w:r>
        <w:rPr>
          <w:rFonts w:ascii="仿宋_GB2312" w:hAnsi="仿宋_GB2312" w:eastAsia="仿宋_GB2312"/>
          <w:b/>
          <w:sz w:val="32"/>
        </w:rPr>
        <w:t>公用经费3.23万元，</w:t>
      </w:r>
      <w:r>
        <w:rPr>
          <w:rFonts w:ascii="仿宋_GB2312" w:hAnsi="仿宋_GB2312" w:eastAsia="仿宋_GB2312"/>
          <w:b w:val="0"/>
          <w:sz w:val="32"/>
        </w:rPr>
        <w:t>包括：办公费、电费、邮电费、差旅费、工会经费。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2024年度中共特克斯县委员会党校（行政单位和参照公务员法管理事业单位）机关运行经费支出3.23万元，比上年减少13.14万元，下降80.27%，主要原因是：严控经费支出，厉行节约，减少经费支出。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2024年度政府采购支出总额11.97万元，其中：政府采购货物支出4.80万元、政府采购工程支出0.00万元、政府采购服务支出7.17万元。</w:t>
      </w:r>
    </w:p>
    <w:p>
      <w:pPr>
        <w:spacing w:line="580" w:lineRule="exact"/>
        <w:ind w:firstLine="640"/>
        <w:jc w:val="both"/>
      </w:pPr>
      <w:r>
        <w:rPr>
          <w:rFonts w:ascii="仿宋_GB2312" w:hAnsi="仿宋_GB2312" w:eastAsia="仿宋_GB2312"/>
          <w:b w:val="0"/>
          <w:sz w:val="32"/>
        </w:rPr>
        <w:t>授予中小企业合同金额11.97万元，占政府采购支出总额的100.00%，其中：授予小微企业合同金额11.97万元，占政府采购支出总额的100.00%。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2,100.00平方米，价值639.77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412.56万元，实际执行总额412.56万元；预算绩效评价项目2个，全年预算数121.28万元，全年执行数111.15万元。预算绩效管理取得的成效：通过绩效评价，客观地评判项目的管理绩效，了解和掌握2024年专项资金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发现的问题及原因：总的来看，我单位预算绩效管理工作虽然取得了一些成绩，但也存在一些问题需要解决，还有一些不足之处需要完善，其中既有面上普遍存在的，也有实际工作中遇到的个性问题。一是预算绩效管理的范围有待进一步扩大。虽然我单位绩效评价工作已经开展，我单位提出明确项目绩效监控工作要求，但在进行自主绩效监控方面欠缺主动。二是评价指标体系需要进一步完善。财政支出评价项目之间差异性大，目前我单位虽然已经发布普遍适用性指标，但真正能体现项目效果的个性指标，由于设置细化量化程序不够，还不能完全满足目前工作开展需要。三是人员素质有待进一步提高。由于预算绩效管理工作开展时间较短，加上缺乏系统的培训，对预算绩效管理认识不到位、理解不充分，对预算绩效管理业务不了解、不熟悉，对工作重点把握不到位，由此造成我单位绩效管理工作一定的被动局面。下一步改进措施：1.逐步扩大绩效管理范围。加强在绩效目标管理、绩效监控、绩效评价等事前、事中、事后各阶段对项目的预算绩效管理。2.加强评价指标体系建设。一是汇总梳理以前年度制定的指标，将符合当前预算绩效管理要求和行业管理特点的个性指标汇编成库；二是组织人员搜集整理其他好的制定出台的指标，进一步充实完善个性指标库；三是建立指标更新机制，将以后年度新制定的指标及时纳入指标库，做到随时更新、完善。3.积极运用绩效评价结果。建立绩效评价结果的反馈与整改、激励与问责制度，进一步完善绩效评价结果的反馈和运用机制，按要求将绩效评价结果向社会逐步公布，进一步增强单位的责任感和紧迫感。将评价结果作为安排以后年度预算的重要依据，将一些绩效评价结果不好的项目取消，对执行不力的项目的预算要进行相应削减，切实发挥绩效评价工作的应有作用。4.加强培训和指导。采取集中学习、讲座、专题会议等方式，加大对绩效管理领导小组人员的培训力度，进一步统一认识，充实业务知识。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中共特克斯县委员会党校</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446.88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446.88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412.56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412.56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296.88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296.88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331.41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331.41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81.15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81.15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根据特克斯县县委、政府对党政干部队伍建设的要求，有计划地培训和轮训全县党员干部、村级干部、理论骨干等培训班的教学组织、教学科研和教学管理工作。学习贯彻习近平新时代中国特色社会主义思想，深入学习贯彻党的二十大精神，完整准确贯彻新时代党的治疆方略，对本县重大现实问题，开展理论研究、科研咨询。</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共举办各类培训班次25期，培训干部2500人次。其中，进修班3期，培训干部180人次；专题研讨班1期，培训干部56人次；理论研修班1期，培训人数54人次；培训班20期，培训人数2210人次。培训对象涵盖了县直机关干部、乡镇干部、村（社区）干部、企业管理人员等多个层面，实现了干部培训全覆盖，有效提升了全县干部队伍的整体素质和能力水平。</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培训班次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学员选调工作通知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培训人次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学员选调工作通知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培训人员满意度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学员选调工作通知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2024年非财政拨款资金（单位自有资金-培训费）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中共特克斯县委员会党校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中共特克斯县委员会党校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91.28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81.15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7.23</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91.28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特克斯县县委、政府对党政干部队伍建设的要求，有计划地培训和轮训全县党员干部、村级干部、理论骨干等培训班的教学组织、教学科研和教学管理工作。学习贯彻习近平新时代中国特色社会主义思想，深入学习贯彻党的二十大精神，完整准确贯彻新时代党的治疆方略，对本县重大现实问题，开展理论研究、科研咨询。</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共举办各类培训班次25期，培训干部2500人次。其中，进修班3期，培训干部180人次；专题研讨班1期，培训干部56人次；理论研修班1期，培训人数54人次；培训班20期，培训人数2210人次。培训对象涵盖了县直机关干部、乡镇干部、村（社区）干部、企业管理人员等多个层面，实现了干部培训全覆盖，有效提升了全县干部队伍的整体素质和能力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保障培训学员数（人）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培训经费保障率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培训经费保障及时率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培训经费保障到位率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推动培训工作有序进行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培训学员满意度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97.23分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特克斯县委党校整体搬迁改造维修工程项目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中共特克斯县委员会党校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中共特克斯县委员会党校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教学楼、宿舍楼改造，能有效提升党校办学条件和培训质量。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完成教学楼、宿舍楼的改造工作，达到了培训需要，提升了党校的办学条件和培训质量。</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支付特克斯县委党校整体搬迁改造维修工程项目尾款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宿舍楼整栋楼电路改造费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办公楼整栋楼电路改造费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满足培训需要，提升教学环境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培训学员及教职工满意度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