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ind w:left="-3" w:leftChars="-1" w:firstLine="0" w:firstLineChars="0"/>
        <w:jc w:val="center"/>
        <w:rPr>
          <w:rFonts w:hint="default" w:ascii="Times New Roman" w:hAnsi="Times New Roman" w:eastAsia="方正小标宋简体" w:cs="Times New Roman"/>
          <w:b/>
          <w:color w:val="auto"/>
          <w:sz w:val="44"/>
          <w:szCs w:val="44"/>
          <w:highlight w:val="none"/>
        </w:rPr>
      </w:pPr>
      <w:bookmarkStart w:id="0" w:name="_Toc453069419"/>
      <w:r>
        <w:rPr>
          <w:rFonts w:hint="default" w:ascii="Times New Roman" w:hAnsi="Times New Roman" w:eastAsia="方正小标宋简体" w:cs="Times New Roman"/>
          <w:b w:val="0"/>
          <w:bCs/>
          <w:color w:val="auto"/>
          <w:sz w:val="48"/>
          <w:szCs w:val="48"/>
          <w:highlight w:val="none"/>
          <w:lang w:eastAsia="zh-CN"/>
        </w:rPr>
        <w:t>特克斯县</w:t>
      </w:r>
      <w:r>
        <w:rPr>
          <w:rFonts w:hint="default" w:ascii="Times New Roman" w:hAnsi="Times New Roman" w:eastAsia="方正小标宋简体" w:cs="Times New Roman"/>
          <w:b w:val="0"/>
          <w:bCs/>
          <w:color w:val="auto"/>
          <w:sz w:val="48"/>
          <w:szCs w:val="48"/>
          <w:highlight w:val="none"/>
        </w:rPr>
        <w:t>落实草原生态保护补助奖励政策</w:t>
      </w:r>
    </w:p>
    <w:p>
      <w:pPr>
        <w:spacing w:line="1000" w:lineRule="exact"/>
        <w:ind w:firstLine="0" w:firstLineChars="0"/>
        <w:jc w:val="center"/>
        <w:rPr>
          <w:rFonts w:hint="default" w:ascii="Times New Roman" w:hAnsi="Times New Roman" w:eastAsia="方正小标宋简体" w:cs="Times New Roman"/>
          <w:b w:val="0"/>
          <w:bCs/>
          <w:color w:val="auto"/>
          <w:sz w:val="60"/>
          <w:szCs w:val="44"/>
          <w:highlight w:val="none"/>
        </w:rPr>
      </w:pPr>
      <w:r>
        <w:rPr>
          <w:rFonts w:hint="default" w:ascii="Times New Roman" w:hAnsi="Times New Roman" w:eastAsia="方正小标宋简体" w:cs="Times New Roman"/>
          <w:b w:val="0"/>
          <w:bCs/>
          <w:color w:val="auto"/>
          <w:sz w:val="60"/>
          <w:szCs w:val="44"/>
          <w:highlight w:val="none"/>
        </w:rPr>
        <w:t>实施方案</w:t>
      </w:r>
    </w:p>
    <w:p>
      <w:pPr>
        <w:spacing w:line="1000" w:lineRule="exact"/>
        <w:ind w:firstLine="0" w:firstLineChars="0"/>
        <w:jc w:val="center"/>
        <w:rPr>
          <w:rFonts w:hint="eastAsia" w:ascii="Times New Roman" w:hAnsi="Times New Roman" w:eastAsia="方正小标宋简体" w:cs="Times New Roman"/>
          <w:b w:val="0"/>
          <w:bCs/>
          <w:color w:val="auto"/>
          <w:sz w:val="60"/>
          <w:szCs w:val="44"/>
          <w:highlight w:val="none"/>
          <w:lang w:eastAsia="zh-CN"/>
        </w:rPr>
      </w:pPr>
      <w:r>
        <w:rPr>
          <w:rFonts w:hint="eastAsia" w:eastAsia="方正小标宋简体" w:cs="Times New Roman"/>
          <w:b w:val="0"/>
          <w:bCs/>
          <w:color w:val="auto"/>
          <w:sz w:val="60"/>
          <w:szCs w:val="44"/>
          <w:highlight w:val="none"/>
          <w:lang w:eastAsia="zh-CN"/>
        </w:rPr>
        <w:t>（征求意见稿）</w:t>
      </w:r>
    </w:p>
    <w:p>
      <w:pPr>
        <w:spacing w:line="1000" w:lineRule="exact"/>
        <w:ind w:firstLine="0" w:firstLineChars="0"/>
        <w:jc w:val="center"/>
        <w:outlineLvl w:val="0"/>
        <w:rPr>
          <w:rFonts w:hint="default" w:ascii="Times New Roman" w:hAnsi="Times New Roman" w:eastAsia="楷体_GB2312" w:cs="Times New Roman"/>
          <w:b w:val="0"/>
          <w:bCs/>
          <w:color w:val="auto"/>
          <w:sz w:val="42"/>
          <w:szCs w:val="44"/>
          <w:highlight w:val="none"/>
        </w:rPr>
      </w:pPr>
      <w:r>
        <w:rPr>
          <w:rFonts w:hint="default" w:ascii="Times New Roman" w:hAnsi="Times New Roman" w:eastAsia="楷体_GB2312" w:cs="Times New Roman"/>
          <w:b w:val="0"/>
          <w:bCs/>
          <w:color w:val="auto"/>
          <w:sz w:val="42"/>
          <w:szCs w:val="44"/>
          <w:highlight w:val="none"/>
        </w:rPr>
        <w:t>（20</w:t>
      </w:r>
      <w:r>
        <w:rPr>
          <w:rFonts w:hint="default" w:ascii="Times New Roman" w:hAnsi="Times New Roman" w:eastAsia="楷体_GB2312" w:cs="Times New Roman"/>
          <w:b w:val="0"/>
          <w:bCs/>
          <w:color w:val="auto"/>
          <w:sz w:val="42"/>
          <w:szCs w:val="44"/>
          <w:highlight w:val="none"/>
          <w:lang w:val="en-US" w:eastAsia="zh-CN"/>
        </w:rPr>
        <w:t>2</w:t>
      </w:r>
      <w:r>
        <w:rPr>
          <w:rFonts w:hint="eastAsia" w:eastAsia="楷体_GB2312" w:cs="Times New Roman"/>
          <w:b w:val="0"/>
          <w:bCs/>
          <w:color w:val="auto"/>
          <w:sz w:val="42"/>
          <w:szCs w:val="44"/>
          <w:highlight w:val="none"/>
          <w:lang w:val="en-US" w:eastAsia="zh-CN"/>
        </w:rPr>
        <w:t>4</w:t>
      </w:r>
      <w:r>
        <w:rPr>
          <w:rFonts w:hint="default" w:ascii="Times New Roman" w:hAnsi="Times New Roman" w:eastAsia="楷体_GB2312" w:cs="Times New Roman"/>
          <w:b w:val="0"/>
          <w:bCs/>
          <w:color w:val="auto"/>
          <w:sz w:val="42"/>
          <w:szCs w:val="44"/>
          <w:highlight w:val="none"/>
        </w:rPr>
        <w:t>年）</w:t>
      </w:r>
    </w:p>
    <w:p>
      <w:pPr>
        <w:spacing w:line="1000" w:lineRule="exact"/>
        <w:ind w:firstLine="1205"/>
        <w:jc w:val="center"/>
        <w:rPr>
          <w:rFonts w:hint="default" w:ascii="Times New Roman" w:hAnsi="Times New Roman" w:cs="Times New Roman"/>
          <w:b/>
          <w:color w:val="auto"/>
          <w:sz w:val="60"/>
          <w:szCs w:val="44"/>
          <w:highlight w:val="none"/>
        </w:rPr>
      </w:pPr>
    </w:p>
    <w:p>
      <w:pPr>
        <w:spacing w:line="600" w:lineRule="exact"/>
        <w:ind w:firstLine="1205"/>
        <w:jc w:val="center"/>
        <w:rPr>
          <w:rFonts w:hint="default" w:ascii="Times New Roman" w:hAnsi="Times New Roman" w:cs="Times New Roman"/>
          <w:b/>
          <w:color w:val="auto"/>
          <w:sz w:val="60"/>
          <w:szCs w:val="44"/>
          <w:highlight w:val="none"/>
        </w:rPr>
      </w:pPr>
    </w:p>
    <w:p>
      <w:pPr>
        <w:pStyle w:val="2"/>
        <w:rPr>
          <w:rFonts w:hint="default"/>
          <w:color w:val="auto"/>
          <w:highlight w:val="none"/>
        </w:rPr>
      </w:pPr>
    </w:p>
    <w:p>
      <w:pPr>
        <w:spacing w:line="600" w:lineRule="exact"/>
        <w:ind w:firstLine="1205"/>
        <w:jc w:val="center"/>
        <w:rPr>
          <w:rFonts w:hint="default" w:ascii="Times New Roman" w:hAnsi="Times New Roman" w:cs="Times New Roman"/>
          <w:b/>
          <w:color w:val="auto"/>
          <w:sz w:val="60"/>
          <w:szCs w:val="44"/>
          <w:highlight w:val="none"/>
        </w:rPr>
      </w:pPr>
    </w:p>
    <w:p>
      <w:pPr>
        <w:spacing w:line="600" w:lineRule="exact"/>
        <w:ind w:firstLine="1205"/>
        <w:jc w:val="center"/>
        <w:rPr>
          <w:rFonts w:hint="default" w:ascii="Times New Roman" w:hAnsi="Times New Roman" w:cs="Times New Roman"/>
          <w:b/>
          <w:color w:val="auto"/>
          <w:sz w:val="60"/>
          <w:szCs w:val="44"/>
          <w:highlight w:val="none"/>
        </w:rPr>
      </w:pPr>
    </w:p>
    <w:p>
      <w:pPr>
        <w:spacing w:line="600" w:lineRule="exact"/>
        <w:ind w:firstLine="1205"/>
        <w:jc w:val="center"/>
        <w:rPr>
          <w:rFonts w:hint="default" w:ascii="Times New Roman" w:hAnsi="Times New Roman" w:cs="Times New Roman"/>
          <w:b/>
          <w:color w:val="auto"/>
          <w:sz w:val="60"/>
          <w:szCs w:val="44"/>
          <w:highlight w:val="none"/>
        </w:rPr>
      </w:pPr>
    </w:p>
    <w:p>
      <w:pPr>
        <w:spacing w:line="600" w:lineRule="exact"/>
        <w:ind w:firstLine="1205"/>
        <w:jc w:val="center"/>
        <w:rPr>
          <w:rFonts w:hint="default" w:ascii="Times New Roman" w:hAnsi="Times New Roman" w:cs="Times New Roman"/>
          <w:b/>
          <w:color w:val="auto"/>
          <w:sz w:val="60"/>
          <w:szCs w:val="44"/>
          <w:highlight w:val="none"/>
        </w:rPr>
      </w:pPr>
    </w:p>
    <w:p>
      <w:pPr>
        <w:spacing w:line="600" w:lineRule="exact"/>
        <w:ind w:firstLine="1205"/>
        <w:jc w:val="center"/>
        <w:rPr>
          <w:rFonts w:hint="default" w:ascii="Times New Roman" w:hAnsi="Times New Roman" w:cs="Times New Roman"/>
          <w:b/>
          <w:color w:val="auto"/>
          <w:sz w:val="60"/>
          <w:szCs w:val="44"/>
          <w:highlight w:val="none"/>
        </w:rPr>
      </w:pPr>
    </w:p>
    <w:p>
      <w:pPr>
        <w:pStyle w:val="2"/>
        <w:rPr>
          <w:rFonts w:hint="default"/>
          <w:color w:val="auto"/>
          <w:highlight w:val="none"/>
        </w:rPr>
      </w:pPr>
    </w:p>
    <w:p>
      <w:pPr>
        <w:spacing w:line="600" w:lineRule="exact"/>
        <w:ind w:firstLine="1205"/>
        <w:jc w:val="center"/>
        <w:rPr>
          <w:rFonts w:hint="default" w:ascii="Times New Roman" w:hAnsi="Times New Roman" w:cs="Times New Roman"/>
          <w:b/>
          <w:color w:val="auto"/>
          <w:sz w:val="60"/>
          <w:szCs w:val="44"/>
          <w:highlight w:val="none"/>
        </w:rPr>
      </w:pPr>
    </w:p>
    <w:p>
      <w:pPr>
        <w:spacing w:line="600" w:lineRule="exact"/>
        <w:ind w:firstLine="0" w:firstLineChars="0"/>
        <w:rPr>
          <w:rFonts w:hint="default" w:ascii="Times New Roman" w:hAnsi="Times New Roman" w:eastAsia="楷体_GB2312" w:cs="Times New Roman"/>
          <w:b w:val="0"/>
          <w:bCs/>
          <w:color w:val="auto"/>
          <w:szCs w:val="32"/>
          <w:highlight w:val="none"/>
          <w:lang w:eastAsia="zh-CN"/>
        </w:rPr>
      </w:pPr>
      <w:r>
        <w:rPr>
          <w:rFonts w:hint="default" w:ascii="Times New Roman" w:hAnsi="Times New Roman" w:eastAsia="宋体" w:cs="Times New Roman"/>
          <w:b/>
          <w:color w:val="auto"/>
          <w:szCs w:val="32"/>
          <w:highlight w:val="none"/>
        </w:rPr>
        <w:t xml:space="preserve">          </w:t>
      </w:r>
      <w:r>
        <w:rPr>
          <w:rFonts w:hint="default" w:ascii="Times New Roman" w:hAnsi="Times New Roman" w:eastAsia="宋体" w:cs="Times New Roman"/>
          <w:b w:val="0"/>
          <w:bCs/>
          <w:color w:val="auto"/>
          <w:szCs w:val="32"/>
          <w:highlight w:val="none"/>
        </w:rPr>
        <w:t xml:space="preserve"> </w:t>
      </w:r>
      <w:r>
        <w:rPr>
          <w:rFonts w:hint="default" w:ascii="Times New Roman" w:hAnsi="Times New Roman" w:eastAsia="楷体_GB2312" w:cs="Times New Roman"/>
          <w:b w:val="0"/>
          <w:bCs/>
          <w:color w:val="auto"/>
          <w:szCs w:val="32"/>
          <w:highlight w:val="none"/>
          <w:lang w:eastAsia="zh-CN"/>
        </w:rPr>
        <w:t>特克斯县</w:t>
      </w:r>
      <w:r>
        <w:rPr>
          <w:rFonts w:hint="default" w:ascii="Times New Roman" w:hAnsi="Times New Roman" w:eastAsia="楷体_GB2312" w:cs="Times New Roman"/>
          <w:b w:val="0"/>
          <w:bCs/>
          <w:color w:val="auto"/>
          <w:szCs w:val="32"/>
          <w:highlight w:val="none"/>
        </w:rPr>
        <w:t xml:space="preserve">财政局   </w:t>
      </w:r>
      <w:r>
        <w:rPr>
          <w:rFonts w:hint="default" w:ascii="Times New Roman" w:hAnsi="Times New Roman" w:eastAsia="楷体_GB2312" w:cs="Times New Roman"/>
          <w:b w:val="0"/>
          <w:bCs/>
          <w:color w:val="auto"/>
          <w:szCs w:val="32"/>
          <w:highlight w:val="none"/>
          <w:lang w:eastAsia="zh-CN"/>
        </w:rPr>
        <w:t>特克斯县农业农村局</w:t>
      </w:r>
    </w:p>
    <w:p>
      <w:pPr>
        <w:spacing w:line="600" w:lineRule="exact"/>
        <w:ind w:firstLine="0" w:firstLineChars="0"/>
        <w:jc w:val="center"/>
        <w:rPr>
          <w:rFonts w:hint="default" w:ascii="Times New Roman" w:hAnsi="Times New Roman" w:eastAsia="楷体_GB2312" w:cs="Times New Roman"/>
          <w:b w:val="0"/>
          <w:bCs/>
          <w:color w:val="auto"/>
          <w:szCs w:val="32"/>
          <w:highlight w:val="none"/>
          <w:lang w:val="en-US" w:eastAsia="zh-CN"/>
        </w:rPr>
      </w:pPr>
      <w:r>
        <w:rPr>
          <w:rFonts w:hint="default" w:ascii="Times New Roman" w:hAnsi="Times New Roman" w:eastAsia="楷体_GB2312" w:cs="Times New Roman"/>
          <w:b w:val="0"/>
          <w:bCs/>
          <w:color w:val="auto"/>
          <w:szCs w:val="32"/>
          <w:highlight w:val="none"/>
          <w:lang w:val="en-US" w:eastAsia="zh-CN"/>
        </w:rPr>
        <w:t>特克斯县林业和草原局</w:t>
      </w:r>
    </w:p>
    <w:bookmarkEnd w:id="0"/>
    <w:p>
      <w:pPr>
        <w:spacing w:line="600" w:lineRule="exact"/>
        <w:ind w:firstLine="0" w:firstLineChars="0"/>
        <w:rPr>
          <w:rFonts w:hint="default" w:ascii="Times New Roman" w:hAnsi="Times New Roman" w:eastAsia="宋体" w:cs="Times New Roman"/>
          <w:b/>
          <w:color w:val="auto"/>
          <w:szCs w:val="32"/>
          <w:highlight w:val="none"/>
        </w:rPr>
      </w:pPr>
    </w:p>
    <w:p>
      <w:pPr>
        <w:spacing w:line="600" w:lineRule="exact"/>
        <w:ind w:firstLine="0" w:firstLineChars="0"/>
        <w:rPr>
          <w:rFonts w:hint="default" w:ascii="Times New Roman" w:hAnsi="Times New Roman" w:eastAsia="宋体" w:cs="Times New Roman"/>
          <w:b/>
          <w:color w:val="auto"/>
          <w:szCs w:val="32"/>
          <w:highlight w:val="none"/>
        </w:rPr>
        <w:sectPr>
          <w:headerReference r:id="rId3" w:type="default"/>
          <w:footerReference r:id="rId4" w:type="default"/>
          <w:pgSz w:w="11906" w:h="16838"/>
          <w:pgMar w:top="2098" w:right="1531" w:bottom="1984" w:left="1531" w:header="851" w:footer="992" w:gutter="0"/>
          <w:pgNumType w:fmt="numberInDash" w:start="3"/>
          <w:cols w:space="720" w:num="1"/>
          <w:docGrid w:type="lines" w:linePitch="435" w:charSpace="0"/>
        </w:sectPr>
      </w:pPr>
    </w:p>
    <w:sdt>
      <w:sdtPr>
        <w:rPr>
          <w:rFonts w:hint="eastAsia" w:ascii="黑体" w:hAnsi="黑体" w:eastAsia="黑体" w:cs="黑体"/>
          <w:color w:val="auto"/>
          <w:kern w:val="2"/>
          <w:sz w:val="44"/>
          <w:szCs w:val="44"/>
          <w:highlight w:val="none"/>
          <w:lang w:val="en-US" w:eastAsia="zh-CN" w:bidi="ar-SA"/>
        </w:rPr>
        <w:id w:val="147467954"/>
        <w:docPartObj>
          <w:docPartGallery w:val="Table of Contents"/>
          <w:docPartUnique/>
        </w:docPartObj>
      </w:sdtPr>
      <w:sdtEndPr>
        <w:rPr>
          <w:rFonts w:hint="eastAsia" w:ascii="仿宋_GB2312" w:hAnsi="仿宋_GB2312" w:eastAsia="仿宋_GB2312" w:cs="仿宋_GB2312"/>
          <w:b/>
          <w:bCs/>
          <w:color w:val="auto"/>
          <w:kern w:val="2"/>
          <w:sz w:val="28"/>
          <w:szCs w:val="28"/>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color w:val="auto"/>
              <w:sz w:val="44"/>
              <w:szCs w:val="44"/>
              <w:highlight w:val="none"/>
            </w:rPr>
          </w:pPr>
          <w:bookmarkStart w:id="1" w:name="_Toc10532_WPSOffice_Type2"/>
          <w:r>
            <w:rPr>
              <w:rFonts w:hint="eastAsia" w:ascii="黑体" w:hAnsi="黑体" w:eastAsia="黑体" w:cs="黑体"/>
              <w:color w:val="auto"/>
              <w:sz w:val="44"/>
              <w:szCs w:val="44"/>
              <w:highlight w:val="none"/>
            </w:rPr>
            <w:t>目</w:t>
          </w:r>
          <w:r>
            <w:rPr>
              <w:rFonts w:hint="eastAsia" w:ascii="黑体" w:hAnsi="黑体" w:eastAsia="黑体" w:cs="黑体"/>
              <w:color w:val="auto"/>
              <w:sz w:val="44"/>
              <w:szCs w:val="44"/>
              <w:highlight w:val="none"/>
              <w:lang w:val="en-US" w:eastAsia="zh-CN"/>
            </w:rPr>
            <w:t xml:space="preserve">  </w:t>
          </w:r>
          <w:r>
            <w:rPr>
              <w:rFonts w:hint="eastAsia" w:ascii="黑体" w:hAnsi="黑体" w:eastAsia="黑体" w:cs="黑体"/>
              <w:color w:val="auto"/>
              <w:sz w:val="44"/>
              <w:szCs w:val="44"/>
              <w:highlight w:val="none"/>
            </w:rPr>
            <w:t>录</w:t>
          </w:r>
        </w:p>
        <w:p>
          <w:pPr>
            <w:pStyle w:val="13"/>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_Toc2062_WPSOffice_Level1 </w:instrText>
          </w:r>
          <w:r>
            <w:rPr>
              <w:rFonts w:hint="eastAsia" w:ascii="仿宋_GB2312" w:hAnsi="仿宋_GB2312" w:eastAsia="仿宋_GB2312" w:cs="仿宋_GB2312"/>
              <w:b/>
              <w:bCs/>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14830e07-e127-4982-be17-312c1be1f351}"/>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b/>
                  <w:bCs/>
                  <w:color w:val="auto"/>
                  <w:sz w:val="28"/>
                  <w:szCs w:val="28"/>
                  <w:highlight w:val="none"/>
                </w:rPr>
                <w:t>一、总体要求与实施原则</w:t>
              </w:r>
            </w:sdtContent>
          </w:sdt>
          <w:r>
            <w:rPr>
              <w:rFonts w:hint="eastAsia" w:ascii="仿宋_GB2312" w:hAnsi="仿宋_GB2312" w:eastAsia="仿宋_GB2312" w:cs="仿宋_GB2312"/>
              <w:b/>
              <w:bCs/>
              <w:color w:val="auto"/>
              <w:sz w:val="28"/>
              <w:szCs w:val="28"/>
              <w:highlight w:val="none"/>
            </w:rPr>
            <w:tab/>
          </w:r>
          <w:r>
            <w:rPr>
              <w:rFonts w:hint="eastAsia" w:ascii="仿宋_GB2312" w:hAnsi="仿宋_GB2312" w:eastAsia="仿宋_GB2312" w:cs="仿宋_GB2312"/>
              <w:b/>
              <w:bCs/>
              <w:color w:val="auto"/>
              <w:sz w:val="28"/>
              <w:szCs w:val="28"/>
              <w:highlight w:val="none"/>
              <w:lang w:val="en-US" w:eastAsia="zh-CN"/>
            </w:rPr>
            <w:t>4</w:t>
          </w:r>
          <w:r>
            <w:rPr>
              <w:rFonts w:hint="eastAsia" w:ascii="仿宋_GB2312" w:hAnsi="仿宋_GB2312" w:eastAsia="仿宋_GB2312" w:cs="仿宋_GB2312"/>
              <w:b/>
              <w:bCs/>
              <w:color w:val="auto"/>
              <w:sz w:val="28"/>
              <w:szCs w:val="28"/>
              <w:highlight w:val="none"/>
            </w:rPr>
            <w:fldChar w:fldCharType="end"/>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_Toc10532_WPSOffice_Level2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6f7ed588-af67-48f2-b103-75c9b0b03d09}"/>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（一）总体要求</w:t>
              </w:r>
            </w:sdtContent>
          </w:sdt>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fldChar w:fldCharType="end"/>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_Toc30361_WPSOffice_Level2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c628a46e-63fd-434e-9c4c-f8d78b5f8f28}"/>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（二）实施原则</w:t>
              </w:r>
            </w:sdtContent>
          </w:sdt>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fldChar w:fldCharType="end"/>
          </w:r>
        </w:p>
        <w:p>
          <w:pPr>
            <w:pStyle w:val="13"/>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_Toc10532_WPSOffice_Level1 </w:instrText>
          </w:r>
          <w:r>
            <w:rPr>
              <w:rFonts w:hint="eastAsia" w:ascii="仿宋_GB2312" w:hAnsi="仿宋_GB2312" w:eastAsia="仿宋_GB2312" w:cs="仿宋_GB2312"/>
              <w:b/>
              <w:bCs/>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e661ba1a-acaf-40b5-9122-81850ebb215c}"/>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b/>
                  <w:bCs/>
                  <w:color w:val="auto"/>
                  <w:sz w:val="28"/>
                  <w:szCs w:val="28"/>
                  <w:highlight w:val="none"/>
                </w:rPr>
                <w:t>二、任务与目标</w:t>
              </w:r>
            </w:sdtContent>
          </w:sdt>
          <w:r>
            <w:rPr>
              <w:rFonts w:hint="eastAsia" w:ascii="仿宋_GB2312" w:hAnsi="仿宋_GB2312" w:eastAsia="仿宋_GB2312" w:cs="仿宋_GB2312"/>
              <w:b/>
              <w:bCs/>
              <w:color w:val="auto"/>
              <w:sz w:val="28"/>
              <w:szCs w:val="28"/>
              <w:highlight w:val="none"/>
            </w:rPr>
            <w:tab/>
          </w:r>
          <w:r>
            <w:rPr>
              <w:rFonts w:hint="eastAsia" w:ascii="仿宋_GB2312" w:hAnsi="仿宋_GB2312" w:eastAsia="仿宋_GB2312" w:cs="仿宋_GB2312"/>
              <w:b/>
              <w:bCs/>
              <w:color w:val="auto"/>
              <w:sz w:val="28"/>
              <w:szCs w:val="28"/>
              <w:highlight w:val="none"/>
              <w:lang w:val="en-US" w:eastAsia="zh-CN"/>
            </w:rPr>
            <w:t>6</w:t>
          </w:r>
          <w:r>
            <w:rPr>
              <w:rFonts w:hint="eastAsia" w:ascii="仿宋_GB2312" w:hAnsi="仿宋_GB2312" w:eastAsia="仿宋_GB2312" w:cs="仿宋_GB2312"/>
              <w:b/>
              <w:bCs/>
              <w:color w:val="auto"/>
              <w:sz w:val="28"/>
              <w:szCs w:val="28"/>
              <w:highlight w:val="none"/>
            </w:rPr>
            <w:fldChar w:fldCharType="end"/>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_Toc27905_WPSOffice_Level2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88436cc7-3883-4c48-b89c-60b4d9c847e0}"/>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（一）任务</w:t>
              </w:r>
            </w:sdtContent>
          </w:sdt>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rPr>
            <w:fldChar w:fldCharType="end"/>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_Toc30822_WPSOffice_Level2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939736d3-9838-4472-846e-5b43faacced4}"/>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（二）目标</w:t>
              </w:r>
            </w:sdtContent>
          </w:sdt>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rPr>
            <w:fldChar w:fldCharType="end"/>
          </w:r>
        </w:p>
        <w:p>
          <w:pPr>
            <w:pStyle w:val="13"/>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_Toc30361_WPSOffice_Level1 </w:instrText>
          </w:r>
          <w:r>
            <w:rPr>
              <w:rFonts w:hint="eastAsia" w:ascii="仿宋_GB2312" w:hAnsi="仿宋_GB2312" w:eastAsia="仿宋_GB2312" w:cs="仿宋_GB2312"/>
              <w:b/>
              <w:bCs/>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632c0c90-4c38-49ca-a52d-3fe29bb9d2d6}"/>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b/>
                  <w:bCs/>
                  <w:color w:val="auto"/>
                  <w:sz w:val="28"/>
                  <w:szCs w:val="28"/>
                  <w:highlight w:val="none"/>
                </w:rPr>
                <w:t>三、责任主体和工作流程</w:t>
              </w:r>
            </w:sdtContent>
          </w:sdt>
          <w:r>
            <w:rPr>
              <w:rFonts w:hint="eastAsia" w:ascii="仿宋_GB2312" w:hAnsi="仿宋_GB2312" w:eastAsia="仿宋_GB2312" w:cs="仿宋_GB2312"/>
              <w:b/>
              <w:bCs/>
              <w:color w:val="auto"/>
              <w:sz w:val="28"/>
              <w:szCs w:val="28"/>
              <w:highlight w:val="none"/>
            </w:rPr>
            <w:tab/>
          </w:r>
          <w:r>
            <w:rPr>
              <w:rFonts w:hint="eastAsia" w:ascii="仿宋_GB2312" w:hAnsi="仿宋_GB2312" w:eastAsia="仿宋_GB2312" w:cs="仿宋_GB2312"/>
              <w:b/>
              <w:bCs/>
              <w:color w:val="auto"/>
              <w:sz w:val="28"/>
              <w:szCs w:val="28"/>
              <w:highlight w:val="none"/>
              <w:lang w:val="en-US" w:eastAsia="zh-CN"/>
            </w:rPr>
            <w:t>7</w:t>
          </w:r>
          <w:r>
            <w:rPr>
              <w:rFonts w:hint="eastAsia" w:ascii="仿宋_GB2312" w:hAnsi="仿宋_GB2312" w:eastAsia="仿宋_GB2312" w:cs="仿宋_GB2312"/>
              <w:b/>
              <w:bCs/>
              <w:color w:val="auto"/>
              <w:sz w:val="28"/>
              <w:szCs w:val="28"/>
              <w:highlight w:val="none"/>
            </w:rPr>
            <w:fldChar w:fldCharType="end"/>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_Toc10635_WPSOffice_Level2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78443cad-c007-4b62-9784-960174ce9025}"/>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（一）责任主体</w:t>
              </w:r>
            </w:sdtContent>
          </w:sdt>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8</w:t>
          </w:r>
          <w:r>
            <w:rPr>
              <w:rFonts w:hint="eastAsia" w:ascii="仿宋_GB2312" w:hAnsi="仿宋_GB2312" w:eastAsia="仿宋_GB2312" w:cs="仿宋_GB2312"/>
              <w:color w:val="auto"/>
              <w:sz w:val="28"/>
              <w:szCs w:val="28"/>
              <w:highlight w:val="none"/>
            </w:rPr>
            <w:fldChar w:fldCharType="end"/>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_Toc32396_WPSOffice_Level2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7e11425e-d95b-44e3-b128-011063c86e8f}"/>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（二）工作流程</w:t>
              </w:r>
            </w:sdtContent>
          </w:sdt>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8</w:t>
          </w:r>
          <w:r>
            <w:rPr>
              <w:rFonts w:hint="eastAsia" w:ascii="仿宋_GB2312" w:hAnsi="仿宋_GB2312" w:eastAsia="仿宋_GB2312" w:cs="仿宋_GB2312"/>
              <w:color w:val="auto"/>
              <w:sz w:val="28"/>
              <w:szCs w:val="28"/>
              <w:highlight w:val="none"/>
            </w:rPr>
            <w:fldChar w:fldCharType="end"/>
          </w:r>
        </w:p>
        <w:p>
          <w:pPr>
            <w:pStyle w:val="13"/>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_Toc27905_WPSOffice_Level1 </w:instrText>
          </w:r>
          <w:r>
            <w:rPr>
              <w:rFonts w:hint="eastAsia" w:ascii="仿宋_GB2312" w:hAnsi="仿宋_GB2312" w:eastAsia="仿宋_GB2312" w:cs="仿宋_GB2312"/>
              <w:b/>
              <w:bCs/>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cafa8b3f-2a60-4245-91cd-efbc7f0b8425}"/>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b/>
                  <w:bCs/>
                  <w:color w:val="auto"/>
                  <w:sz w:val="28"/>
                  <w:szCs w:val="28"/>
                  <w:highlight w:val="none"/>
                </w:rPr>
                <w:t>四、工作方案</w:t>
              </w:r>
            </w:sdtContent>
          </w:sdt>
          <w:r>
            <w:rPr>
              <w:rFonts w:hint="eastAsia" w:ascii="仿宋_GB2312" w:hAnsi="仿宋_GB2312" w:eastAsia="仿宋_GB2312" w:cs="仿宋_GB2312"/>
              <w:b/>
              <w:bCs/>
              <w:color w:val="auto"/>
              <w:sz w:val="28"/>
              <w:szCs w:val="28"/>
              <w:highlight w:val="none"/>
            </w:rPr>
            <w:tab/>
          </w:r>
          <w:r>
            <w:rPr>
              <w:rFonts w:hint="eastAsia" w:ascii="仿宋_GB2312" w:hAnsi="仿宋_GB2312" w:eastAsia="仿宋_GB2312" w:cs="仿宋_GB2312"/>
              <w:b/>
              <w:bCs/>
              <w:color w:val="auto"/>
              <w:sz w:val="28"/>
              <w:szCs w:val="28"/>
              <w:highlight w:val="none"/>
              <w:lang w:val="en-US" w:eastAsia="zh-CN"/>
            </w:rPr>
            <w:t>9</w:t>
          </w:r>
          <w:r>
            <w:rPr>
              <w:rFonts w:hint="eastAsia" w:ascii="仿宋_GB2312" w:hAnsi="仿宋_GB2312" w:eastAsia="仿宋_GB2312" w:cs="仿宋_GB2312"/>
              <w:b/>
              <w:bCs/>
              <w:color w:val="auto"/>
              <w:sz w:val="28"/>
              <w:szCs w:val="28"/>
              <w:highlight w:val="none"/>
            </w:rPr>
            <w:fldChar w:fldCharType="end"/>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_Toc24302_WPSOffice_Level2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ae74d8e1-6010-42ed-8e32-63dfe3af16d6}"/>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（一）禁牧方案</w:t>
              </w:r>
            </w:sdtContent>
          </w:sdt>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9</w:t>
          </w:r>
          <w:r>
            <w:rPr>
              <w:rFonts w:hint="eastAsia" w:ascii="仿宋_GB2312" w:hAnsi="仿宋_GB2312" w:eastAsia="仿宋_GB2312" w:cs="仿宋_GB2312"/>
              <w:color w:val="auto"/>
              <w:sz w:val="28"/>
              <w:szCs w:val="28"/>
              <w:highlight w:val="none"/>
            </w:rPr>
            <w:fldChar w:fldCharType="end"/>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_Toc5512_WPSOffice_Level2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81fe6ab6-9468-4e41-8cb0-ce0708125a1d}"/>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（二）草畜平衡管理方案</w:t>
              </w:r>
            </w:sdtContent>
          </w:sdt>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fldChar w:fldCharType="end"/>
          </w:r>
          <w:r>
            <w:rPr>
              <w:rFonts w:hint="eastAsia" w:ascii="仿宋_GB2312" w:hAnsi="仿宋_GB2312" w:eastAsia="仿宋_GB2312" w:cs="仿宋_GB2312"/>
              <w:color w:val="auto"/>
              <w:sz w:val="28"/>
              <w:szCs w:val="28"/>
              <w:highlight w:val="none"/>
              <w:lang w:val="en-US" w:eastAsia="zh-CN"/>
            </w:rPr>
            <w:t>1</w:t>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_Toc18597_WPSOffice_Level2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f197d9d5-5213-4633-91c8-6fb8f0aa8603}"/>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（三）补助奖励资金管理方案</w:t>
              </w:r>
            </w:sdtContent>
          </w:sdt>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fldChar w:fldCharType="end"/>
          </w:r>
          <w:r>
            <w:rPr>
              <w:rFonts w:hint="eastAsia" w:ascii="仿宋_GB2312" w:hAnsi="仿宋_GB2312" w:eastAsia="仿宋_GB2312" w:cs="仿宋_GB2312"/>
              <w:color w:val="auto"/>
              <w:sz w:val="28"/>
              <w:szCs w:val="28"/>
              <w:highlight w:val="none"/>
              <w:lang w:val="en-US" w:eastAsia="zh-CN"/>
            </w:rPr>
            <w:t>3</w:t>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_Toc20480_WPSOffice_Level2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22339228-2ef8-44be-9829-fbd9e91e4c7b}"/>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（四）绩效考核方案</w:t>
              </w:r>
            </w:sdtContent>
          </w:sdt>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fldChar w:fldCharType="end"/>
          </w:r>
          <w:r>
            <w:rPr>
              <w:rFonts w:hint="eastAsia" w:ascii="仿宋_GB2312" w:hAnsi="仿宋_GB2312" w:eastAsia="仿宋_GB2312" w:cs="仿宋_GB2312"/>
              <w:color w:val="auto"/>
              <w:sz w:val="28"/>
              <w:szCs w:val="28"/>
              <w:highlight w:val="none"/>
              <w:lang w:val="en-US" w:eastAsia="zh-CN"/>
            </w:rPr>
            <w:t>3</w:t>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_Toc10125_WPSOffice_Level2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6ed3f8df-0976-43f0-8966-414892c7da32}"/>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（五）草地生产力监测方案</w:t>
              </w:r>
            </w:sdtContent>
          </w:sdt>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fldChar w:fldCharType="end"/>
          </w:r>
          <w:r>
            <w:rPr>
              <w:rFonts w:hint="eastAsia" w:ascii="仿宋_GB2312" w:hAnsi="仿宋_GB2312" w:eastAsia="仿宋_GB2312" w:cs="仿宋_GB2312"/>
              <w:color w:val="auto"/>
              <w:sz w:val="28"/>
              <w:szCs w:val="28"/>
              <w:highlight w:val="none"/>
              <w:lang w:val="en-US" w:eastAsia="zh-CN"/>
            </w:rPr>
            <w:t>3</w:t>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_Toc10488_WPSOffice_Level2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145990f1-64e2-4dcf-8ebc-02bad4acd581}"/>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（六）补助奖励资金发放对象约束方案</w:t>
              </w:r>
            </w:sdtContent>
          </w:sdt>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fldChar w:fldCharType="end"/>
          </w:r>
          <w:r>
            <w:rPr>
              <w:rFonts w:hint="eastAsia" w:ascii="仿宋_GB2312" w:hAnsi="仿宋_GB2312" w:eastAsia="仿宋_GB2312" w:cs="仿宋_GB2312"/>
              <w:color w:val="auto"/>
              <w:sz w:val="28"/>
              <w:szCs w:val="28"/>
              <w:highlight w:val="none"/>
              <w:lang w:val="en-US" w:eastAsia="zh-CN"/>
            </w:rPr>
            <w:t>4</w:t>
          </w:r>
        </w:p>
        <w:p>
          <w:pPr>
            <w:pStyle w:val="13"/>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_Toc30822_WPSOffice_Level1 </w:instrText>
          </w:r>
          <w:r>
            <w:rPr>
              <w:rFonts w:hint="eastAsia" w:ascii="仿宋_GB2312" w:hAnsi="仿宋_GB2312" w:eastAsia="仿宋_GB2312" w:cs="仿宋_GB2312"/>
              <w:b/>
              <w:bCs/>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c4fdb95f-4d70-4c90-92c6-295444a5cb3a}"/>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b/>
                  <w:bCs/>
                  <w:color w:val="auto"/>
                  <w:sz w:val="28"/>
                  <w:szCs w:val="28"/>
                  <w:highlight w:val="none"/>
                </w:rPr>
                <w:t>五、保障措施</w:t>
              </w:r>
            </w:sdtContent>
          </w:sdt>
          <w:r>
            <w:rPr>
              <w:rFonts w:hint="eastAsia" w:ascii="仿宋_GB2312" w:hAnsi="仿宋_GB2312" w:eastAsia="仿宋_GB2312" w:cs="仿宋_GB2312"/>
              <w:b/>
              <w:bCs/>
              <w:color w:val="auto"/>
              <w:sz w:val="28"/>
              <w:szCs w:val="28"/>
              <w:highlight w:val="none"/>
            </w:rPr>
            <w:tab/>
          </w:r>
          <w:r>
            <w:rPr>
              <w:rFonts w:hint="eastAsia" w:ascii="仿宋_GB2312" w:hAnsi="仿宋_GB2312" w:eastAsia="仿宋_GB2312" w:cs="仿宋_GB2312"/>
              <w:b/>
              <w:bCs/>
              <w:color w:val="auto"/>
              <w:sz w:val="28"/>
              <w:szCs w:val="28"/>
              <w:highlight w:val="none"/>
              <w:lang w:val="en-US" w:eastAsia="zh-CN"/>
            </w:rPr>
            <w:t>1</w:t>
          </w:r>
          <w:r>
            <w:rPr>
              <w:rFonts w:hint="eastAsia" w:ascii="仿宋_GB2312" w:hAnsi="仿宋_GB2312" w:eastAsia="仿宋_GB2312" w:cs="仿宋_GB2312"/>
              <w:b/>
              <w:bCs/>
              <w:color w:val="auto"/>
              <w:sz w:val="28"/>
              <w:szCs w:val="28"/>
              <w:highlight w:val="none"/>
            </w:rPr>
            <w:fldChar w:fldCharType="end"/>
          </w:r>
          <w:r>
            <w:rPr>
              <w:rFonts w:hint="eastAsia" w:ascii="仿宋_GB2312" w:hAnsi="仿宋_GB2312" w:eastAsia="仿宋_GB2312" w:cs="仿宋_GB2312"/>
              <w:b/>
              <w:bCs/>
              <w:color w:val="auto"/>
              <w:sz w:val="28"/>
              <w:szCs w:val="28"/>
              <w:highlight w:val="none"/>
              <w:lang w:val="en-US" w:eastAsia="zh-CN"/>
            </w:rPr>
            <w:t>5</w:t>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_Toc22963_WPSOffice_Level2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ca8381b7-8eab-46a4-ac85-7a5b4c002443}"/>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（一）加强领导，明确职责</w:t>
              </w:r>
            </w:sdtContent>
          </w:sdt>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fldChar w:fldCharType="end"/>
          </w:r>
          <w:r>
            <w:rPr>
              <w:rFonts w:hint="eastAsia" w:ascii="仿宋_GB2312" w:hAnsi="仿宋_GB2312" w:eastAsia="仿宋_GB2312" w:cs="仿宋_GB2312"/>
              <w:color w:val="auto"/>
              <w:sz w:val="28"/>
              <w:szCs w:val="28"/>
              <w:highlight w:val="none"/>
              <w:lang w:val="en-US" w:eastAsia="zh-CN"/>
            </w:rPr>
            <w:t>6</w:t>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_Toc257_WPSOffice_Level2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dc6de940-fdc7-442a-a693-8c535f13837f}"/>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（二）加大宣传，正确引导</w:t>
              </w:r>
            </w:sdtContent>
          </w:sdt>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fldChar w:fldCharType="end"/>
          </w:r>
          <w:r>
            <w:rPr>
              <w:rFonts w:hint="eastAsia" w:ascii="仿宋_GB2312" w:hAnsi="仿宋_GB2312" w:eastAsia="仿宋_GB2312" w:cs="仿宋_GB2312"/>
              <w:color w:val="auto"/>
              <w:sz w:val="28"/>
              <w:szCs w:val="28"/>
              <w:highlight w:val="none"/>
              <w:lang w:val="en-US" w:eastAsia="zh-CN"/>
            </w:rPr>
            <w:t>6</w:t>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_Toc5452_WPSOffice_Level2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57c8a965-744d-40ef-8904-c9872af79ca6}"/>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（三）加强监督，抓好落实</w:t>
              </w:r>
            </w:sdtContent>
          </w:sdt>
          <w:r>
            <w:rPr>
              <w:rFonts w:hint="eastAsia" w:ascii="仿宋_GB2312" w:hAnsi="仿宋_GB2312" w:eastAsia="仿宋_GB2312" w:cs="仿宋_GB2312"/>
              <w:color w:val="auto"/>
              <w:sz w:val="28"/>
              <w:szCs w:val="28"/>
              <w:highlight w:val="none"/>
            </w:rPr>
            <w:tab/>
          </w:r>
          <w:bookmarkStart w:id="2" w:name="_Toc5452_WPSOffice_Level2Page"/>
          <w:r>
            <w:rPr>
              <w:rFonts w:hint="eastAsia" w:ascii="仿宋_GB2312" w:hAnsi="仿宋_GB2312" w:eastAsia="仿宋_GB2312" w:cs="仿宋_GB2312"/>
              <w:color w:val="auto"/>
              <w:sz w:val="28"/>
              <w:szCs w:val="28"/>
              <w:highlight w:val="none"/>
            </w:rPr>
            <w:t>1</w:t>
          </w:r>
          <w:bookmarkEnd w:id="2"/>
          <w:r>
            <w:rPr>
              <w:rFonts w:hint="eastAsia" w:ascii="仿宋_GB2312" w:hAnsi="仿宋_GB2312" w:eastAsia="仿宋_GB2312" w:cs="仿宋_GB2312"/>
              <w:color w:val="auto"/>
              <w:sz w:val="28"/>
              <w:szCs w:val="28"/>
              <w:highlight w:val="none"/>
            </w:rPr>
            <w:fldChar w:fldCharType="end"/>
          </w:r>
          <w:r>
            <w:rPr>
              <w:rFonts w:hint="eastAsia" w:ascii="仿宋_GB2312" w:hAnsi="仿宋_GB2312" w:eastAsia="仿宋_GB2312" w:cs="仿宋_GB2312"/>
              <w:color w:val="auto"/>
              <w:sz w:val="28"/>
              <w:szCs w:val="28"/>
              <w:highlight w:val="none"/>
              <w:lang w:val="en-US" w:eastAsia="zh-CN"/>
            </w:rPr>
            <w:t>7</w:t>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_Toc21943_WPSOffice_Level2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d31e5e88-14b2-4593-9109-21bf3782cc45}"/>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（四）草原生态保护补助奖励政策资金发放方案</w:t>
              </w:r>
            </w:sdtContent>
          </w:sdt>
          <w:r>
            <w:rPr>
              <w:rFonts w:hint="eastAsia" w:ascii="仿宋_GB2312" w:hAnsi="仿宋_GB2312" w:eastAsia="仿宋_GB2312" w:cs="仿宋_GB2312"/>
              <w:color w:val="auto"/>
              <w:sz w:val="28"/>
              <w:szCs w:val="28"/>
              <w:highlight w:val="none"/>
            </w:rPr>
            <w:tab/>
          </w:r>
          <w:bookmarkStart w:id="3" w:name="_Toc21943_WPSOffice_Level2Page"/>
          <w:r>
            <w:rPr>
              <w:rFonts w:hint="eastAsia" w:ascii="仿宋_GB2312" w:hAnsi="仿宋_GB2312" w:eastAsia="仿宋_GB2312" w:cs="仿宋_GB2312"/>
              <w:color w:val="auto"/>
              <w:sz w:val="28"/>
              <w:szCs w:val="28"/>
              <w:highlight w:val="none"/>
            </w:rPr>
            <w:t>1</w:t>
          </w:r>
          <w:bookmarkEnd w:id="3"/>
          <w:r>
            <w:rPr>
              <w:rFonts w:hint="eastAsia" w:ascii="仿宋_GB2312" w:hAnsi="仿宋_GB2312" w:eastAsia="仿宋_GB2312" w:cs="仿宋_GB2312"/>
              <w:color w:val="auto"/>
              <w:sz w:val="28"/>
              <w:szCs w:val="28"/>
              <w:highlight w:val="none"/>
            </w:rPr>
            <w:fldChar w:fldCharType="end"/>
          </w:r>
          <w:r>
            <w:rPr>
              <w:rFonts w:hint="eastAsia" w:ascii="仿宋_GB2312" w:hAnsi="仿宋_GB2312" w:eastAsia="仿宋_GB2312" w:cs="仿宋_GB2312"/>
              <w:color w:val="auto"/>
              <w:sz w:val="28"/>
              <w:szCs w:val="28"/>
              <w:highlight w:val="none"/>
              <w:lang w:val="en-US" w:eastAsia="zh-CN"/>
            </w:rPr>
            <w:t>7</w:t>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_Toc2239_WPSOffice_Level2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f78df3ec-df6a-441a-b195-75836aa89a54}"/>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（五）建立健全全民参与社会监督机制</w:t>
              </w:r>
            </w:sdtContent>
          </w:sdt>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fldChar w:fldCharType="end"/>
          </w:r>
          <w:r>
            <w:rPr>
              <w:rFonts w:hint="eastAsia" w:ascii="仿宋_GB2312" w:hAnsi="仿宋_GB2312" w:eastAsia="仿宋_GB2312" w:cs="仿宋_GB2312"/>
              <w:color w:val="auto"/>
              <w:sz w:val="28"/>
              <w:szCs w:val="28"/>
              <w:highlight w:val="none"/>
              <w:lang w:val="en-US" w:eastAsia="zh-CN"/>
            </w:rPr>
            <w:t>8</w:t>
          </w:r>
        </w:p>
        <w:p>
          <w:pPr>
            <w:pStyle w:val="14"/>
            <w:pageBreakBefore w:val="0"/>
            <w:tabs>
              <w:tab w:val="right" w:leader="dot" w:pos="9412"/>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_Toc3648_WPSOffice_Level2 </w:instrText>
          </w:r>
          <w:r>
            <w:rPr>
              <w:rFonts w:hint="eastAsia" w:ascii="仿宋_GB2312" w:hAnsi="仿宋_GB2312" w:eastAsia="仿宋_GB2312" w:cs="仿宋_GB2312"/>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2147bac1-0398-4371-9345-69c9aed594d5}"/>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color w:val="auto"/>
                  <w:sz w:val="28"/>
                  <w:szCs w:val="28"/>
                  <w:highlight w:val="none"/>
                </w:rPr>
                <w:t>（六）加强草原执法，有效实施补助奖励政策</w:t>
              </w:r>
            </w:sdtContent>
          </w:sdt>
          <w:r>
            <w:rPr>
              <w:rFonts w:hint="eastAsia" w:ascii="仿宋_GB2312" w:hAnsi="仿宋_GB2312" w:eastAsia="仿宋_GB2312" w:cs="仿宋_GB2312"/>
              <w:color w:val="auto"/>
              <w:sz w:val="28"/>
              <w:szCs w:val="28"/>
              <w:highlight w:val="none"/>
            </w:rPr>
            <w:tab/>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fldChar w:fldCharType="end"/>
          </w:r>
          <w:r>
            <w:rPr>
              <w:rFonts w:hint="eastAsia" w:ascii="仿宋_GB2312" w:hAnsi="仿宋_GB2312" w:eastAsia="仿宋_GB2312" w:cs="仿宋_GB2312"/>
              <w:color w:val="auto"/>
              <w:sz w:val="28"/>
              <w:szCs w:val="28"/>
              <w:highlight w:val="none"/>
              <w:lang w:val="en-US" w:eastAsia="zh-CN"/>
            </w:rPr>
            <w:t>8</w:t>
          </w:r>
        </w:p>
        <w:p>
          <w:pPr>
            <w:pStyle w:val="13"/>
            <w:pageBreakBefore w:val="0"/>
            <w:tabs>
              <w:tab w:val="right" w:leader="dot" w:pos="9412"/>
            </w:tabs>
            <w:kinsoku/>
            <w:wordWrap/>
            <w:overflowPunct/>
            <w:topLinePunct w:val="0"/>
            <w:autoSpaceDE/>
            <w:autoSpaceDN/>
            <w:bidi w:val="0"/>
            <w:adjustRightInd/>
            <w:snapToGrid/>
            <w:spacing w:line="500" w:lineRule="exact"/>
            <w:textAlignment w:val="auto"/>
            <w:rPr>
              <w:rFonts w:hint="default" w:ascii="Times New Roman" w:hAnsi="Times New Roman" w:cs="Times New Roman"/>
              <w:color w:val="auto"/>
              <w:highlight w:val="none"/>
              <w:lang w:eastAsia="zh-CN"/>
            </w:rPr>
          </w:pPr>
          <w:r>
            <w:rPr>
              <w:rFonts w:hint="eastAsia" w:ascii="仿宋_GB2312" w:hAnsi="仿宋_GB2312" w:eastAsia="仿宋_GB2312" w:cs="仿宋_GB2312"/>
              <w:b/>
              <w:bCs/>
              <w:color w:val="auto"/>
              <w:sz w:val="28"/>
              <w:szCs w:val="28"/>
              <w:highlight w:val="none"/>
            </w:rPr>
            <w:fldChar w:fldCharType="begin"/>
          </w:r>
          <w:r>
            <w:rPr>
              <w:rFonts w:hint="eastAsia" w:ascii="仿宋_GB2312" w:hAnsi="仿宋_GB2312" w:eastAsia="仿宋_GB2312" w:cs="仿宋_GB2312"/>
              <w:color w:val="auto"/>
              <w:sz w:val="28"/>
              <w:szCs w:val="28"/>
              <w:highlight w:val="none"/>
            </w:rPr>
            <w:instrText xml:space="preserve"> HYPERLINK \l _Toc10635_WPSOffice_Level1 </w:instrText>
          </w:r>
          <w:r>
            <w:rPr>
              <w:rFonts w:hint="eastAsia" w:ascii="仿宋_GB2312" w:hAnsi="仿宋_GB2312" w:eastAsia="仿宋_GB2312" w:cs="仿宋_GB2312"/>
              <w:b/>
              <w:bCs/>
              <w:color w:val="auto"/>
              <w:sz w:val="28"/>
              <w:szCs w:val="28"/>
              <w:highlight w:val="none"/>
            </w:rPr>
            <w:fldChar w:fldCharType="separate"/>
          </w:r>
          <w:sdt>
            <w:sdtPr>
              <w:rPr>
                <w:rFonts w:hint="eastAsia" w:ascii="仿宋_GB2312" w:hAnsi="仿宋_GB2312" w:eastAsia="仿宋_GB2312" w:cs="仿宋_GB2312"/>
                <w:b/>
                <w:bCs/>
                <w:color w:val="auto"/>
                <w:kern w:val="44"/>
                <w:sz w:val="28"/>
                <w:szCs w:val="28"/>
                <w:highlight w:val="none"/>
                <w:lang w:val="en-US" w:eastAsia="en-US" w:bidi="he-IL"/>
              </w:rPr>
              <w:id w:val="147467954"/>
              <w:placeholder>
                <w:docPart w:val="{f99294ba-9055-4146-8176-ea6483851ed1}"/>
              </w:placeholder>
            </w:sdtPr>
            <w:sdtEndPr>
              <w:rPr>
                <w:rFonts w:hint="eastAsia" w:ascii="仿宋_GB2312" w:hAnsi="仿宋_GB2312" w:eastAsia="仿宋_GB2312" w:cs="仿宋_GB2312"/>
                <w:b/>
                <w:bCs/>
                <w:color w:val="auto"/>
                <w:kern w:val="44"/>
                <w:sz w:val="28"/>
                <w:szCs w:val="28"/>
                <w:highlight w:val="none"/>
                <w:lang w:val="en-US" w:eastAsia="en-US" w:bidi="he-IL"/>
              </w:rPr>
            </w:sdtEndPr>
            <w:sdtContent>
              <w:r>
                <w:rPr>
                  <w:rFonts w:hint="eastAsia" w:ascii="仿宋_GB2312" w:hAnsi="仿宋_GB2312" w:eastAsia="仿宋_GB2312" w:cs="仿宋_GB2312"/>
                  <w:b/>
                  <w:bCs/>
                  <w:color w:val="auto"/>
                  <w:sz w:val="28"/>
                  <w:szCs w:val="28"/>
                  <w:highlight w:val="none"/>
                </w:rPr>
                <w:t>六、禁牧区示意图</w:t>
              </w:r>
            </w:sdtContent>
          </w:sdt>
          <w:r>
            <w:rPr>
              <w:rFonts w:hint="eastAsia" w:ascii="仿宋_GB2312" w:hAnsi="仿宋_GB2312" w:eastAsia="仿宋_GB2312" w:cs="仿宋_GB2312"/>
              <w:b/>
              <w:bCs/>
              <w:color w:val="auto"/>
              <w:sz w:val="28"/>
              <w:szCs w:val="28"/>
              <w:highlight w:val="none"/>
            </w:rPr>
            <w:tab/>
          </w:r>
          <w:r>
            <w:rPr>
              <w:rFonts w:hint="eastAsia" w:ascii="仿宋_GB2312" w:hAnsi="仿宋_GB2312" w:eastAsia="仿宋_GB2312" w:cs="仿宋_GB2312"/>
              <w:b/>
              <w:bCs/>
              <w:color w:val="auto"/>
              <w:sz w:val="28"/>
              <w:szCs w:val="28"/>
              <w:highlight w:val="none"/>
              <w:lang w:val="en-US" w:eastAsia="zh-CN"/>
            </w:rPr>
            <w:t>1</w:t>
          </w:r>
          <w:r>
            <w:rPr>
              <w:rFonts w:hint="eastAsia" w:ascii="仿宋_GB2312" w:hAnsi="仿宋_GB2312" w:eastAsia="仿宋_GB2312" w:cs="仿宋_GB2312"/>
              <w:b/>
              <w:bCs/>
              <w:color w:val="auto"/>
              <w:sz w:val="28"/>
              <w:szCs w:val="28"/>
              <w:highlight w:val="none"/>
            </w:rPr>
            <w:fldChar w:fldCharType="end"/>
          </w:r>
          <w:bookmarkEnd w:id="1"/>
          <w:bookmarkStart w:id="4" w:name="_Toc453069421"/>
          <w:bookmarkStart w:id="5" w:name="_Toc351539891"/>
          <w:r>
            <w:rPr>
              <w:rFonts w:hint="eastAsia" w:ascii="仿宋_GB2312" w:hAnsi="仿宋_GB2312" w:eastAsia="仿宋_GB2312" w:cs="仿宋_GB2312"/>
              <w:b/>
              <w:bCs/>
              <w:color w:val="auto"/>
              <w:sz w:val="28"/>
              <w:szCs w:val="28"/>
              <w:highlight w:val="none"/>
              <w:lang w:val="en-US" w:eastAsia="zh-CN"/>
            </w:rPr>
            <w:t>9</w:t>
          </w:r>
        </w:p>
      </w:sdtContent>
    </w:sdt>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根据财政部农业农村部国家林草局《关于印发&lt;第三轮草原生态保护补助奖励政策实时指导意见&gt;的通知》（财农〔2021〕82 号）</w:t>
      </w:r>
      <w:r>
        <w:rPr>
          <w:rFonts w:hint="eastAsia" w:ascii="仿宋_GB2312" w:hAnsi="仿宋_GB2312" w:cs="仿宋_GB2312"/>
          <w:color w:val="auto"/>
          <w:sz w:val="32"/>
          <w:szCs w:val="32"/>
          <w:highlight w:val="none"/>
          <w:lang w:val="en-US" w:eastAsia="zh-CN"/>
        </w:rPr>
        <w:t>根据自治区财政厅、农业农村厅、林业和草原局《关上于报新疆维吾尔自治区落实第三轮草原生态保护补助奖励政策实施方案（2021-2025年）补充说明的请示》（新财农</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202</w:t>
      </w:r>
      <w:r>
        <w:rPr>
          <w:rFonts w:hint="eastAsia" w:ascii="仿宋_GB2312" w:hAnsi="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w:t>
      </w:r>
      <w:r>
        <w:rPr>
          <w:rFonts w:hint="eastAsia" w:ascii="仿宋_GB2312" w:hAnsi="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号</w:t>
      </w:r>
      <w:r>
        <w:rPr>
          <w:rFonts w:hint="eastAsia" w:ascii="仿宋_GB2312" w:hAnsi="仿宋_GB2312" w:cs="仿宋_GB2312"/>
          <w:color w:val="auto"/>
          <w:sz w:val="32"/>
          <w:szCs w:val="32"/>
          <w:highlight w:val="none"/>
          <w:lang w:val="en-US" w:eastAsia="zh-CN"/>
        </w:rPr>
        <w:t>），州畜牧兽医局下发了《关于做好草原生态保护补助奖励政策面积调整后资金发放工作的通知》（伊州牧发</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202</w:t>
      </w:r>
      <w:r>
        <w:rPr>
          <w:rFonts w:hint="eastAsia" w:ascii="仿宋_GB2312" w:hAnsi="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w:t>
      </w:r>
      <w:r>
        <w:rPr>
          <w:rFonts w:hint="eastAsia" w:ascii="仿宋_GB2312" w:hAnsi="仿宋_GB2312" w:cs="仿宋_GB2312"/>
          <w:color w:val="auto"/>
          <w:sz w:val="32"/>
          <w:szCs w:val="32"/>
          <w:highlight w:val="none"/>
          <w:lang w:val="en-US" w:eastAsia="zh-CN"/>
        </w:rPr>
        <w:t>56</w:t>
      </w:r>
      <w:r>
        <w:rPr>
          <w:rFonts w:hint="eastAsia" w:ascii="仿宋_GB2312" w:hAnsi="仿宋_GB2312" w:eastAsia="仿宋_GB2312" w:cs="仿宋_GB2312"/>
          <w:color w:val="auto"/>
          <w:sz w:val="32"/>
          <w:szCs w:val="32"/>
          <w:highlight w:val="none"/>
        </w:rPr>
        <w:t>号</w:t>
      </w:r>
      <w:r>
        <w:rPr>
          <w:rFonts w:hint="eastAsia" w:ascii="仿宋_GB2312" w:hAnsi="仿宋_GB2312" w:cs="仿宋_GB2312"/>
          <w:color w:val="auto"/>
          <w:sz w:val="32"/>
          <w:szCs w:val="32"/>
          <w:highlight w:val="none"/>
          <w:lang w:eastAsia="zh-CN"/>
        </w:rPr>
        <w:t>）文件</w:t>
      </w:r>
      <w:r>
        <w:rPr>
          <w:rFonts w:hint="default" w:ascii="Times New Roman" w:hAnsi="Times New Roman" w:eastAsia="仿宋_GB2312" w:cs="Times New Roman"/>
          <w:color w:val="auto"/>
          <w:sz w:val="32"/>
          <w:szCs w:val="32"/>
          <w:highlight w:val="none"/>
          <w:lang w:val="en-US" w:eastAsia="zh-CN"/>
        </w:rPr>
        <w:t>要求，特克斯县农业农村局、财政局、林业和草原局、畜牧兽医发展中心联合制定本实施方案，具体如下</w:t>
      </w:r>
      <w:r>
        <w:rPr>
          <w:rFonts w:hint="eastAsia" w:cs="Times New Roman"/>
          <w:color w:val="auto"/>
          <w:sz w:val="32"/>
          <w:szCs w:val="32"/>
          <w:highlight w:val="none"/>
          <w:lang w:val="en-US" w:eastAsia="zh-CN"/>
        </w:rPr>
        <w:t>：</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textAlignment w:val="auto"/>
        <w:rPr>
          <w:rFonts w:hint="default" w:ascii="Times New Roman" w:hAnsi="Times New Roman" w:eastAsia="黑体" w:cs="Times New Roman"/>
          <w:b w:val="0"/>
          <w:bCs w:val="0"/>
          <w:color w:val="auto"/>
          <w:sz w:val="32"/>
          <w:szCs w:val="32"/>
          <w:highlight w:val="none"/>
          <w:lang w:val="en-US" w:eastAsia="zh-CN"/>
        </w:rPr>
      </w:pPr>
      <w:bookmarkStart w:id="6" w:name="_Toc2062_WPSOffice_Level1"/>
      <w:r>
        <w:rPr>
          <w:rFonts w:hint="default" w:ascii="Times New Roman" w:hAnsi="Times New Roman" w:eastAsia="黑体" w:cs="Times New Roman"/>
          <w:b w:val="0"/>
          <w:bCs w:val="0"/>
          <w:color w:val="auto"/>
          <w:sz w:val="32"/>
          <w:szCs w:val="32"/>
          <w:highlight w:val="none"/>
          <w:lang w:val="en-US" w:eastAsia="zh-CN"/>
        </w:rPr>
        <w:t>一、总体要求与实施原则</w:t>
      </w:r>
      <w:bookmarkEnd w:id="6"/>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textAlignment w:val="auto"/>
        <w:rPr>
          <w:rFonts w:hint="default" w:ascii="Times New Roman" w:hAnsi="Times New Roman" w:eastAsia="楷体_GB2312" w:cs="Times New Roman"/>
          <w:b w:val="0"/>
          <w:bCs w:val="0"/>
          <w:color w:val="auto"/>
          <w:sz w:val="32"/>
          <w:szCs w:val="32"/>
          <w:highlight w:val="none"/>
          <w:lang w:val="en-US" w:eastAsia="zh-CN"/>
        </w:rPr>
      </w:pPr>
      <w:bookmarkStart w:id="7" w:name="_Toc10532_WPSOffice_Level2"/>
      <w:r>
        <w:rPr>
          <w:rFonts w:hint="default" w:ascii="Times New Roman" w:hAnsi="Times New Roman" w:eastAsia="楷体_GB2312" w:cs="Times New Roman"/>
          <w:b w:val="0"/>
          <w:bCs w:val="0"/>
          <w:color w:val="auto"/>
          <w:sz w:val="32"/>
          <w:szCs w:val="32"/>
          <w:highlight w:val="none"/>
          <w:lang w:val="en-US" w:eastAsia="zh-CN"/>
        </w:rPr>
        <w:t>（一）总体</w:t>
      </w:r>
      <w:bookmarkEnd w:id="4"/>
      <w:bookmarkEnd w:id="5"/>
      <w:r>
        <w:rPr>
          <w:rFonts w:hint="default" w:ascii="Times New Roman" w:hAnsi="Times New Roman" w:eastAsia="楷体_GB2312" w:cs="Times New Roman"/>
          <w:b w:val="0"/>
          <w:bCs w:val="0"/>
          <w:color w:val="auto"/>
          <w:sz w:val="32"/>
          <w:szCs w:val="32"/>
          <w:highlight w:val="none"/>
          <w:lang w:val="en-US" w:eastAsia="zh-CN"/>
        </w:rPr>
        <w:t>要求</w:t>
      </w:r>
      <w:bookmarkEnd w:id="7"/>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坚持以习近平新时代中国特色社会主义思想为指导，完整准确贯彻新</w:t>
      </w:r>
      <w:r>
        <w:rPr>
          <w:rFonts w:hint="default" w:ascii="Times New Roman" w:hAnsi="Times New Roman" w:eastAsia="仿宋_GB2312" w:cs="Times New Roman"/>
          <w:b w:val="0"/>
          <w:bCs w:val="0"/>
          <w:color w:val="auto"/>
          <w:kern w:val="0"/>
          <w:sz w:val="32"/>
          <w:szCs w:val="32"/>
          <w:highlight w:val="none"/>
          <w:lang w:val="en-US" w:eastAsia="zh-CN"/>
        </w:rPr>
        <w:t>时代党的治疆方略，深入贯彻“创新、协调、绿色、开放、共享”新发展理念，以草原保护与生态恢复为目标，以民生改善为根本，巩固拓展脱贫攻坚成果与乡村振兴有效衔接，统筹推进草原生态保护、农牧民生活改善、草牧业生产转型和可持续发展，实现牧区生产生活生态互促共赢。</w:t>
      </w:r>
    </w:p>
    <w:p>
      <w:pPr>
        <w:keepNext w:val="0"/>
        <w:keepLines w:val="0"/>
        <w:pageBreakBefore w:val="0"/>
        <w:kinsoku/>
        <w:wordWrap/>
        <w:overflowPunct/>
        <w:topLinePunct w:val="0"/>
        <w:autoSpaceDE w:val="0"/>
        <w:autoSpaceDN w:val="0"/>
        <w:bidi w:val="0"/>
        <w:adjustRightInd w:val="0"/>
        <w:snapToGrid/>
        <w:spacing w:line="560" w:lineRule="exact"/>
        <w:ind w:left="0" w:leftChars="0" w:firstLine="640" w:firstLineChars="200"/>
        <w:textAlignment w:val="auto"/>
        <w:rPr>
          <w:rFonts w:hint="default" w:ascii="Times New Roman" w:hAnsi="Times New Roman" w:eastAsia="楷体_GB2312" w:cs="Times New Roman"/>
          <w:b w:val="0"/>
          <w:bCs w:val="0"/>
          <w:color w:val="auto"/>
          <w:sz w:val="32"/>
          <w:szCs w:val="32"/>
          <w:highlight w:val="none"/>
          <w:lang w:val="en-US" w:eastAsia="zh-CN"/>
        </w:rPr>
      </w:pPr>
      <w:bookmarkStart w:id="8" w:name="_Toc453069422"/>
      <w:bookmarkStart w:id="9" w:name="_Toc351539892"/>
      <w:bookmarkStart w:id="10" w:name="_Toc30361_WPSOffice_Level2"/>
      <w:r>
        <w:rPr>
          <w:rFonts w:hint="default" w:ascii="Times New Roman" w:hAnsi="Times New Roman" w:eastAsia="楷体_GB2312" w:cs="Times New Roman"/>
          <w:b w:val="0"/>
          <w:bCs w:val="0"/>
          <w:color w:val="auto"/>
          <w:sz w:val="32"/>
          <w:szCs w:val="32"/>
          <w:highlight w:val="none"/>
          <w:lang w:val="en-US" w:eastAsia="zh-CN"/>
        </w:rPr>
        <w:t>（</w:t>
      </w:r>
      <w:bookmarkEnd w:id="8"/>
      <w:bookmarkEnd w:id="9"/>
      <w:r>
        <w:rPr>
          <w:rFonts w:hint="default" w:ascii="Times New Roman" w:hAnsi="Times New Roman" w:eastAsia="楷体_GB2312" w:cs="Times New Roman"/>
          <w:b w:val="0"/>
          <w:bCs w:val="0"/>
          <w:color w:val="auto"/>
          <w:sz w:val="32"/>
          <w:szCs w:val="32"/>
          <w:highlight w:val="none"/>
          <w:lang w:val="en-US" w:eastAsia="zh-CN"/>
        </w:rPr>
        <w:t>二）实施原则</w:t>
      </w:r>
      <w:bookmarkEnd w:id="10"/>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rPr>
      </w:pPr>
      <w:r>
        <w:rPr>
          <w:rFonts w:hint="default" w:ascii="Times New Roman" w:hAnsi="Times New Roman" w:eastAsia="仿宋_GB2312" w:cs="Times New Roman"/>
          <w:b w:val="0"/>
          <w:bCs w:val="0"/>
          <w:color w:val="auto"/>
          <w:kern w:val="0"/>
          <w:sz w:val="32"/>
          <w:szCs w:val="32"/>
          <w:highlight w:val="none"/>
          <w:lang w:val="en-US" w:eastAsia="zh-CN"/>
        </w:rPr>
        <w:t xml:space="preserve">一是保持政策目标、实施范围、补助标准、补助对象“四稳定”原则。为确保政策实施的连贯性和稳定农牧民的政策预期，原则上继续按照上一轮补助奖励标准和面积测算我县补奖资金，按照“大稳定、小调整”的原则，结合实际已适当调整。 </w:t>
      </w:r>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rPr>
      </w:pPr>
      <w:r>
        <w:rPr>
          <w:rFonts w:hint="default" w:ascii="Times New Roman" w:hAnsi="Times New Roman" w:eastAsia="仿宋_GB2312" w:cs="Times New Roman"/>
          <w:b w:val="0"/>
          <w:bCs w:val="0"/>
          <w:color w:val="auto"/>
          <w:kern w:val="0"/>
          <w:sz w:val="32"/>
          <w:szCs w:val="32"/>
          <w:highlight w:val="none"/>
          <w:lang w:val="en-US" w:eastAsia="zh-CN"/>
        </w:rPr>
        <w:t xml:space="preserve">二是继续坚持资金、任务、目标、责任“四到乡镇”原则。由我县结合自治州下达的中央财政生态保护补助奖励资金规模，按照各乡镇场实际情况确定禁牧、草畜平衡面积，纳入禁牧和草畜平衡范围的草原是家庭承包到户的草原（不包括集体草原和未承包到户草原）和巩乃斯羊场80户牧民草场。本方案已确定各乡镇的总补助奖励资金，方案下达后不得调整。并各乡镇（场）制定资金发放实名制台账，确保牧户信息的准确性，逐级建立目标责任制，分解任务指标。 </w:t>
      </w:r>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rPr>
      </w:pPr>
      <w:r>
        <w:rPr>
          <w:rFonts w:hint="default" w:ascii="Times New Roman" w:hAnsi="Times New Roman" w:eastAsia="仿宋_GB2312" w:cs="Times New Roman"/>
          <w:b w:val="0"/>
          <w:bCs w:val="0"/>
          <w:color w:val="auto"/>
          <w:kern w:val="0"/>
          <w:sz w:val="32"/>
          <w:szCs w:val="32"/>
          <w:highlight w:val="none"/>
          <w:lang w:val="en-US" w:eastAsia="zh-CN"/>
        </w:rPr>
        <w:t>三是继续坚持任务落实、资金发放、服务指导、建档立卡、监督管理“五到户”原则。建立补助奖励信息公示制度，加强政府、群众、社会监督，确保政策落实公平、公正、公开，做到政策实施全程透明，接受社会监督。</w:t>
      </w:r>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rPr>
      </w:pPr>
      <w:r>
        <w:rPr>
          <w:rFonts w:hint="default" w:ascii="Times New Roman" w:hAnsi="Times New Roman" w:eastAsia="仿宋_GB2312" w:cs="Times New Roman"/>
          <w:b w:val="0"/>
          <w:bCs w:val="0"/>
          <w:color w:val="auto"/>
          <w:kern w:val="0"/>
          <w:sz w:val="32"/>
          <w:szCs w:val="32"/>
          <w:highlight w:val="none"/>
          <w:lang w:val="en-US" w:eastAsia="zh-CN"/>
        </w:rPr>
        <w:t>四是坚持谁承包、谁保护、谁受益“责权利”相结合原则。</w:t>
      </w:r>
      <w:r>
        <w:rPr>
          <w:rFonts w:hint="eastAsia" w:cs="Times New Roman"/>
          <w:b w:val="0"/>
          <w:bCs w:val="0"/>
          <w:color w:val="auto"/>
          <w:kern w:val="0"/>
          <w:sz w:val="32"/>
          <w:szCs w:val="32"/>
          <w:highlight w:val="none"/>
          <w:lang w:val="en-US" w:eastAsia="zh-CN"/>
        </w:rPr>
        <w:t>纳入禁牧和草畜平衡范围的草原必须为确权登记颁证的草原；在社会经济事业发展中，草场被征占用土地性质发生变化，本轮不再纳入补助范围；</w:t>
      </w:r>
      <w:r>
        <w:rPr>
          <w:rFonts w:hint="default" w:ascii="Times New Roman" w:hAnsi="Times New Roman" w:eastAsia="仿宋_GB2312" w:cs="Times New Roman"/>
          <w:b w:val="0"/>
          <w:bCs w:val="0"/>
          <w:color w:val="auto"/>
          <w:kern w:val="0"/>
          <w:sz w:val="32"/>
          <w:szCs w:val="32"/>
          <w:highlight w:val="none"/>
          <w:lang w:val="en-US" w:eastAsia="zh-CN"/>
        </w:rPr>
        <w:t xml:space="preserve">只要取得草场承包权证、且履行了禁牧和草畜平衡义务的牧民，按照属地管理享受草原补奖政策。 </w:t>
      </w:r>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rPr>
      </w:pPr>
      <w:r>
        <w:rPr>
          <w:rFonts w:hint="default" w:ascii="Times New Roman" w:hAnsi="Times New Roman" w:eastAsia="仿宋_GB2312" w:cs="Times New Roman"/>
          <w:b w:val="0"/>
          <w:bCs w:val="0"/>
          <w:color w:val="auto"/>
          <w:kern w:val="0"/>
          <w:sz w:val="32"/>
          <w:szCs w:val="32"/>
          <w:highlight w:val="none"/>
          <w:lang w:val="en-US" w:eastAsia="zh-CN"/>
        </w:rPr>
        <w:t xml:space="preserve">五是继续坚持“封顶保底”原则。原则上每户补助奖励资金不超过 9 万元，避免出现因补贴额度过高“垒大户”和因补贴过低影响牧民生活的现象。 </w:t>
      </w:r>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rPr>
      </w:pPr>
      <w:r>
        <w:rPr>
          <w:rFonts w:hint="default" w:ascii="Times New Roman" w:hAnsi="Times New Roman" w:eastAsia="仿宋_GB2312" w:cs="Times New Roman"/>
          <w:b w:val="0"/>
          <w:bCs w:val="0"/>
          <w:color w:val="auto"/>
          <w:kern w:val="0"/>
          <w:sz w:val="32"/>
          <w:szCs w:val="32"/>
          <w:highlight w:val="none"/>
          <w:lang w:val="en-US" w:eastAsia="zh-CN"/>
        </w:rPr>
        <w:t>六是坚持绩效管理，规范资金使用的原则。各乡镇场要全面开展对放牧家畜控制、草原生态改善、草牧业发展等情况的绩效评价，加快资金发放，保障资金安全，草牧业发展政策也要遵循支持到户的要求，确保牧民享受草原补奖政策的收益不降低。</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Times New Roman" w:hAnsi="Times New Roman" w:eastAsia="黑体" w:cs="Times New Roman"/>
          <w:b w:val="0"/>
          <w:bCs w:val="0"/>
          <w:color w:val="auto"/>
          <w:kern w:val="0"/>
          <w:sz w:val="32"/>
          <w:szCs w:val="32"/>
          <w:highlight w:val="none"/>
          <w:lang w:val="en-US" w:eastAsia="zh-CN" w:bidi="ar"/>
        </w:rPr>
      </w:pPr>
      <w:bookmarkStart w:id="11" w:name="_Toc10532_WPSOffice_Level1"/>
      <w:r>
        <w:rPr>
          <w:rFonts w:hint="default" w:ascii="Times New Roman" w:hAnsi="Times New Roman" w:eastAsia="黑体" w:cs="Times New Roman"/>
          <w:b w:val="0"/>
          <w:bCs w:val="0"/>
          <w:color w:val="auto"/>
          <w:kern w:val="0"/>
          <w:sz w:val="32"/>
          <w:szCs w:val="32"/>
          <w:highlight w:val="none"/>
          <w:lang w:val="en-US" w:eastAsia="zh-CN" w:bidi="ar"/>
        </w:rPr>
        <w:t>二、任务与目标</w:t>
      </w:r>
      <w:bookmarkEnd w:id="11"/>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Times New Roman" w:hAnsi="Times New Roman" w:eastAsia="楷体_GB2312" w:cs="Times New Roman"/>
          <w:b w:val="0"/>
          <w:bCs w:val="0"/>
          <w:color w:val="auto"/>
          <w:kern w:val="0"/>
          <w:sz w:val="32"/>
          <w:szCs w:val="32"/>
          <w:highlight w:val="none"/>
          <w:lang w:val="en-US" w:eastAsia="zh-CN" w:bidi="ar"/>
        </w:rPr>
      </w:pPr>
      <w:bookmarkStart w:id="12" w:name="_Toc27905_WPSOffice_Level2"/>
      <w:r>
        <w:rPr>
          <w:rFonts w:hint="default" w:ascii="Times New Roman" w:hAnsi="Times New Roman" w:eastAsia="楷体_GB2312" w:cs="Times New Roman"/>
          <w:b w:val="0"/>
          <w:bCs w:val="0"/>
          <w:color w:val="auto"/>
          <w:kern w:val="0"/>
          <w:sz w:val="32"/>
          <w:szCs w:val="32"/>
          <w:highlight w:val="none"/>
          <w:lang w:val="en-US" w:eastAsia="zh-CN" w:bidi="ar"/>
        </w:rPr>
        <w:t>（一）任务</w:t>
      </w:r>
      <w:bookmarkEnd w:id="12"/>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rPr>
      </w:pPr>
      <w:r>
        <w:rPr>
          <w:rFonts w:hint="default" w:ascii="Times New Roman" w:hAnsi="Times New Roman" w:eastAsia="仿宋_GB2312" w:cs="Times New Roman"/>
          <w:b w:val="0"/>
          <w:bCs w:val="0"/>
          <w:color w:val="auto"/>
          <w:kern w:val="0"/>
          <w:sz w:val="32"/>
          <w:szCs w:val="32"/>
          <w:highlight w:val="none"/>
          <w:lang w:val="en-US" w:eastAsia="zh-CN"/>
        </w:rPr>
        <w:t>1</w:t>
      </w:r>
      <w:r>
        <w:rPr>
          <w:rFonts w:hint="default" w:ascii="Times New Roman" w:hAnsi="Times New Roman" w:cs="Times New Roman"/>
          <w:b w:val="0"/>
          <w:bCs w:val="0"/>
          <w:color w:val="auto"/>
          <w:kern w:val="0"/>
          <w:sz w:val="32"/>
          <w:szCs w:val="32"/>
          <w:highlight w:val="none"/>
          <w:lang w:val="en-US" w:eastAsia="zh-CN"/>
        </w:rPr>
        <w:t>.</w:t>
      </w:r>
      <w:r>
        <w:rPr>
          <w:rFonts w:hint="eastAsia" w:ascii="仿宋_GB2312" w:hAnsi="仿宋_GB2312" w:cs="仿宋_GB2312"/>
          <w:color w:val="auto"/>
          <w:sz w:val="32"/>
          <w:szCs w:val="32"/>
          <w:highlight w:val="none"/>
          <w:lang w:val="en-US" w:eastAsia="zh-CN"/>
        </w:rPr>
        <w:t>重要水源地和保护区禁牧</w:t>
      </w:r>
      <w:r>
        <w:rPr>
          <w:rFonts w:hint="default" w:ascii="Times New Roman" w:hAnsi="Times New Roman" w:eastAsia="仿宋_GB2312" w:cs="Times New Roman"/>
          <w:b w:val="0"/>
          <w:bCs w:val="0"/>
          <w:color w:val="auto"/>
          <w:kern w:val="0"/>
          <w:sz w:val="32"/>
          <w:szCs w:val="32"/>
          <w:highlight w:val="none"/>
          <w:lang w:val="en-US" w:eastAsia="zh-CN"/>
        </w:rPr>
        <w:t>补助。对</w:t>
      </w:r>
      <w:r>
        <w:rPr>
          <w:rFonts w:hint="eastAsia" w:cs="Times New Roman"/>
          <w:b w:val="0"/>
          <w:bCs w:val="0"/>
          <w:color w:val="auto"/>
          <w:kern w:val="0"/>
          <w:sz w:val="32"/>
          <w:szCs w:val="32"/>
          <w:highlight w:val="none"/>
          <w:lang w:val="en-US" w:eastAsia="zh-CN"/>
        </w:rPr>
        <w:t>重要</w:t>
      </w:r>
      <w:r>
        <w:rPr>
          <w:rFonts w:hint="default" w:ascii="Times New Roman" w:hAnsi="Times New Roman" w:eastAsia="仿宋_GB2312" w:cs="Times New Roman"/>
          <w:b w:val="0"/>
          <w:bCs w:val="0"/>
          <w:color w:val="auto"/>
          <w:kern w:val="0"/>
          <w:sz w:val="32"/>
          <w:szCs w:val="32"/>
          <w:highlight w:val="none"/>
          <w:lang w:val="en-US" w:eastAsia="zh-CN"/>
        </w:rPr>
        <w:t>水源涵养具有重要保护作用的山地草旬类草原，实行水源涵养禁牧</w:t>
      </w:r>
      <w:r>
        <w:rPr>
          <w:rFonts w:hint="eastAsia" w:cs="Times New Roman"/>
          <w:b w:val="0"/>
          <w:bCs w:val="0"/>
          <w:color w:val="auto"/>
          <w:kern w:val="0"/>
          <w:sz w:val="32"/>
          <w:szCs w:val="32"/>
          <w:highlight w:val="none"/>
          <w:lang w:val="en-US" w:eastAsia="zh-CN"/>
        </w:rPr>
        <w:t>37.1430167</w:t>
      </w:r>
      <w:r>
        <w:rPr>
          <w:rFonts w:hint="default" w:ascii="Times New Roman" w:hAnsi="Times New Roman" w:eastAsia="仿宋_GB2312" w:cs="Times New Roman"/>
          <w:b w:val="0"/>
          <w:bCs w:val="0"/>
          <w:color w:val="auto"/>
          <w:kern w:val="0"/>
          <w:sz w:val="32"/>
          <w:szCs w:val="32"/>
          <w:highlight w:val="none"/>
          <w:lang w:val="en-US" w:eastAsia="zh-CN"/>
        </w:rPr>
        <w:t>万亩，按照每年每亩50元的标准给予禁牧补助</w:t>
      </w:r>
      <w:r>
        <w:rPr>
          <w:rFonts w:hint="eastAsia" w:cs="Times New Roman"/>
          <w:b w:val="0"/>
          <w:bCs w:val="0"/>
          <w:color w:val="auto"/>
          <w:kern w:val="0"/>
          <w:sz w:val="32"/>
          <w:szCs w:val="32"/>
          <w:highlight w:val="none"/>
          <w:lang w:val="en-US" w:eastAsia="zh-CN"/>
        </w:rPr>
        <w:t>1857.150835万元</w:t>
      </w:r>
      <w:r>
        <w:rPr>
          <w:rFonts w:hint="default" w:ascii="Times New Roman" w:hAnsi="Times New Roman" w:eastAsia="仿宋_GB2312" w:cs="Times New Roman"/>
          <w:b w:val="0"/>
          <w:bCs w:val="0"/>
          <w:color w:val="auto"/>
          <w:kern w:val="0"/>
          <w:sz w:val="32"/>
          <w:szCs w:val="32"/>
          <w:highlight w:val="none"/>
          <w:lang w:val="en-US" w:eastAsia="zh-CN"/>
        </w:rPr>
        <w:t>。牧民要自觉履行禁牧义务，监管部门要强化监管职责，确保禁牧任务的落实。</w:t>
      </w:r>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rPr>
      </w:pPr>
      <w:r>
        <w:rPr>
          <w:rFonts w:hint="default" w:ascii="Times New Roman" w:hAnsi="Times New Roman" w:eastAsia="仿宋_GB2312" w:cs="Times New Roman"/>
          <w:b w:val="0"/>
          <w:bCs w:val="0"/>
          <w:color w:val="auto"/>
          <w:kern w:val="0"/>
          <w:sz w:val="32"/>
          <w:szCs w:val="32"/>
          <w:highlight w:val="none"/>
          <w:lang w:val="en-US" w:eastAsia="zh-CN"/>
        </w:rPr>
        <w:t>2.</w:t>
      </w:r>
      <w:r>
        <w:rPr>
          <w:rFonts w:hint="eastAsia" w:ascii="仿宋_GB2312" w:hAnsi="仿宋_GB2312" w:cs="仿宋_GB2312"/>
          <w:color w:val="auto"/>
          <w:sz w:val="32"/>
          <w:szCs w:val="32"/>
          <w:highlight w:val="none"/>
          <w:lang w:val="en-US" w:eastAsia="zh-CN"/>
        </w:rPr>
        <w:t>严重退化区和风沙源区禁牧</w:t>
      </w:r>
      <w:r>
        <w:rPr>
          <w:rFonts w:hint="default" w:ascii="Times New Roman" w:hAnsi="Times New Roman" w:eastAsia="仿宋_GB2312" w:cs="Times New Roman"/>
          <w:b w:val="0"/>
          <w:bCs w:val="0"/>
          <w:color w:val="auto"/>
          <w:kern w:val="0"/>
          <w:sz w:val="32"/>
          <w:szCs w:val="32"/>
          <w:highlight w:val="none"/>
          <w:lang w:val="en-US" w:eastAsia="zh-CN"/>
        </w:rPr>
        <w:t>补助。对退化严重的温性荒漠和高寒草原实行禁牧封育，面积</w:t>
      </w:r>
      <w:r>
        <w:rPr>
          <w:rFonts w:hint="eastAsia" w:cs="Times New Roman"/>
          <w:b w:val="0"/>
          <w:bCs w:val="0"/>
          <w:color w:val="auto"/>
          <w:kern w:val="0"/>
          <w:sz w:val="32"/>
          <w:szCs w:val="32"/>
          <w:highlight w:val="none"/>
          <w:lang w:val="en-US" w:eastAsia="zh-CN"/>
        </w:rPr>
        <w:t>23.7286</w:t>
      </w:r>
      <w:r>
        <w:rPr>
          <w:rFonts w:hint="default" w:ascii="Times New Roman" w:hAnsi="Times New Roman" w:eastAsia="仿宋_GB2312" w:cs="Times New Roman"/>
          <w:b w:val="0"/>
          <w:bCs w:val="0"/>
          <w:color w:val="auto"/>
          <w:kern w:val="0"/>
          <w:sz w:val="32"/>
          <w:szCs w:val="32"/>
          <w:highlight w:val="none"/>
          <w:lang w:val="en-US" w:eastAsia="zh-CN"/>
        </w:rPr>
        <w:t>万亩，按照每年每亩</w:t>
      </w:r>
      <w:r>
        <w:rPr>
          <w:rFonts w:hint="default" w:cs="Times New Roman"/>
          <w:b w:val="0"/>
          <w:bCs w:val="0"/>
          <w:color w:val="auto"/>
          <w:kern w:val="0"/>
          <w:sz w:val="32"/>
          <w:szCs w:val="32"/>
          <w:highlight w:val="none"/>
          <w:lang w:val="en-US" w:eastAsia="zh-CN"/>
        </w:rPr>
        <w:t>6</w:t>
      </w:r>
      <w:r>
        <w:rPr>
          <w:rFonts w:hint="default" w:ascii="Times New Roman" w:hAnsi="Times New Roman" w:eastAsia="仿宋_GB2312" w:cs="Times New Roman"/>
          <w:b w:val="0"/>
          <w:bCs w:val="0"/>
          <w:color w:val="auto"/>
          <w:kern w:val="0"/>
          <w:sz w:val="32"/>
          <w:szCs w:val="32"/>
          <w:highlight w:val="none"/>
          <w:lang w:val="en-US" w:eastAsia="zh-CN"/>
        </w:rPr>
        <w:t>元的标准给予禁牧补助</w:t>
      </w:r>
      <w:r>
        <w:rPr>
          <w:rFonts w:hint="eastAsia" w:cs="Times New Roman"/>
          <w:b w:val="0"/>
          <w:bCs w:val="0"/>
          <w:color w:val="auto"/>
          <w:kern w:val="0"/>
          <w:sz w:val="32"/>
          <w:szCs w:val="32"/>
          <w:highlight w:val="none"/>
          <w:lang w:val="en-US" w:eastAsia="zh-CN"/>
        </w:rPr>
        <w:t>142.3716万元</w:t>
      </w:r>
      <w:r>
        <w:rPr>
          <w:rFonts w:hint="default" w:ascii="Times New Roman" w:hAnsi="Times New Roman" w:eastAsia="仿宋_GB2312" w:cs="Times New Roman"/>
          <w:b w:val="0"/>
          <w:bCs w:val="0"/>
          <w:color w:val="auto"/>
          <w:kern w:val="0"/>
          <w:sz w:val="32"/>
          <w:szCs w:val="32"/>
          <w:highlight w:val="none"/>
          <w:lang w:val="en-US" w:eastAsia="zh-CN"/>
        </w:rPr>
        <w:t>。牧民要自觉履行禁牧义务，监管部门要强化监管职责，确保禁牧任务的落实。</w:t>
      </w:r>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rPr>
      </w:pPr>
      <w:r>
        <w:rPr>
          <w:rFonts w:hint="default" w:ascii="Times New Roman" w:hAnsi="Times New Roman" w:eastAsia="仿宋_GB2312" w:cs="Times New Roman"/>
          <w:b w:val="0"/>
          <w:bCs w:val="0"/>
          <w:color w:val="auto"/>
          <w:kern w:val="0"/>
          <w:sz w:val="32"/>
          <w:szCs w:val="32"/>
          <w:highlight w:val="none"/>
          <w:lang w:val="en-US" w:eastAsia="zh-CN"/>
        </w:rPr>
        <w:t>3.草畜平衡奖励。对禁牧区以外的草原根据载畜量能力核定合理载畜量，实施草畜平衡管理奖励面积</w:t>
      </w:r>
      <w:r>
        <w:rPr>
          <w:rFonts w:hint="eastAsia" w:cs="Times New Roman"/>
          <w:b w:val="0"/>
          <w:bCs w:val="0"/>
          <w:color w:val="auto"/>
          <w:kern w:val="0"/>
          <w:sz w:val="32"/>
          <w:szCs w:val="32"/>
          <w:highlight w:val="none"/>
          <w:lang w:val="en-US" w:eastAsia="zh-CN"/>
        </w:rPr>
        <w:t>461.877652</w:t>
      </w:r>
      <w:r>
        <w:rPr>
          <w:rFonts w:hint="default" w:ascii="Times New Roman" w:hAnsi="Times New Roman" w:eastAsia="仿宋_GB2312" w:cs="Times New Roman"/>
          <w:b w:val="0"/>
          <w:bCs w:val="0"/>
          <w:color w:val="auto"/>
          <w:kern w:val="0"/>
          <w:sz w:val="32"/>
          <w:szCs w:val="32"/>
          <w:highlight w:val="none"/>
          <w:lang w:val="en-US" w:eastAsia="zh-CN"/>
        </w:rPr>
        <w:t>万亩。对履行草畜平衡义务的牧民按照每年每亩补助</w:t>
      </w:r>
      <w:r>
        <w:rPr>
          <w:rFonts w:hint="default" w:cs="Times New Roman"/>
          <w:b w:val="0"/>
          <w:bCs w:val="0"/>
          <w:color w:val="auto"/>
          <w:kern w:val="0"/>
          <w:sz w:val="32"/>
          <w:szCs w:val="32"/>
          <w:highlight w:val="none"/>
          <w:lang w:val="en-US" w:eastAsia="zh-CN"/>
        </w:rPr>
        <w:t>2.5</w:t>
      </w:r>
      <w:r>
        <w:rPr>
          <w:rFonts w:hint="default" w:ascii="Times New Roman" w:hAnsi="Times New Roman" w:eastAsia="仿宋_GB2312" w:cs="Times New Roman"/>
          <w:b w:val="0"/>
          <w:bCs w:val="0"/>
          <w:color w:val="auto"/>
          <w:kern w:val="0"/>
          <w:sz w:val="32"/>
          <w:szCs w:val="32"/>
          <w:highlight w:val="none"/>
          <w:lang w:val="en-US" w:eastAsia="zh-CN"/>
        </w:rPr>
        <w:t>元的测算标准给予，涉及资金</w:t>
      </w:r>
      <w:r>
        <w:rPr>
          <w:rFonts w:hint="eastAsia" w:cs="Times New Roman"/>
          <w:b w:val="0"/>
          <w:bCs w:val="0"/>
          <w:color w:val="auto"/>
          <w:kern w:val="0"/>
          <w:sz w:val="32"/>
          <w:szCs w:val="32"/>
          <w:highlight w:val="none"/>
          <w:lang w:val="en-US" w:eastAsia="zh-CN"/>
        </w:rPr>
        <w:t>1154.69413</w:t>
      </w:r>
      <w:r>
        <w:rPr>
          <w:rFonts w:hint="default" w:cs="Times New Roman"/>
          <w:b w:val="0"/>
          <w:bCs w:val="0"/>
          <w:color w:val="auto"/>
          <w:kern w:val="0"/>
          <w:sz w:val="32"/>
          <w:szCs w:val="32"/>
          <w:highlight w:val="none"/>
          <w:lang w:val="en-US" w:eastAsia="zh-CN"/>
        </w:rPr>
        <w:t>万元。</w:t>
      </w:r>
      <w:r>
        <w:rPr>
          <w:rFonts w:hint="default" w:ascii="Times New Roman" w:hAnsi="Times New Roman" w:eastAsia="仿宋_GB2312" w:cs="Times New Roman"/>
          <w:b w:val="0"/>
          <w:bCs w:val="0"/>
          <w:color w:val="auto"/>
          <w:kern w:val="0"/>
          <w:sz w:val="32"/>
          <w:szCs w:val="32"/>
          <w:highlight w:val="none"/>
          <w:lang w:val="en-US" w:eastAsia="zh-CN"/>
        </w:rPr>
        <w:t>牧民要自觉履行草畜平衡义务，林业和草原局要强化监管职责，确保草畜平衡任务的落实。</w:t>
      </w:r>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rPr>
      </w:pPr>
      <w:r>
        <w:rPr>
          <w:rFonts w:hint="default" w:ascii="Times New Roman" w:hAnsi="Times New Roman" w:eastAsia="仿宋_GB2312" w:cs="Times New Roman"/>
          <w:b w:val="0"/>
          <w:bCs w:val="0"/>
          <w:color w:val="auto"/>
          <w:kern w:val="0"/>
          <w:sz w:val="32"/>
          <w:szCs w:val="32"/>
          <w:highlight w:val="none"/>
          <w:lang w:val="en-US" w:eastAsia="zh-CN"/>
        </w:rPr>
        <w:t>特克斯县共落实草原补助奖励总面积</w:t>
      </w:r>
      <w:r>
        <w:rPr>
          <w:rFonts w:hint="default" w:cs="Times New Roman"/>
          <w:b w:val="0"/>
          <w:bCs w:val="0"/>
          <w:color w:val="auto"/>
          <w:kern w:val="0"/>
          <w:sz w:val="32"/>
          <w:szCs w:val="32"/>
          <w:highlight w:val="none"/>
          <w:lang w:val="en-US" w:eastAsia="zh-CN"/>
        </w:rPr>
        <w:t xml:space="preserve">522.74926870 </w:t>
      </w:r>
      <w:r>
        <w:rPr>
          <w:rFonts w:hint="default" w:ascii="Times New Roman" w:hAnsi="Times New Roman" w:eastAsia="仿宋_GB2312" w:cs="Times New Roman"/>
          <w:b w:val="0"/>
          <w:bCs w:val="0"/>
          <w:color w:val="auto"/>
          <w:kern w:val="0"/>
          <w:sz w:val="32"/>
          <w:szCs w:val="32"/>
          <w:highlight w:val="none"/>
          <w:lang w:val="en-US" w:eastAsia="zh-CN"/>
        </w:rPr>
        <w:t>万亩，其中禁牧</w:t>
      </w:r>
      <w:r>
        <w:rPr>
          <w:rFonts w:hint="eastAsia" w:cs="Times New Roman"/>
          <w:b w:val="0"/>
          <w:bCs w:val="0"/>
          <w:color w:val="auto"/>
          <w:kern w:val="0"/>
          <w:sz w:val="32"/>
          <w:szCs w:val="32"/>
          <w:highlight w:val="none"/>
          <w:lang w:val="en-US" w:eastAsia="zh-CN"/>
        </w:rPr>
        <w:t>60.8716167</w:t>
      </w:r>
      <w:r>
        <w:rPr>
          <w:rFonts w:hint="default" w:ascii="Times New Roman" w:hAnsi="Times New Roman" w:eastAsia="仿宋_GB2312" w:cs="Times New Roman"/>
          <w:b w:val="0"/>
          <w:bCs w:val="0"/>
          <w:color w:val="auto"/>
          <w:kern w:val="0"/>
          <w:sz w:val="32"/>
          <w:szCs w:val="32"/>
          <w:highlight w:val="none"/>
          <w:lang w:val="en-US" w:eastAsia="zh-CN"/>
        </w:rPr>
        <w:t>万亩（</w:t>
      </w:r>
      <w:r>
        <w:rPr>
          <w:rFonts w:hint="eastAsia" w:ascii="仿宋_GB2312" w:hAnsi="仿宋_GB2312" w:cs="仿宋_GB2312"/>
          <w:color w:val="auto"/>
          <w:sz w:val="32"/>
          <w:szCs w:val="32"/>
          <w:highlight w:val="none"/>
          <w:lang w:val="en-US" w:eastAsia="zh-CN"/>
        </w:rPr>
        <w:t>严重退化区和风沙源区</w:t>
      </w:r>
      <w:r>
        <w:rPr>
          <w:rFonts w:hint="default" w:ascii="Times New Roman" w:hAnsi="Times New Roman" w:eastAsia="仿宋_GB2312" w:cs="Times New Roman"/>
          <w:b w:val="0"/>
          <w:bCs w:val="0"/>
          <w:color w:val="auto"/>
          <w:kern w:val="0"/>
          <w:sz w:val="32"/>
          <w:szCs w:val="32"/>
          <w:highlight w:val="none"/>
          <w:lang w:val="en-US" w:eastAsia="zh-CN"/>
        </w:rPr>
        <w:t>禁牧</w:t>
      </w:r>
      <w:r>
        <w:rPr>
          <w:rFonts w:hint="eastAsia" w:cs="Times New Roman"/>
          <w:b w:val="0"/>
          <w:bCs w:val="0"/>
          <w:color w:val="auto"/>
          <w:kern w:val="0"/>
          <w:sz w:val="32"/>
          <w:szCs w:val="32"/>
          <w:highlight w:val="none"/>
          <w:lang w:val="en-US" w:eastAsia="zh-CN"/>
        </w:rPr>
        <w:t>23.7286</w:t>
      </w:r>
      <w:r>
        <w:rPr>
          <w:rFonts w:hint="default" w:ascii="Times New Roman" w:hAnsi="Times New Roman" w:eastAsia="仿宋_GB2312" w:cs="Times New Roman"/>
          <w:b w:val="0"/>
          <w:bCs w:val="0"/>
          <w:color w:val="auto"/>
          <w:kern w:val="0"/>
          <w:sz w:val="32"/>
          <w:szCs w:val="32"/>
          <w:highlight w:val="none"/>
          <w:lang w:val="en-US" w:eastAsia="zh-CN"/>
        </w:rPr>
        <w:t>万亩，</w:t>
      </w:r>
      <w:r>
        <w:rPr>
          <w:rFonts w:hint="eastAsia" w:ascii="仿宋_GB2312" w:hAnsi="仿宋_GB2312" w:cs="仿宋_GB2312"/>
          <w:color w:val="auto"/>
          <w:sz w:val="32"/>
          <w:szCs w:val="32"/>
          <w:highlight w:val="none"/>
          <w:lang w:val="en-US" w:eastAsia="zh-CN"/>
        </w:rPr>
        <w:t>重要水源地和保护区</w:t>
      </w:r>
      <w:r>
        <w:rPr>
          <w:rFonts w:hint="default" w:ascii="Times New Roman" w:hAnsi="Times New Roman" w:eastAsia="仿宋_GB2312" w:cs="Times New Roman"/>
          <w:b w:val="0"/>
          <w:bCs w:val="0"/>
          <w:color w:val="auto"/>
          <w:kern w:val="0"/>
          <w:sz w:val="32"/>
          <w:szCs w:val="32"/>
          <w:highlight w:val="none"/>
          <w:lang w:val="en-US" w:eastAsia="zh-CN"/>
        </w:rPr>
        <w:t>草原禁牧</w:t>
      </w:r>
      <w:r>
        <w:rPr>
          <w:rFonts w:hint="eastAsia" w:cs="Times New Roman"/>
          <w:b w:val="0"/>
          <w:bCs w:val="0"/>
          <w:color w:val="auto"/>
          <w:kern w:val="0"/>
          <w:sz w:val="32"/>
          <w:szCs w:val="32"/>
          <w:highlight w:val="none"/>
          <w:lang w:val="en-US" w:eastAsia="zh-CN"/>
        </w:rPr>
        <w:t>37.1430167</w:t>
      </w:r>
      <w:r>
        <w:rPr>
          <w:rFonts w:hint="default" w:ascii="Times New Roman" w:hAnsi="Times New Roman" w:eastAsia="仿宋_GB2312" w:cs="Times New Roman"/>
          <w:b w:val="0"/>
          <w:bCs w:val="0"/>
          <w:color w:val="auto"/>
          <w:kern w:val="0"/>
          <w:sz w:val="32"/>
          <w:szCs w:val="32"/>
          <w:highlight w:val="none"/>
          <w:lang w:val="en-US" w:eastAsia="zh-CN"/>
        </w:rPr>
        <w:t>万亩），实施草畜平衡</w:t>
      </w:r>
      <w:r>
        <w:rPr>
          <w:rFonts w:hint="eastAsia" w:cs="Times New Roman"/>
          <w:b w:val="0"/>
          <w:bCs w:val="0"/>
          <w:color w:val="auto"/>
          <w:kern w:val="0"/>
          <w:sz w:val="32"/>
          <w:szCs w:val="32"/>
          <w:highlight w:val="none"/>
          <w:lang w:val="en-US" w:eastAsia="zh-CN"/>
        </w:rPr>
        <w:t>461.877652</w:t>
      </w:r>
      <w:r>
        <w:rPr>
          <w:rFonts w:hint="default" w:ascii="Times New Roman" w:hAnsi="Times New Roman" w:eastAsia="仿宋_GB2312" w:cs="Times New Roman"/>
          <w:b w:val="0"/>
          <w:bCs w:val="0"/>
          <w:color w:val="auto"/>
          <w:kern w:val="0"/>
          <w:sz w:val="32"/>
          <w:szCs w:val="32"/>
          <w:highlight w:val="none"/>
          <w:lang w:val="en-US" w:eastAsia="zh-CN"/>
        </w:rPr>
        <w:t>万亩。202</w:t>
      </w:r>
      <w:r>
        <w:rPr>
          <w:rFonts w:hint="eastAsia" w:cs="Times New Roman"/>
          <w:b w:val="0"/>
          <w:bCs w:val="0"/>
          <w:color w:val="auto"/>
          <w:kern w:val="0"/>
          <w:sz w:val="32"/>
          <w:szCs w:val="32"/>
          <w:highlight w:val="none"/>
          <w:lang w:val="en-US" w:eastAsia="zh-CN"/>
        </w:rPr>
        <w:t>4</w:t>
      </w:r>
      <w:r>
        <w:rPr>
          <w:rFonts w:hint="default" w:ascii="Times New Roman" w:hAnsi="Times New Roman" w:eastAsia="仿宋_GB2312" w:cs="Times New Roman"/>
          <w:b w:val="0"/>
          <w:bCs w:val="0"/>
          <w:color w:val="auto"/>
          <w:kern w:val="0"/>
          <w:sz w:val="32"/>
          <w:szCs w:val="32"/>
          <w:highlight w:val="none"/>
          <w:lang w:val="en-US" w:eastAsia="zh-CN"/>
        </w:rPr>
        <w:t>年发放补助奖励资金</w:t>
      </w:r>
      <w:r>
        <w:rPr>
          <w:rFonts w:hint="eastAsia" w:cs="Times New Roman"/>
          <w:b w:val="0"/>
          <w:bCs w:val="0"/>
          <w:color w:val="auto"/>
          <w:kern w:val="0"/>
          <w:sz w:val="32"/>
          <w:szCs w:val="32"/>
          <w:highlight w:val="none"/>
          <w:lang w:val="en-US" w:eastAsia="zh-CN"/>
        </w:rPr>
        <w:t xml:space="preserve">合计3154.216565 </w:t>
      </w:r>
      <w:r>
        <w:rPr>
          <w:rFonts w:hint="default" w:ascii="Times New Roman" w:hAnsi="Times New Roman" w:eastAsia="仿宋_GB2312" w:cs="Times New Roman"/>
          <w:b w:val="0"/>
          <w:bCs w:val="0"/>
          <w:color w:val="auto"/>
          <w:kern w:val="0"/>
          <w:sz w:val="32"/>
          <w:szCs w:val="32"/>
          <w:highlight w:val="none"/>
          <w:lang w:val="en-US" w:eastAsia="zh-CN"/>
        </w:rPr>
        <w:t>万元。</w:t>
      </w:r>
    </w:p>
    <w:p>
      <w:pPr>
        <w:keepNext w:val="0"/>
        <w:keepLines w:val="0"/>
        <w:pageBreakBefore w:val="0"/>
        <w:kinsoku/>
        <w:wordWrap/>
        <w:overflowPunct/>
        <w:topLinePunct w:val="0"/>
        <w:bidi w:val="0"/>
        <w:snapToGrid/>
        <w:spacing w:line="560" w:lineRule="exact"/>
        <w:ind w:firstLine="643"/>
        <w:textAlignment w:val="auto"/>
        <w:rPr>
          <w:rStyle w:val="15"/>
          <w:rFonts w:hint="default" w:ascii="Times New Roman" w:hAnsi="Times New Roman" w:eastAsia="楷体_GB2312" w:cs="Times New Roman"/>
          <w:b w:val="0"/>
          <w:bCs/>
          <w:color w:val="auto"/>
          <w:highlight w:val="none"/>
          <w:lang w:val="en-US" w:eastAsia="zh-CN"/>
        </w:rPr>
      </w:pPr>
      <w:bookmarkStart w:id="13" w:name="_Toc30822_WPSOffice_Level2"/>
      <w:r>
        <w:rPr>
          <w:rStyle w:val="15"/>
          <w:rFonts w:hint="default" w:ascii="Times New Roman" w:hAnsi="Times New Roman" w:eastAsia="楷体_GB2312" w:cs="Times New Roman"/>
          <w:b w:val="0"/>
          <w:bCs/>
          <w:color w:val="auto"/>
          <w:highlight w:val="none"/>
          <w:lang w:val="en-US" w:eastAsia="zh-CN"/>
        </w:rPr>
        <w:t>（二）目标</w:t>
      </w:r>
      <w:bookmarkEnd w:id="13"/>
    </w:p>
    <w:p>
      <w:pPr>
        <w:keepNext w:val="0"/>
        <w:keepLines w:val="0"/>
        <w:pageBreakBefore w:val="0"/>
        <w:kinsoku/>
        <w:wordWrap/>
        <w:overflowPunct/>
        <w:topLinePunct w:val="0"/>
        <w:bidi w:val="0"/>
        <w:snapToGrid/>
        <w:spacing w:line="560" w:lineRule="exact"/>
        <w:ind w:left="0" w:leftChars="0" w:firstLine="640" w:firstLineChars="200"/>
        <w:textAlignment w:val="auto"/>
        <w:rPr>
          <w:rStyle w:val="15"/>
          <w:rFonts w:hint="default" w:ascii="Times New Roman" w:hAnsi="Times New Roman" w:eastAsia="仿宋" w:cs="Times New Roman"/>
          <w:b w:val="0"/>
          <w:color w:val="auto"/>
          <w:highlight w:val="none"/>
        </w:rPr>
      </w:pPr>
      <w:r>
        <w:rPr>
          <w:rFonts w:hint="default" w:ascii="Times New Roman" w:hAnsi="Times New Roman" w:eastAsia="仿宋_GB2312" w:cs="Times New Roman"/>
          <w:b w:val="0"/>
          <w:bCs w:val="0"/>
          <w:color w:val="auto"/>
          <w:kern w:val="0"/>
          <w:sz w:val="32"/>
          <w:szCs w:val="32"/>
          <w:highlight w:val="none"/>
          <w:lang w:val="en-US" w:eastAsia="zh-CN"/>
        </w:rPr>
        <w:t>通过对草原生态保护补助奖励政策，全面推行草原禁牧和草畜平衡制度，促进草原生态环境稳定恢复，尤其是</w:t>
      </w:r>
      <w:r>
        <w:rPr>
          <w:rFonts w:hint="eastAsia" w:ascii="仿宋_GB2312" w:hAnsi="仿宋_GB2312" w:cs="仿宋_GB2312"/>
          <w:color w:val="auto"/>
          <w:sz w:val="32"/>
          <w:szCs w:val="32"/>
          <w:highlight w:val="none"/>
          <w:lang w:val="en-US" w:eastAsia="zh-CN"/>
        </w:rPr>
        <w:t>严重退化区和风沙源区</w:t>
      </w:r>
      <w:r>
        <w:rPr>
          <w:rFonts w:hint="default" w:ascii="Times New Roman" w:hAnsi="Times New Roman" w:eastAsia="仿宋_GB2312" w:cs="Times New Roman"/>
          <w:b w:val="0"/>
          <w:bCs w:val="0"/>
          <w:color w:val="auto"/>
          <w:kern w:val="0"/>
          <w:sz w:val="32"/>
          <w:szCs w:val="32"/>
          <w:highlight w:val="none"/>
          <w:lang w:val="en-US" w:eastAsia="zh-CN"/>
        </w:rPr>
        <w:t>禁牧面积的扩大，进一步巩固和完善特克斯县天山申遗成果，</w:t>
      </w:r>
      <w:r>
        <w:rPr>
          <w:rFonts w:hint="eastAsia" w:cs="Times New Roman"/>
          <w:b w:val="0"/>
          <w:bCs w:val="0"/>
          <w:color w:val="auto"/>
          <w:kern w:val="0"/>
          <w:sz w:val="32"/>
          <w:szCs w:val="32"/>
          <w:highlight w:val="none"/>
          <w:lang w:val="en-US" w:eastAsia="zh-CN"/>
        </w:rPr>
        <w:t>加大对</w:t>
      </w:r>
      <w:r>
        <w:rPr>
          <w:rFonts w:hint="default" w:ascii="Times New Roman" w:hAnsi="Times New Roman" w:eastAsia="仿宋_GB2312" w:cs="Times New Roman"/>
          <w:b w:val="0"/>
          <w:bCs w:val="0"/>
          <w:color w:val="auto"/>
          <w:kern w:val="0"/>
          <w:sz w:val="32"/>
          <w:szCs w:val="32"/>
          <w:highlight w:val="none"/>
          <w:lang w:val="en-US" w:eastAsia="zh-CN"/>
        </w:rPr>
        <w:t>重要水源地和保护区</w:t>
      </w:r>
      <w:r>
        <w:rPr>
          <w:rFonts w:hint="eastAsia" w:cs="Times New Roman"/>
          <w:b w:val="0"/>
          <w:bCs w:val="0"/>
          <w:color w:val="auto"/>
          <w:kern w:val="0"/>
          <w:sz w:val="32"/>
          <w:szCs w:val="32"/>
          <w:highlight w:val="none"/>
          <w:lang w:val="en-US" w:eastAsia="zh-CN"/>
        </w:rPr>
        <w:t>的生态资源保护，为</w:t>
      </w:r>
      <w:r>
        <w:rPr>
          <w:rFonts w:hint="default" w:ascii="Times New Roman" w:hAnsi="Times New Roman" w:eastAsia="仿宋_GB2312" w:cs="Times New Roman"/>
          <w:b w:val="0"/>
          <w:bCs w:val="0"/>
          <w:color w:val="auto"/>
          <w:kern w:val="0"/>
          <w:sz w:val="32"/>
          <w:szCs w:val="32"/>
          <w:highlight w:val="none"/>
          <w:lang w:val="en-US" w:eastAsia="zh-CN"/>
        </w:rPr>
        <w:t>打造全国最美草原奠定基础。通过实施草原畜牧业转型工程，加快推动草原畜牧业生产方式转变，提高绿色畜产品生产供应水平，不断拓宽牧民增收渠道，稳步提高牧民增收水平，</w:t>
      </w:r>
      <w:r>
        <w:rPr>
          <w:rFonts w:hint="eastAsia" w:cs="Times New Roman"/>
          <w:b w:val="0"/>
          <w:bCs w:val="0"/>
          <w:color w:val="auto"/>
          <w:kern w:val="0"/>
          <w:sz w:val="32"/>
          <w:szCs w:val="32"/>
          <w:highlight w:val="none"/>
          <w:lang w:val="en-US" w:eastAsia="zh-CN"/>
        </w:rPr>
        <w:t>实现草原畜牧业可持续发展，</w:t>
      </w:r>
      <w:r>
        <w:rPr>
          <w:rFonts w:hint="default" w:ascii="Times New Roman" w:hAnsi="Times New Roman" w:eastAsia="仿宋_GB2312" w:cs="Times New Roman"/>
          <w:b w:val="0"/>
          <w:bCs w:val="0"/>
          <w:color w:val="auto"/>
          <w:kern w:val="0"/>
          <w:sz w:val="32"/>
          <w:szCs w:val="32"/>
          <w:highlight w:val="none"/>
          <w:lang w:val="en-US" w:eastAsia="zh-CN"/>
        </w:rPr>
        <w:t>为加快建设生态文明，全面建成小康社会、维护民族团结和边疆稳定作出积极贡献。</w:t>
      </w:r>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黑体" w:cs="Times New Roman"/>
          <w:b w:val="0"/>
          <w:bCs/>
          <w:snapToGrid w:val="0"/>
          <w:color w:val="auto"/>
          <w:sz w:val="32"/>
          <w:szCs w:val="32"/>
          <w:highlight w:val="none"/>
        </w:rPr>
      </w:pPr>
      <w:bookmarkStart w:id="14" w:name="_Toc30361_WPSOffice_Level1"/>
      <w:r>
        <w:rPr>
          <w:rFonts w:hint="default" w:ascii="Times New Roman" w:hAnsi="Times New Roman" w:eastAsia="黑体" w:cs="Times New Roman"/>
          <w:b w:val="0"/>
          <w:bCs/>
          <w:snapToGrid w:val="0"/>
          <w:color w:val="auto"/>
          <w:sz w:val="32"/>
          <w:szCs w:val="32"/>
          <w:highlight w:val="none"/>
        </w:rPr>
        <w:t>三、责任主体和工作流程</w:t>
      </w:r>
      <w:bookmarkEnd w:id="14"/>
    </w:p>
    <w:p>
      <w:pPr>
        <w:keepNext w:val="0"/>
        <w:keepLines w:val="0"/>
        <w:pageBreakBefore w:val="0"/>
        <w:kinsoku/>
        <w:wordWrap/>
        <w:overflowPunct/>
        <w:topLinePunct w:val="0"/>
        <w:bidi w:val="0"/>
        <w:snapToGrid/>
        <w:spacing w:line="560" w:lineRule="exact"/>
        <w:ind w:firstLine="643"/>
        <w:textAlignment w:val="auto"/>
        <w:rPr>
          <w:rStyle w:val="15"/>
          <w:rFonts w:hint="default" w:ascii="Times New Roman" w:hAnsi="Times New Roman" w:eastAsia="楷体_GB2312" w:cs="Times New Roman"/>
          <w:b w:val="0"/>
          <w:bCs/>
          <w:color w:val="auto"/>
          <w:sz w:val="32"/>
          <w:szCs w:val="48"/>
          <w:highlight w:val="none"/>
          <w:lang w:val="en-US" w:eastAsia="zh-CN"/>
        </w:rPr>
      </w:pPr>
      <w:bookmarkStart w:id="15" w:name="_Toc10635_WPSOffice_Level2"/>
      <w:r>
        <w:rPr>
          <w:rStyle w:val="15"/>
          <w:rFonts w:hint="default" w:ascii="Times New Roman" w:hAnsi="Times New Roman" w:eastAsia="楷体_GB2312" w:cs="Times New Roman"/>
          <w:b w:val="0"/>
          <w:bCs/>
          <w:color w:val="auto"/>
          <w:sz w:val="32"/>
          <w:szCs w:val="48"/>
          <w:highlight w:val="none"/>
          <w:lang w:val="en-US" w:eastAsia="zh-CN"/>
        </w:rPr>
        <w:t>（一）责任主体</w:t>
      </w:r>
      <w:bookmarkEnd w:id="15"/>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rPr>
      </w:pPr>
      <w:r>
        <w:rPr>
          <w:rFonts w:hint="default" w:ascii="Times New Roman" w:hAnsi="Times New Roman" w:eastAsia="仿宋_GB2312" w:cs="Times New Roman"/>
          <w:b w:val="0"/>
          <w:bCs w:val="0"/>
          <w:color w:val="auto"/>
          <w:kern w:val="0"/>
          <w:sz w:val="32"/>
          <w:szCs w:val="32"/>
          <w:highlight w:val="none"/>
          <w:lang w:val="en-US" w:eastAsia="zh-CN"/>
        </w:rPr>
        <w:t>1.各级人民政府负总责。特克斯县人民政府负责全县补助奖励政策落实工作，各乡（镇）场人民政府负责本区域补助奖励政策落实工作，逐级签订责任书，各乡（镇）场人民政府要把落实补助奖励政策纳入重要议事日程，实行“一把手”负责制，将落实补助奖励政策纳入年终</w:t>
      </w:r>
      <w:r>
        <w:rPr>
          <w:rFonts w:hint="eastAsia" w:cs="Times New Roman"/>
          <w:b w:val="0"/>
          <w:bCs w:val="0"/>
          <w:color w:val="auto"/>
          <w:kern w:val="0"/>
          <w:sz w:val="32"/>
          <w:szCs w:val="32"/>
          <w:highlight w:val="none"/>
          <w:lang w:val="en-US" w:eastAsia="zh-CN"/>
        </w:rPr>
        <w:t>“林长制”</w:t>
      </w:r>
      <w:r>
        <w:rPr>
          <w:rFonts w:hint="default" w:ascii="Times New Roman" w:hAnsi="Times New Roman" w:eastAsia="仿宋_GB2312" w:cs="Times New Roman"/>
          <w:b w:val="0"/>
          <w:bCs w:val="0"/>
          <w:color w:val="auto"/>
          <w:kern w:val="0"/>
          <w:sz w:val="32"/>
          <w:szCs w:val="32"/>
          <w:highlight w:val="none"/>
          <w:lang w:val="en-US" w:eastAsia="zh-CN"/>
        </w:rPr>
        <w:t>考核目标。各乡（镇）场人民政府作为政策实施的直接责任主体，负责协调农业农村局（畜牧兽医发展中心）、财政、林业和草原局等部门，统筹做好政策实施，做到专人专责，并将责任单位、责任人及经费情况报送县实施农牧民补助奖励政策领导小组办公室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color w:val="auto"/>
          <w:kern w:val="0"/>
          <w:sz w:val="32"/>
          <w:szCs w:val="32"/>
          <w:highlight w:val="none"/>
          <w:lang w:val="en-US" w:eastAsia="zh-CN"/>
        </w:rPr>
      </w:pPr>
      <w:r>
        <w:rPr>
          <w:rFonts w:hint="default" w:ascii="Times New Roman" w:hAnsi="Times New Roman" w:eastAsia="仿宋_GB2312" w:cs="Times New Roman"/>
          <w:b w:val="0"/>
          <w:bCs w:val="0"/>
          <w:color w:val="auto"/>
          <w:kern w:val="0"/>
          <w:sz w:val="32"/>
          <w:szCs w:val="32"/>
          <w:highlight w:val="none"/>
          <w:lang w:val="en-US" w:eastAsia="zh-CN"/>
        </w:rPr>
        <w:t>2.相关部门通力协作。财政局、农业农村（畜牧兽医发展中心）、林业和草原局等部门要按照各自责分工，加强协作，密切配合。财政部门主要职责：审核农业农村局(畜牧兽医发展中心)资金分配方案，按照国库集中支付规定集中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b w:val="0"/>
          <w:bCs w:val="0"/>
          <w:color w:val="auto"/>
          <w:kern w:val="0"/>
          <w:sz w:val="32"/>
          <w:szCs w:val="32"/>
          <w:highlight w:val="none"/>
          <w:lang w:val="en-US" w:eastAsia="zh-CN"/>
        </w:rPr>
      </w:pPr>
      <w:r>
        <w:rPr>
          <w:rFonts w:hint="default" w:ascii="Times New Roman" w:hAnsi="Times New Roman" w:eastAsia="仿宋_GB2312" w:cs="Times New Roman"/>
          <w:b w:val="0"/>
          <w:bCs w:val="0"/>
          <w:color w:val="auto"/>
          <w:kern w:val="0"/>
          <w:sz w:val="32"/>
          <w:szCs w:val="32"/>
          <w:highlight w:val="none"/>
          <w:lang w:val="en-US" w:eastAsia="zh-CN"/>
        </w:rPr>
        <w:t>达、支付补助奖励资金，审核无误后按照国库集中支付流程，将</w:t>
      </w:r>
      <w:r>
        <w:rPr>
          <w:rFonts w:hint="default" w:ascii="Times New Roman" w:hAnsi="Times New Roman" w:eastAsia="仿宋_GB2312" w:cs="Times New Roman"/>
          <w:b w:val="0"/>
          <w:bCs w:val="0"/>
          <w:color w:val="auto"/>
          <w:kern w:val="0"/>
          <w:sz w:val="32"/>
          <w:szCs w:val="32"/>
          <w:highlight w:val="none"/>
          <w:lang w:val="en-US" w:eastAsia="zh-CN"/>
        </w:rPr>
        <w:tab/>
      </w:r>
      <w:r>
        <w:rPr>
          <w:rFonts w:hint="default" w:ascii="Times New Roman" w:hAnsi="Times New Roman" w:eastAsia="仿宋_GB2312" w:cs="Times New Roman"/>
          <w:b w:val="0"/>
          <w:bCs w:val="0"/>
          <w:color w:val="auto"/>
          <w:kern w:val="0"/>
          <w:sz w:val="32"/>
          <w:szCs w:val="32"/>
          <w:highlight w:val="none"/>
          <w:lang w:val="en-US" w:eastAsia="zh-CN"/>
        </w:rPr>
        <w:t>补贴资金和发放花名册信息一并提交代发金融机构。协同业务主管部门监督检查补助奖励资金使用情况。农业农村局（畜牧兽医发展中心）主要职责：牵头会同财政局、林业和草原局编制实施方案，组织补助奖励政策资金发放工作；林业和草原局主要职责：负责禁牧和草畜平衡监督管理，建立健全县、乡、村三级草原管护网络，加大对草原禁牧、草畜平衡制度落实情况的监督检查力度。特克斯县财政局、农业农村局（畜牧兽医发展中心）、林业和草原局共同组织对各乡镇场对实施方案落实情况进行抽查。</w:t>
      </w:r>
    </w:p>
    <w:p>
      <w:pPr>
        <w:keepNext w:val="0"/>
        <w:keepLines w:val="0"/>
        <w:pageBreakBefore w:val="0"/>
        <w:kinsoku/>
        <w:wordWrap/>
        <w:overflowPunct/>
        <w:topLinePunct w:val="0"/>
        <w:bidi w:val="0"/>
        <w:snapToGrid/>
        <w:spacing w:line="560" w:lineRule="exact"/>
        <w:ind w:firstLine="643"/>
        <w:textAlignment w:val="auto"/>
        <w:rPr>
          <w:rStyle w:val="15"/>
          <w:rFonts w:hint="default" w:ascii="Times New Roman" w:hAnsi="Times New Roman" w:eastAsia="楷体_GB2312" w:cs="Times New Roman"/>
          <w:b w:val="0"/>
          <w:bCs/>
          <w:color w:val="auto"/>
          <w:sz w:val="32"/>
          <w:szCs w:val="48"/>
          <w:highlight w:val="none"/>
          <w:lang w:val="en-US" w:eastAsia="zh-CN"/>
        </w:rPr>
      </w:pPr>
      <w:bookmarkStart w:id="16" w:name="_Toc32396_WPSOffice_Level2"/>
      <w:r>
        <w:rPr>
          <w:rStyle w:val="15"/>
          <w:rFonts w:hint="default" w:ascii="Times New Roman" w:hAnsi="Times New Roman" w:eastAsia="楷体_GB2312" w:cs="Times New Roman"/>
          <w:b w:val="0"/>
          <w:bCs/>
          <w:color w:val="auto"/>
          <w:sz w:val="32"/>
          <w:szCs w:val="48"/>
          <w:highlight w:val="none"/>
          <w:lang w:val="en-US" w:eastAsia="zh-CN"/>
        </w:rPr>
        <w:t>（二）工作流程</w:t>
      </w:r>
      <w:bookmarkEnd w:id="16"/>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bCs/>
          <w:snapToGrid w:val="0"/>
          <w:color w:val="auto"/>
          <w:sz w:val="32"/>
          <w:szCs w:val="32"/>
          <w:highlight w:val="none"/>
        </w:rPr>
      </w:pPr>
      <w:r>
        <w:rPr>
          <w:rFonts w:hint="default" w:ascii="Times New Roman" w:hAnsi="Times New Roman" w:eastAsia="仿宋_GB2312" w:cs="Times New Roman"/>
          <w:bCs/>
          <w:snapToGrid w:val="0"/>
          <w:color w:val="auto"/>
          <w:sz w:val="32"/>
          <w:szCs w:val="32"/>
          <w:highlight w:val="none"/>
        </w:rPr>
        <w:t>1.实施方案的编辑。特克斯县农业农村局牵头，会同财政局、林业和草原局编制实施方案，经特克斯县人民政府同意后，</w:t>
      </w:r>
      <w:r>
        <w:rPr>
          <w:rFonts w:hint="default" w:ascii="Times New Roman" w:hAnsi="Times New Roman" w:eastAsia="仿宋_GB2312" w:cs="Times New Roman"/>
          <w:bCs/>
          <w:snapToGrid w:val="0"/>
          <w:color w:val="auto"/>
          <w:sz w:val="32"/>
          <w:szCs w:val="32"/>
          <w:highlight w:val="none"/>
          <w:lang w:eastAsia="zh-CN"/>
        </w:rPr>
        <w:t>联合</w:t>
      </w:r>
      <w:r>
        <w:rPr>
          <w:rFonts w:hint="default" w:ascii="Times New Roman" w:hAnsi="Times New Roman" w:eastAsia="仿宋_GB2312" w:cs="Times New Roman"/>
          <w:bCs/>
          <w:snapToGrid w:val="0"/>
          <w:color w:val="auto"/>
          <w:sz w:val="32"/>
          <w:szCs w:val="32"/>
          <w:highlight w:val="none"/>
        </w:rPr>
        <w:t>报送伊犁州农业农村局</w:t>
      </w:r>
      <w:r>
        <w:rPr>
          <w:rFonts w:hint="default" w:ascii="Times New Roman" w:hAnsi="Times New Roman" w:eastAsia="仿宋_GB2312" w:cs="Times New Roman"/>
          <w:bCs/>
          <w:snapToGrid w:val="0"/>
          <w:color w:val="auto"/>
          <w:sz w:val="32"/>
          <w:szCs w:val="32"/>
          <w:highlight w:val="none"/>
          <w:lang w:eastAsia="zh-CN"/>
        </w:rPr>
        <w:t>、州</w:t>
      </w:r>
      <w:r>
        <w:rPr>
          <w:rFonts w:hint="default" w:ascii="Times New Roman" w:hAnsi="Times New Roman" w:eastAsia="仿宋_GB2312" w:cs="Times New Roman"/>
          <w:bCs/>
          <w:snapToGrid w:val="0"/>
          <w:color w:val="auto"/>
          <w:sz w:val="32"/>
          <w:szCs w:val="32"/>
          <w:highlight w:val="none"/>
        </w:rPr>
        <w:t>财政局、</w:t>
      </w:r>
      <w:r>
        <w:rPr>
          <w:rFonts w:hint="default" w:ascii="Times New Roman" w:hAnsi="Times New Roman" w:eastAsia="仿宋_GB2312" w:cs="Times New Roman"/>
          <w:bCs/>
          <w:snapToGrid w:val="0"/>
          <w:color w:val="auto"/>
          <w:sz w:val="32"/>
          <w:szCs w:val="32"/>
          <w:highlight w:val="none"/>
          <w:lang w:eastAsia="zh-CN"/>
        </w:rPr>
        <w:t>州</w:t>
      </w:r>
      <w:r>
        <w:rPr>
          <w:rFonts w:hint="default" w:ascii="Times New Roman" w:hAnsi="Times New Roman" w:eastAsia="仿宋_GB2312" w:cs="Times New Roman"/>
          <w:bCs/>
          <w:snapToGrid w:val="0"/>
          <w:color w:val="auto"/>
          <w:sz w:val="32"/>
          <w:szCs w:val="32"/>
          <w:highlight w:val="none"/>
        </w:rPr>
        <w:t>林业和草原局备案。</w:t>
      </w:r>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bCs/>
          <w:snapToGrid w:val="0"/>
          <w:color w:val="auto"/>
          <w:sz w:val="32"/>
          <w:szCs w:val="32"/>
          <w:highlight w:val="none"/>
        </w:rPr>
      </w:pPr>
      <w:r>
        <w:rPr>
          <w:rFonts w:hint="default" w:ascii="Times New Roman" w:hAnsi="Times New Roman" w:eastAsia="仿宋_GB2312" w:cs="Times New Roman"/>
          <w:bCs/>
          <w:snapToGrid w:val="0"/>
          <w:color w:val="auto"/>
          <w:sz w:val="32"/>
          <w:szCs w:val="32"/>
          <w:highlight w:val="none"/>
        </w:rPr>
        <w:t>2.各乡镇场人民政府负责补助奖励农牧民信息登记造册工作，将草原禁牧区域和草畜平衡区域落实具体地块，统计每户禁牧与草畜平衡面积，以及发放补助奖励资金数额，将牧民名单经公示无异议后，报县农业农村局（畜牧兽医</w:t>
      </w:r>
      <w:r>
        <w:rPr>
          <w:rFonts w:hint="default" w:ascii="Times New Roman" w:hAnsi="Times New Roman" w:eastAsia="仿宋_GB2312" w:cs="Times New Roman"/>
          <w:bCs/>
          <w:snapToGrid w:val="0"/>
          <w:color w:val="auto"/>
          <w:sz w:val="32"/>
          <w:szCs w:val="32"/>
          <w:highlight w:val="none"/>
          <w:lang w:eastAsia="zh-CN"/>
        </w:rPr>
        <w:t>发展中心</w:t>
      </w:r>
      <w:r>
        <w:rPr>
          <w:rFonts w:hint="default" w:ascii="Times New Roman" w:hAnsi="Times New Roman" w:eastAsia="仿宋_GB2312" w:cs="Times New Roman"/>
          <w:bCs/>
          <w:snapToGrid w:val="0"/>
          <w:color w:val="auto"/>
          <w:sz w:val="32"/>
          <w:szCs w:val="32"/>
          <w:highlight w:val="none"/>
        </w:rPr>
        <w:t>）、自然资源局、林业和草原局备案，并提交财政</w:t>
      </w:r>
      <w:r>
        <w:rPr>
          <w:rFonts w:hint="default" w:ascii="Times New Roman" w:hAnsi="Times New Roman" w:eastAsia="仿宋_GB2312" w:cs="Times New Roman"/>
          <w:bCs/>
          <w:snapToGrid w:val="0"/>
          <w:color w:val="auto"/>
          <w:sz w:val="32"/>
          <w:szCs w:val="32"/>
          <w:highlight w:val="none"/>
          <w:lang w:eastAsia="zh-CN"/>
        </w:rPr>
        <w:t>局</w:t>
      </w:r>
      <w:r>
        <w:rPr>
          <w:rFonts w:hint="default" w:ascii="Times New Roman" w:hAnsi="Times New Roman" w:eastAsia="仿宋_GB2312" w:cs="Times New Roman"/>
          <w:bCs/>
          <w:snapToGrid w:val="0"/>
          <w:color w:val="auto"/>
          <w:sz w:val="32"/>
          <w:szCs w:val="32"/>
          <w:highlight w:val="none"/>
        </w:rPr>
        <w:t>将资金发放到户。</w:t>
      </w:r>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bCs/>
          <w:snapToGrid w:val="0"/>
          <w:color w:val="auto"/>
          <w:sz w:val="32"/>
          <w:szCs w:val="32"/>
          <w:highlight w:val="none"/>
        </w:rPr>
      </w:pPr>
      <w:r>
        <w:rPr>
          <w:rFonts w:hint="default" w:ascii="Times New Roman" w:hAnsi="Times New Roman" w:eastAsia="仿宋_GB2312" w:cs="Times New Roman"/>
          <w:bCs/>
          <w:snapToGrid w:val="0"/>
          <w:color w:val="auto"/>
          <w:sz w:val="32"/>
          <w:szCs w:val="32"/>
          <w:highlight w:val="none"/>
        </w:rPr>
        <w:t>3、开展监督检查。特克斯县</w:t>
      </w:r>
      <w:r>
        <w:rPr>
          <w:rFonts w:hint="default" w:cs="Times New Roman"/>
          <w:b w:val="0"/>
          <w:bCs w:val="0"/>
          <w:color w:val="auto"/>
          <w:kern w:val="0"/>
          <w:sz w:val="32"/>
          <w:szCs w:val="32"/>
          <w:highlight w:val="none"/>
          <w:lang w:val="en-US" w:eastAsia="zh-CN"/>
        </w:rPr>
        <w:t>10</w:t>
      </w:r>
      <w:r>
        <w:rPr>
          <w:rFonts w:hint="default" w:ascii="Times New Roman" w:hAnsi="Times New Roman" w:eastAsia="仿宋_GB2312" w:cs="Times New Roman"/>
          <w:bCs/>
          <w:snapToGrid w:val="0"/>
          <w:color w:val="auto"/>
          <w:sz w:val="32"/>
          <w:szCs w:val="32"/>
          <w:highlight w:val="none"/>
        </w:rPr>
        <w:t>月底前组织开展补助奖励政策落实情况监督考核，特克斯县</w:t>
      </w:r>
      <w:r>
        <w:rPr>
          <w:rFonts w:hint="eastAsia" w:cs="Times New Roman"/>
          <w:bCs/>
          <w:snapToGrid w:val="0"/>
          <w:color w:val="auto"/>
          <w:sz w:val="32"/>
          <w:szCs w:val="32"/>
          <w:highlight w:val="none"/>
          <w:lang w:eastAsia="zh-CN"/>
        </w:rPr>
        <w:t>重要</w:t>
      </w:r>
      <w:r>
        <w:rPr>
          <w:rFonts w:hint="default" w:ascii="Times New Roman" w:hAnsi="Times New Roman" w:eastAsia="仿宋_GB2312" w:cs="Times New Roman"/>
          <w:bCs/>
          <w:snapToGrid w:val="0"/>
          <w:color w:val="auto"/>
          <w:sz w:val="32"/>
          <w:szCs w:val="32"/>
          <w:highlight w:val="none"/>
        </w:rPr>
        <w:t>水源涵养禁牧区抽查检查做到全覆盖，草畜平衡抽查不低于</w:t>
      </w:r>
      <w:r>
        <w:rPr>
          <w:rFonts w:hint="default" w:cs="Times New Roman"/>
          <w:b w:val="0"/>
          <w:bCs w:val="0"/>
          <w:color w:val="auto"/>
          <w:kern w:val="0"/>
          <w:sz w:val="32"/>
          <w:szCs w:val="32"/>
          <w:highlight w:val="none"/>
          <w:lang w:val="en-US" w:eastAsia="zh-CN"/>
        </w:rPr>
        <w:t>70%</w:t>
      </w:r>
      <w:r>
        <w:rPr>
          <w:rFonts w:hint="default" w:ascii="Times New Roman" w:hAnsi="Times New Roman" w:eastAsia="仿宋_GB2312" w:cs="Times New Roman"/>
          <w:bCs/>
          <w:snapToGrid w:val="0"/>
          <w:color w:val="auto"/>
          <w:sz w:val="32"/>
          <w:szCs w:val="32"/>
          <w:highlight w:val="none"/>
        </w:rPr>
        <w:t>。</w:t>
      </w:r>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bCs/>
          <w:snapToGrid w:val="0"/>
          <w:color w:val="auto"/>
          <w:sz w:val="32"/>
          <w:szCs w:val="32"/>
          <w:highlight w:val="none"/>
        </w:rPr>
      </w:pPr>
      <w:bookmarkStart w:id="17" w:name="_Toc27905_WPSOffice_Level1"/>
      <w:r>
        <w:rPr>
          <w:rFonts w:hint="default" w:ascii="Times New Roman" w:hAnsi="Times New Roman" w:eastAsia="仿宋_GB2312" w:cs="Times New Roman"/>
          <w:bCs/>
          <w:snapToGrid w:val="0"/>
          <w:color w:val="auto"/>
          <w:sz w:val="32"/>
          <w:szCs w:val="32"/>
          <w:highlight w:val="none"/>
        </w:rPr>
        <w:t>4、发放补助奖励资金。由各乡镇（场）人民政府负责将补助奖励政策资金发放登记造册，并在各村委会公示，公示期间不少于</w:t>
      </w:r>
      <w:r>
        <w:rPr>
          <w:rFonts w:hint="eastAsia" w:cs="Times New Roman"/>
          <w:bCs/>
          <w:snapToGrid w:val="0"/>
          <w:color w:val="auto"/>
          <w:sz w:val="32"/>
          <w:szCs w:val="32"/>
          <w:highlight w:val="none"/>
          <w:lang w:val="en-US" w:eastAsia="zh-CN"/>
        </w:rPr>
        <w:t>5个工作日</w:t>
      </w:r>
      <w:r>
        <w:rPr>
          <w:rFonts w:hint="default" w:ascii="Times New Roman" w:hAnsi="Times New Roman" w:eastAsia="仿宋_GB2312" w:cs="Times New Roman"/>
          <w:bCs/>
          <w:snapToGrid w:val="0"/>
          <w:color w:val="auto"/>
          <w:sz w:val="32"/>
          <w:szCs w:val="32"/>
          <w:highlight w:val="none"/>
        </w:rPr>
        <w:t>，对公示无异议的，由各乡镇人民政府将补助奖励花名册提交到县农业农村局(畜牧兽医发展中心)、林业和草原局审核备案，审核通过后，由农业农村局在预算管理一体化系统(2.0版)建立当期补贴批次,各乡镇人民政府按照审核通过后的补助奖励花名册录入“一卡通”系统后，提请农业农村局、财政局依次进行审核。承办金融机构通过“</w:t>
      </w:r>
      <w:r>
        <w:rPr>
          <w:rFonts w:hint="eastAsia" w:cs="Times New Roman"/>
          <w:bCs/>
          <w:snapToGrid w:val="0"/>
          <w:color w:val="auto"/>
          <w:sz w:val="32"/>
          <w:szCs w:val="32"/>
          <w:highlight w:val="none"/>
          <w:lang w:val="en-US" w:eastAsia="zh-CN"/>
        </w:rPr>
        <w:t>一</w:t>
      </w:r>
      <w:r>
        <w:rPr>
          <w:rFonts w:hint="default" w:ascii="Times New Roman" w:hAnsi="Times New Roman" w:eastAsia="仿宋_GB2312" w:cs="Times New Roman"/>
          <w:bCs/>
          <w:snapToGrid w:val="0"/>
          <w:color w:val="auto"/>
          <w:sz w:val="32"/>
          <w:szCs w:val="32"/>
          <w:highlight w:val="none"/>
        </w:rPr>
        <w:t>卡通”等形式向补贴对象兑付资金，并明确标识补贴资金为“草原生态保护补助”。</w:t>
      </w:r>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黑体" w:cs="Times New Roman"/>
          <w:b w:val="0"/>
          <w:bCs/>
          <w:color w:val="auto"/>
          <w:sz w:val="32"/>
          <w:szCs w:val="32"/>
          <w:highlight w:val="none"/>
        </w:rPr>
      </w:pPr>
      <w:r>
        <w:rPr>
          <w:rFonts w:hint="default" w:ascii="Times New Roman" w:hAnsi="Times New Roman" w:eastAsia="黑体" w:cs="Times New Roman"/>
          <w:b w:val="0"/>
          <w:bCs/>
          <w:color w:val="auto"/>
          <w:sz w:val="32"/>
          <w:szCs w:val="32"/>
          <w:highlight w:val="none"/>
        </w:rPr>
        <w:t>四、工作方案</w:t>
      </w:r>
      <w:bookmarkEnd w:id="17"/>
    </w:p>
    <w:p>
      <w:pPr>
        <w:keepNext w:val="0"/>
        <w:keepLines w:val="0"/>
        <w:pageBreakBefore w:val="0"/>
        <w:kinsoku/>
        <w:wordWrap/>
        <w:overflowPunct/>
        <w:topLinePunct w:val="0"/>
        <w:bidi w:val="0"/>
        <w:snapToGrid/>
        <w:spacing w:line="560" w:lineRule="exact"/>
        <w:ind w:firstLine="643"/>
        <w:textAlignment w:val="auto"/>
        <w:rPr>
          <w:rStyle w:val="15"/>
          <w:rFonts w:hint="default" w:ascii="Times New Roman" w:hAnsi="Times New Roman" w:eastAsia="楷体_GB2312" w:cs="Times New Roman"/>
          <w:b w:val="0"/>
          <w:bCs/>
          <w:color w:val="auto"/>
          <w:sz w:val="32"/>
          <w:szCs w:val="48"/>
          <w:highlight w:val="none"/>
          <w:lang w:val="en-US" w:eastAsia="zh-CN"/>
        </w:rPr>
      </w:pPr>
      <w:bookmarkStart w:id="18" w:name="_Toc24302_WPSOffice_Level2"/>
      <w:r>
        <w:rPr>
          <w:rStyle w:val="15"/>
          <w:rFonts w:hint="default" w:ascii="Times New Roman" w:hAnsi="Times New Roman" w:eastAsia="楷体_GB2312" w:cs="Times New Roman"/>
          <w:b w:val="0"/>
          <w:bCs/>
          <w:color w:val="auto"/>
          <w:sz w:val="32"/>
          <w:szCs w:val="48"/>
          <w:highlight w:val="none"/>
          <w:lang w:val="en-US" w:eastAsia="zh-CN"/>
        </w:rPr>
        <w:t>（一）禁牧方案</w:t>
      </w:r>
      <w:bookmarkEnd w:id="18"/>
    </w:p>
    <w:p>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 w:val="0"/>
          <w:bCs/>
          <w:snapToGrid w:val="0"/>
          <w:color w:val="auto"/>
          <w:sz w:val="32"/>
          <w:szCs w:val="32"/>
          <w:highlight w:val="none"/>
        </w:rPr>
        <w:t>1</w:t>
      </w:r>
      <w:r>
        <w:rPr>
          <w:rFonts w:hint="default" w:ascii="Times New Roman" w:hAnsi="Times New Roman" w:cs="Times New Roman"/>
          <w:b w:val="0"/>
          <w:bCs/>
          <w:snapToGrid w:val="0"/>
          <w:color w:val="auto"/>
          <w:sz w:val="32"/>
          <w:szCs w:val="32"/>
          <w:highlight w:val="none"/>
          <w:lang w:val="en-US" w:eastAsia="zh-CN"/>
        </w:rPr>
        <w:t>.</w:t>
      </w:r>
      <w:r>
        <w:rPr>
          <w:rFonts w:hint="default" w:ascii="Times New Roman" w:hAnsi="Times New Roman" w:eastAsia="仿宋_GB2312" w:cs="Times New Roman"/>
          <w:b w:val="0"/>
          <w:bCs/>
          <w:snapToGrid w:val="0"/>
          <w:color w:val="auto"/>
          <w:sz w:val="32"/>
          <w:szCs w:val="32"/>
          <w:highlight w:val="none"/>
        </w:rPr>
        <w:t>禁牧区域：</w:t>
      </w:r>
      <w:r>
        <w:rPr>
          <w:rFonts w:hint="default" w:ascii="Times New Roman" w:hAnsi="Times New Roman" w:eastAsia="仿宋_GB2312" w:cs="Times New Roman"/>
          <w:bCs/>
          <w:color w:val="auto"/>
          <w:sz w:val="32"/>
          <w:szCs w:val="32"/>
          <w:highlight w:val="none"/>
        </w:rPr>
        <w:t>禁牧总面积</w:t>
      </w:r>
      <w:r>
        <w:rPr>
          <w:rFonts w:hint="eastAsia" w:cs="Times New Roman"/>
          <w:b w:val="0"/>
          <w:bCs w:val="0"/>
          <w:color w:val="auto"/>
          <w:kern w:val="0"/>
          <w:sz w:val="32"/>
          <w:szCs w:val="32"/>
          <w:highlight w:val="none"/>
          <w:lang w:val="en-US" w:eastAsia="zh-CN"/>
        </w:rPr>
        <w:t>60.8716167</w:t>
      </w:r>
      <w:r>
        <w:rPr>
          <w:rFonts w:hint="default" w:ascii="Times New Roman" w:hAnsi="Times New Roman" w:eastAsia="仿宋_GB2312" w:cs="Times New Roman"/>
          <w:bCs/>
          <w:color w:val="auto"/>
          <w:sz w:val="32"/>
          <w:szCs w:val="32"/>
          <w:highlight w:val="none"/>
        </w:rPr>
        <w:t>万亩，分两部分：</w:t>
      </w:r>
    </w:p>
    <w:p>
      <w:pPr>
        <w:keepNext w:val="0"/>
        <w:keepLines w:val="0"/>
        <w:pageBreakBefore w:val="0"/>
        <w:kinsoku/>
        <w:wordWrap/>
        <w:overflowPunct/>
        <w:topLinePunct w:val="0"/>
        <w:bidi w:val="0"/>
        <w:snapToGrid/>
        <w:spacing w:line="560" w:lineRule="exact"/>
        <w:ind w:firstLine="640" w:firstLineChars="200"/>
        <w:textAlignment w:val="auto"/>
        <w:rPr>
          <w:rFonts w:hint="default" w:cs="Times New Roman"/>
          <w:b w:val="0"/>
          <w:bCs w:val="0"/>
          <w:color w:val="auto"/>
          <w:kern w:val="0"/>
          <w:sz w:val="32"/>
          <w:szCs w:val="32"/>
          <w:highlight w:val="none"/>
          <w:lang w:val="en-US" w:eastAsia="zh-CN"/>
        </w:rPr>
      </w:pPr>
      <w:r>
        <w:rPr>
          <w:rFonts w:hint="default" w:cs="Times New Roman"/>
          <w:b w:val="0"/>
          <w:bCs w:val="0"/>
          <w:color w:val="auto"/>
          <w:kern w:val="0"/>
          <w:sz w:val="32"/>
          <w:szCs w:val="32"/>
          <w:highlight w:val="none"/>
          <w:lang w:val="en-US" w:eastAsia="zh-CN"/>
        </w:rPr>
        <w:t>第一部分：严重退化区和风沙源区禁牧23.7286万亩</w:t>
      </w:r>
      <w:r>
        <w:rPr>
          <w:rFonts w:hint="eastAsia" w:cs="Times New Roman"/>
          <w:b w:val="0"/>
          <w:bCs w:val="0"/>
          <w:color w:val="auto"/>
          <w:kern w:val="0"/>
          <w:sz w:val="32"/>
          <w:szCs w:val="32"/>
          <w:highlight w:val="none"/>
          <w:lang w:val="en-US" w:eastAsia="zh-CN"/>
        </w:rPr>
        <w:t>。</w:t>
      </w:r>
      <w:r>
        <w:rPr>
          <w:rFonts w:hint="default" w:cs="Times New Roman"/>
          <w:b w:val="0"/>
          <w:bCs w:val="0"/>
          <w:color w:val="auto"/>
          <w:kern w:val="0"/>
          <w:sz w:val="32"/>
          <w:szCs w:val="32"/>
          <w:highlight w:val="none"/>
          <w:lang w:val="en-US" w:eastAsia="zh-CN"/>
        </w:rPr>
        <w:t>其中：特克斯镇库克</w:t>
      </w:r>
      <w:r>
        <w:rPr>
          <w:rFonts w:hint="eastAsia" w:cs="Times New Roman"/>
          <w:b w:val="0"/>
          <w:bCs w:val="0"/>
          <w:color w:val="auto"/>
          <w:kern w:val="0"/>
          <w:sz w:val="32"/>
          <w:szCs w:val="32"/>
          <w:highlight w:val="none"/>
          <w:lang w:val="en-US" w:eastAsia="zh-CN"/>
        </w:rPr>
        <w:t>卓</w:t>
      </w:r>
      <w:r>
        <w:rPr>
          <w:rFonts w:hint="default" w:cs="Times New Roman"/>
          <w:b w:val="0"/>
          <w:bCs w:val="0"/>
          <w:color w:val="auto"/>
          <w:kern w:val="0"/>
          <w:sz w:val="32"/>
          <w:szCs w:val="32"/>
          <w:highlight w:val="none"/>
          <w:lang w:val="en-US" w:eastAsia="zh-CN"/>
        </w:rPr>
        <w:t>塔0.6624万亩</w:t>
      </w:r>
      <w:r>
        <w:rPr>
          <w:rFonts w:hint="eastAsia" w:cs="Times New Roman"/>
          <w:b w:val="0"/>
          <w:bCs w:val="0"/>
          <w:color w:val="auto"/>
          <w:kern w:val="0"/>
          <w:sz w:val="32"/>
          <w:szCs w:val="32"/>
          <w:highlight w:val="none"/>
          <w:lang w:val="en-US" w:eastAsia="zh-CN"/>
        </w:rPr>
        <w:t>，</w:t>
      </w:r>
      <w:r>
        <w:rPr>
          <w:rFonts w:hint="default" w:cs="Times New Roman"/>
          <w:b w:val="0"/>
          <w:bCs w:val="0"/>
          <w:color w:val="auto"/>
          <w:kern w:val="0"/>
          <w:sz w:val="32"/>
          <w:szCs w:val="32"/>
          <w:highlight w:val="none"/>
          <w:lang w:val="en-US" w:eastAsia="zh-CN"/>
        </w:rPr>
        <w:t>呼吉尔图蒙古民族乡库克卓塔1.5044万亩</w:t>
      </w:r>
      <w:r>
        <w:rPr>
          <w:rFonts w:hint="eastAsia" w:cs="Times New Roman"/>
          <w:b w:val="0"/>
          <w:bCs w:val="0"/>
          <w:color w:val="auto"/>
          <w:kern w:val="0"/>
          <w:sz w:val="32"/>
          <w:szCs w:val="32"/>
          <w:highlight w:val="none"/>
          <w:lang w:val="en-US" w:eastAsia="zh-CN"/>
        </w:rPr>
        <w:t>，</w:t>
      </w:r>
      <w:r>
        <w:rPr>
          <w:rFonts w:hint="default" w:cs="Times New Roman"/>
          <w:b w:val="0"/>
          <w:bCs w:val="0"/>
          <w:color w:val="auto"/>
          <w:kern w:val="0"/>
          <w:sz w:val="32"/>
          <w:szCs w:val="32"/>
          <w:highlight w:val="none"/>
          <w:lang w:val="en-US" w:eastAsia="zh-CN"/>
        </w:rPr>
        <w:t>齐勒乌泽克镇苏阿苏</w:t>
      </w:r>
      <w:r>
        <w:rPr>
          <w:rFonts w:hint="eastAsia" w:cs="Times New Roman"/>
          <w:b w:val="0"/>
          <w:bCs w:val="0"/>
          <w:color w:val="auto"/>
          <w:kern w:val="0"/>
          <w:sz w:val="32"/>
          <w:szCs w:val="32"/>
          <w:highlight w:val="none"/>
          <w:lang w:val="en-US" w:eastAsia="zh-CN"/>
        </w:rPr>
        <w:t>、</w:t>
      </w:r>
      <w:r>
        <w:rPr>
          <w:rFonts w:hint="default" w:cs="Times New Roman"/>
          <w:b w:val="0"/>
          <w:bCs w:val="0"/>
          <w:color w:val="auto"/>
          <w:kern w:val="0"/>
          <w:sz w:val="32"/>
          <w:szCs w:val="32"/>
          <w:highlight w:val="none"/>
          <w:lang w:val="en-US" w:eastAsia="zh-CN"/>
        </w:rPr>
        <w:t>巴哈勒克区域1.7341万亩</w:t>
      </w:r>
      <w:r>
        <w:rPr>
          <w:rFonts w:hint="eastAsia" w:cs="Times New Roman"/>
          <w:b w:val="0"/>
          <w:bCs w:val="0"/>
          <w:color w:val="auto"/>
          <w:kern w:val="0"/>
          <w:sz w:val="32"/>
          <w:szCs w:val="32"/>
          <w:highlight w:val="none"/>
          <w:lang w:val="en-US" w:eastAsia="zh-CN"/>
        </w:rPr>
        <w:t>，</w:t>
      </w:r>
      <w:r>
        <w:rPr>
          <w:rFonts w:hint="default" w:cs="Times New Roman"/>
          <w:b w:val="0"/>
          <w:bCs w:val="0"/>
          <w:color w:val="auto"/>
          <w:kern w:val="0"/>
          <w:sz w:val="32"/>
          <w:szCs w:val="32"/>
          <w:highlight w:val="none"/>
          <w:lang w:val="en-US" w:eastAsia="zh-CN"/>
        </w:rPr>
        <w:t>阔克铁热克乡</w:t>
      </w:r>
      <w:r>
        <w:rPr>
          <w:rFonts w:hint="eastAsia" w:cs="Times New Roman"/>
          <w:b w:val="0"/>
          <w:bCs w:val="0"/>
          <w:color w:val="auto"/>
          <w:kern w:val="0"/>
          <w:sz w:val="32"/>
          <w:szCs w:val="32"/>
          <w:highlight w:val="none"/>
          <w:lang w:val="en-US" w:eastAsia="zh-CN"/>
        </w:rPr>
        <w:t>赛克</w:t>
      </w:r>
      <w:r>
        <w:rPr>
          <w:rFonts w:hint="default" w:cs="Times New Roman"/>
          <w:b w:val="0"/>
          <w:bCs w:val="0"/>
          <w:color w:val="auto"/>
          <w:kern w:val="0"/>
          <w:sz w:val="32"/>
          <w:szCs w:val="32"/>
          <w:highlight w:val="none"/>
          <w:lang w:val="en-US" w:eastAsia="zh-CN"/>
        </w:rPr>
        <w:t>3.2</w:t>
      </w:r>
      <w:r>
        <w:rPr>
          <w:rFonts w:hint="eastAsia" w:cs="Times New Roman"/>
          <w:b w:val="0"/>
          <w:bCs w:val="0"/>
          <w:color w:val="auto"/>
          <w:kern w:val="0"/>
          <w:sz w:val="32"/>
          <w:szCs w:val="32"/>
          <w:highlight w:val="none"/>
          <w:lang w:val="en-US" w:eastAsia="zh-CN"/>
        </w:rPr>
        <w:t>1</w:t>
      </w:r>
      <w:r>
        <w:rPr>
          <w:rFonts w:hint="default" w:cs="Times New Roman"/>
          <w:b w:val="0"/>
          <w:bCs w:val="0"/>
          <w:color w:val="auto"/>
          <w:kern w:val="0"/>
          <w:sz w:val="32"/>
          <w:szCs w:val="32"/>
          <w:highlight w:val="none"/>
          <w:lang w:val="en-US" w:eastAsia="zh-CN"/>
        </w:rPr>
        <w:t>26万亩</w:t>
      </w:r>
      <w:r>
        <w:rPr>
          <w:rFonts w:hint="eastAsia" w:cs="Times New Roman"/>
          <w:b w:val="0"/>
          <w:bCs w:val="0"/>
          <w:color w:val="auto"/>
          <w:kern w:val="0"/>
          <w:sz w:val="32"/>
          <w:szCs w:val="32"/>
          <w:highlight w:val="none"/>
          <w:lang w:val="en-US" w:eastAsia="zh-CN"/>
        </w:rPr>
        <w:t>，</w:t>
      </w:r>
      <w:r>
        <w:rPr>
          <w:rFonts w:hint="default" w:cs="Times New Roman"/>
          <w:b w:val="0"/>
          <w:bCs w:val="0"/>
          <w:color w:val="auto"/>
          <w:kern w:val="0"/>
          <w:sz w:val="32"/>
          <w:szCs w:val="32"/>
          <w:highlight w:val="none"/>
          <w:lang w:val="en-US" w:eastAsia="zh-CN"/>
        </w:rPr>
        <w:t>乔拉克铁热克镇托斯、塞里布江7.9</w:t>
      </w:r>
      <w:r>
        <w:rPr>
          <w:rFonts w:hint="eastAsia" w:cs="Times New Roman"/>
          <w:b w:val="0"/>
          <w:bCs w:val="0"/>
          <w:color w:val="auto"/>
          <w:kern w:val="0"/>
          <w:sz w:val="32"/>
          <w:szCs w:val="32"/>
          <w:highlight w:val="none"/>
          <w:lang w:val="en-US" w:eastAsia="zh-CN"/>
        </w:rPr>
        <w:t>9</w:t>
      </w:r>
      <w:r>
        <w:rPr>
          <w:rFonts w:hint="default" w:cs="Times New Roman"/>
          <w:b w:val="0"/>
          <w:bCs w:val="0"/>
          <w:color w:val="auto"/>
          <w:kern w:val="0"/>
          <w:sz w:val="32"/>
          <w:szCs w:val="32"/>
          <w:highlight w:val="none"/>
          <w:lang w:val="en-US" w:eastAsia="zh-CN"/>
        </w:rPr>
        <w:t>45万亩</w:t>
      </w:r>
      <w:r>
        <w:rPr>
          <w:rFonts w:hint="eastAsia" w:cs="Times New Roman"/>
          <w:b w:val="0"/>
          <w:bCs w:val="0"/>
          <w:color w:val="auto"/>
          <w:kern w:val="0"/>
          <w:sz w:val="32"/>
          <w:szCs w:val="32"/>
          <w:highlight w:val="none"/>
          <w:lang w:val="en-US" w:eastAsia="zh-CN"/>
        </w:rPr>
        <w:t>，</w:t>
      </w:r>
      <w:r>
        <w:rPr>
          <w:rFonts w:hint="default" w:cs="Times New Roman"/>
          <w:b w:val="0"/>
          <w:bCs w:val="0"/>
          <w:color w:val="auto"/>
          <w:kern w:val="0"/>
          <w:sz w:val="32"/>
          <w:szCs w:val="32"/>
          <w:highlight w:val="none"/>
          <w:lang w:val="en-US" w:eastAsia="zh-CN"/>
        </w:rPr>
        <w:t>喀拉达拉镇喀拉峻、喀拉安特、琼库什台4.6513万亩</w:t>
      </w:r>
      <w:r>
        <w:rPr>
          <w:rFonts w:hint="eastAsia" w:cs="Times New Roman"/>
          <w:b w:val="0"/>
          <w:bCs w:val="0"/>
          <w:color w:val="auto"/>
          <w:kern w:val="0"/>
          <w:sz w:val="32"/>
          <w:szCs w:val="32"/>
          <w:highlight w:val="none"/>
          <w:lang w:val="en-US" w:eastAsia="zh-CN"/>
        </w:rPr>
        <w:t>，</w:t>
      </w:r>
      <w:r>
        <w:rPr>
          <w:rFonts w:hint="default" w:cs="Times New Roman"/>
          <w:b w:val="0"/>
          <w:bCs w:val="0"/>
          <w:color w:val="auto"/>
          <w:kern w:val="0"/>
          <w:sz w:val="32"/>
          <w:szCs w:val="32"/>
          <w:highlight w:val="none"/>
          <w:lang w:val="en-US" w:eastAsia="zh-CN"/>
        </w:rPr>
        <w:t>喀拉托海镇克尔干布拉克托斯1.3056万亩</w:t>
      </w:r>
      <w:r>
        <w:rPr>
          <w:rFonts w:hint="eastAsia" w:cs="Times New Roman"/>
          <w:b w:val="0"/>
          <w:bCs w:val="0"/>
          <w:color w:val="auto"/>
          <w:kern w:val="0"/>
          <w:sz w:val="32"/>
          <w:szCs w:val="32"/>
          <w:highlight w:val="none"/>
          <w:lang w:val="en-US" w:eastAsia="zh-CN"/>
        </w:rPr>
        <w:t>，</w:t>
      </w:r>
      <w:r>
        <w:rPr>
          <w:rFonts w:hint="default" w:cs="Times New Roman"/>
          <w:b w:val="0"/>
          <w:bCs w:val="0"/>
          <w:color w:val="auto"/>
          <w:kern w:val="0"/>
          <w:sz w:val="32"/>
          <w:szCs w:val="32"/>
          <w:highlight w:val="none"/>
          <w:lang w:val="en-US" w:eastAsia="zh-CN"/>
        </w:rPr>
        <w:t>特克斯马场特坎德2.2637万亩</w:t>
      </w:r>
      <w:r>
        <w:rPr>
          <w:rFonts w:hint="eastAsia" w:cs="Times New Roman"/>
          <w:b w:val="0"/>
          <w:bCs w:val="0"/>
          <w:color w:val="auto"/>
          <w:kern w:val="0"/>
          <w:sz w:val="32"/>
          <w:szCs w:val="32"/>
          <w:highlight w:val="none"/>
          <w:lang w:val="en-US" w:eastAsia="zh-CN"/>
        </w:rPr>
        <w:t>，</w:t>
      </w:r>
      <w:r>
        <w:rPr>
          <w:rFonts w:hint="default" w:cs="Times New Roman"/>
          <w:b w:val="0"/>
          <w:bCs w:val="0"/>
          <w:color w:val="auto"/>
          <w:kern w:val="0"/>
          <w:sz w:val="32"/>
          <w:szCs w:val="32"/>
          <w:highlight w:val="none"/>
          <w:lang w:val="en-US" w:eastAsia="zh-CN"/>
        </w:rPr>
        <w:t>巩乃斯羊场</w:t>
      </w:r>
      <w:r>
        <w:rPr>
          <w:rFonts w:hint="eastAsia" w:cs="Times New Roman"/>
          <w:b w:val="0"/>
          <w:bCs w:val="0"/>
          <w:color w:val="auto"/>
          <w:kern w:val="0"/>
          <w:sz w:val="32"/>
          <w:szCs w:val="32"/>
          <w:highlight w:val="none"/>
          <w:lang w:val="en-US" w:eastAsia="zh-CN"/>
        </w:rPr>
        <w:t>0</w:t>
      </w:r>
      <w:r>
        <w:rPr>
          <w:rFonts w:hint="default" w:cs="Times New Roman"/>
          <w:b w:val="0"/>
          <w:bCs w:val="0"/>
          <w:color w:val="auto"/>
          <w:kern w:val="0"/>
          <w:sz w:val="32"/>
          <w:szCs w:val="32"/>
          <w:highlight w:val="none"/>
          <w:lang w:val="en-US" w:eastAsia="zh-CN"/>
        </w:rPr>
        <w:t>.</w:t>
      </w:r>
      <w:r>
        <w:rPr>
          <w:rFonts w:hint="eastAsia" w:cs="Times New Roman"/>
          <w:b w:val="0"/>
          <w:bCs w:val="0"/>
          <w:color w:val="auto"/>
          <w:kern w:val="0"/>
          <w:sz w:val="32"/>
          <w:szCs w:val="32"/>
          <w:highlight w:val="none"/>
          <w:lang w:val="en-US" w:eastAsia="zh-CN"/>
        </w:rPr>
        <w:t>4</w:t>
      </w:r>
      <w:r>
        <w:rPr>
          <w:rFonts w:hint="default" w:cs="Times New Roman"/>
          <w:b w:val="0"/>
          <w:bCs w:val="0"/>
          <w:color w:val="auto"/>
          <w:kern w:val="0"/>
          <w:sz w:val="32"/>
          <w:szCs w:val="32"/>
          <w:highlight w:val="none"/>
          <w:lang w:val="en-US" w:eastAsia="zh-CN"/>
        </w:rPr>
        <w:t>万亩。</w:t>
      </w:r>
    </w:p>
    <w:p>
      <w:pPr>
        <w:keepNext w:val="0"/>
        <w:keepLines w:val="0"/>
        <w:pageBreakBefore w:val="0"/>
        <w:kinsoku/>
        <w:wordWrap/>
        <w:overflowPunct/>
        <w:topLinePunct w:val="0"/>
        <w:bidi w:val="0"/>
        <w:snapToGrid/>
        <w:spacing w:line="560" w:lineRule="exact"/>
        <w:ind w:firstLine="640" w:firstLineChars="200"/>
        <w:textAlignment w:val="auto"/>
        <w:rPr>
          <w:rFonts w:hint="default" w:cs="Times New Roman"/>
          <w:b w:val="0"/>
          <w:bCs w:val="0"/>
          <w:color w:val="auto"/>
          <w:kern w:val="0"/>
          <w:sz w:val="32"/>
          <w:szCs w:val="32"/>
          <w:highlight w:val="none"/>
          <w:lang w:val="en-US" w:eastAsia="zh-CN"/>
        </w:rPr>
      </w:pPr>
      <w:r>
        <w:rPr>
          <w:rFonts w:hint="default" w:cs="Times New Roman"/>
          <w:b w:val="0"/>
          <w:bCs w:val="0"/>
          <w:color w:val="auto"/>
          <w:kern w:val="0"/>
          <w:sz w:val="32"/>
          <w:szCs w:val="32"/>
          <w:highlight w:val="none"/>
          <w:lang w:val="en-US" w:eastAsia="zh-CN"/>
        </w:rPr>
        <w:t>第二部分：重要水源地和保护区喀拉峻、喀英德、喀拉安特、阿腾套、人体草原、阿克塔斯夏草场禁牧37.1430167万亩</w:t>
      </w:r>
      <w:r>
        <w:rPr>
          <w:rFonts w:hint="eastAsia" w:cs="Times New Roman"/>
          <w:b w:val="0"/>
          <w:bCs w:val="0"/>
          <w:color w:val="auto"/>
          <w:kern w:val="0"/>
          <w:sz w:val="32"/>
          <w:szCs w:val="32"/>
          <w:highlight w:val="none"/>
          <w:lang w:val="en-US" w:eastAsia="zh-CN"/>
        </w:rPr>
        <w:t>。</w:t>
      </w:r>
      <w:r>
        <w:rPr>
          <w:rFonts w:hint="default" w:cs="Times New Roman"/>
          <w:b w:val="0"/>
          <w:bCs w:val="0"/>
          <w:color w:val="auto"/>
          <w:kern w:val="0"/>
          <w:sz w:val="32"/>
          <w:szCs w:val="32"/>
          <w:highlight w:val="none"/>
          <w:lang w:val="en-US" w:eastAsia="zh-CN"/>
        </w:rPr>
        <w:t>其中：</w:t>
      </w:r>
      <w:r>
        <w:rPr>
          <w:rFonts w:hint="eastAsia" w:cs="Times New Roman"/>
          <w:b w:val="0"/>
          <w:bCs w:val="0"/>
          <w:color w:val="auto"/>
          <w:kern w:val="0"/>
          <w:sz w:val="32"/>
          <w:szCs w:val="32"/>
          <w:highlight w:val="none"/>
          <w:lang w:val="en-US" w:eastAsia="zh-CN"/>
        </w:rPr>
        <w:t>阔</w:t>
      </w:r>
      <w:r>
        <w:rPr>
          <w:rFonts w:hint="default" w:cs="Times New Roman"/>
          <w:b w:val="0"/>
          <w:bCs w:val="0"/>
          <w:color w:val="auto"/>
          <w:kern w:val="0"/>
          <w:sz w:val="32"/>
          <w:szCs w:val="32"/>
          <w:highlight w:val="none"/>
          <w:lang w:val="en-US" w:eastAsia="zh-CN"/>
        </w:rPr>
        <w:t>克苏乡0.7745万亩，特克斯镇</w:t>
      </w:r>
      <w:r>
        <w:rPr>
          <w:rFonts w:hint="eastAsia" w:cs="Times New Roman"/>
          <w:b w:val="0"/>
          <w:bCs w:val="0"/>
          <w:color w:val="auto"/>
          <w:kern w:val="0"/>
          <w:sz w:val="32"/>
          <w:szCs w:val="32"/>
          <w:highlight w:val="none"/>
          <w:lang w:val="en-US" w:eastAsia="zh-CN"/>
        </w:rPr>
        <w:t>1.8108167</w:t>
      </w:r>
      <w:r>
        <w:rPr>
          <w:rFonts w:hint="default" w:cs="Times New Roman"/>
          <w:b w:val="0"/>
          <w:bCs w:val="0"/>
          <w:color w:val="auto"/>
          <w:kern w:val="0"/>
          <w:sz w:val="32"/>
          <w:szCs w:val="32"/>
          <w:highlight w:val="none"/>
          <w:lang w:val="en-US" w:eastAsia="zh-CN"/>
        </w:rPr>
        <w:t>万亩，呼吉尔图蒙古民族乡1.4409万亩，齐勒乌泽克镇</w:t>
      </w:r>
      <w:r>
        <w:rPr>
          <w:rFonts w:hint="eastAsia" w:cs="Times New Roman"/>
          <w:b w:val="0"/>
          <w:bCs w:val="0"/>
          <w:color w:val="auto"/>
          <w:kern w:val="0"/>
          <w:sz w:val="32"/>
          <w:szCs w:val="32"/>
          <w:highlight w:val="none"/>
          <w:lang w:val="en-US" w:eastAsia="zh-CN"/>
        </w:rPr>
        <w:t>3.6101</w:t>
      </w:r>
      <w:r>
        <w:rPr>
          <w:rFonts w:hint="default" w:cs="Times New Roman"/>
          <w:b w:val="0"/>
          <w:bCs w:val="0"/>
          <w:color w:val="auto"/>
          <w:kern w:val="0"/>
          <w:sz w:val="32"/>
          <w:szCs w:val="32"/>
          <w:highlight w:val="none"/>
          <w:lang w:val="en-US" w:eastAsia="zh-CN"/>
        </w:rPr>
        <w:t>万亩，乔拉克铁热克镇0.92</w:t>
      </w:r>
      <w:r>
        <w:rPr>
          <w:rFonts w:hint="eastAsia" w:cs="Times New Roman"/>
          <w:b w:val="0"/>
          <w:bCs w:val="0"/>
          <w:color w:val="auto"/>
          <w:kern w:val="0"/>
          <w:sz w:val="32"/>
          <w:szCs w:val="32"/>
          <w:highlight w:val="none"/>
          <w:lang w:val="en-US" w:eastAsia="zh-CN"/>
        </w:rPr>
        <w:t>9</w:t>
      </w:r>
      <w:r>
        <w:rPr>
          <w:rFonts w:hint="default" w:cs="Times New Roman"/>
          <w:b w:val="0"/>
          <w:bCs w:val="0"/>
          <w:color w:val="auto"/>
          <w:kern w:val="0"/>
          <w:sz w:val="32"/>
          <w:szCs w:val="32"/>
          <w:highlight w:val="none"/>
          <w:lang w:val="en-US" w:eastAsia="zh-CN"/>
        </w:rPr>
        <w:t>3万亩，喀拉达拉镇16.3448万亩，喀拉托海镇9.2075万亩，特克斯马场1.7251万亩，巩乃斯羊场1.</w:t>
      </w:r>
      <w:r>
        <w:rPr>
          <w:rFonts w:hint="eastAsia" w:cs="Times New Roman"/>
          <w:b w:val="0"/>
          <w:bCs w:val="0"/>
          <w:color w:val="auto"/>
          <w:kern w:val="0"/>
          <w:sz w:val="32"/>
          <w:szCs w:val="32"/>
          <w:highlight w:val="none"/>
          <w:lang w:val="en-US" w:eastAsia="zh-CN"/>
        </w:rPr>
        <w:t>3</w:t>
      </w:r>
      <w:r>
        <w:rPr>
          <w:rFonts w:hint="default" w:cs="Times New Roman"/>
          <w:b w:val="0"/>
          <w:bCs w:val="0"/>
          <w:color w:val="auto"/>
          <w:kern w:val="0"/>
          <w:sz w:val="32"/>
          <w:szCs w:val="32"/>
          <w:highlight w:val="none"/>
          <w:lang w:val="en-US" w:eastAsia="zh-CN"/>
        </w:rPr>
        <w:t>万亩。</w:t>
      </w:r>
    </w:p>
    <w:p>
      <w:pPr>
        <w:spacing w:line="560" w:lineRule="exact"/>
        <w:ind w:left="0" w:leftChars="0" w:firstLine="0" w:firstLineChars="0"/>
        <w:jc w:val="center"/>
        <w:rPr>
          <w:rFonts w:hint="default" w:ascii="Times New Roman" w:hAnsi="Times New Roman" w:eastAsia="黑体" w:cs="Times New Roman"/>
          <w:b/>
          <w:bCs/>
          <w:snapToGrid w:val="0"/>
          <w:color w:val="auto"/>
          <w:sz w:val="28"/>
          <w:szCs w:val="28"/>
          <w:highlight w:val="none"/>
          <w:lang w:eastAsia="zh-CN"/>
        </w:rPr>
      </w:pPr>
      <w:r>
        <w:rPr>
          <w:rFonts w:hint="default" w:ascii="Times New Roman" w:hAnsi="Times New Roman" w:eastAsia="黑体" w:cs="Times New Roman"/>
          <w:b/>
          <w:bCs/>
          <w:snapToGrid w:val="0"/>
          <w:color w:val="auto"/>
          <w:sz w:val="28"/>
          <w:szCs w:val="28"/>
          <w:highlight w:val="none"/>
          <w:lang w:eastAsia="zh-CN"/>
        </w:rPr>
        <w:t>特克斯县各乡镇（场）禁牧面积表</w:t>
      </w:r>
    </w:p>
    <w:p>
      <w:pPr>
        <w:spacing w:line="560" w:lineRule="exact"/>
        <w:ind w:firstLine="7379" w:firstLineChars="3500"/>
        <w:jc w:val="both"/>
        <w:rPr>
          <w:rFonts w:hint="default" w:ascii="Times New Roman" w:hAnsi="Times New Roman" w:eastAsia="仿宋" w:cs="Times New Roman"/>
          <w:b/>
          <w:bCs/>
          <w:color w:val="auto"/>
          <w:sz w:val="32"/>
          <w:szCs w:val="32"/>
          <w:highlight w:val="none"/>
        </w:rPr>
      </w:pPr>
      <w:r>
        <w:rPr>
          <w:rFonts w:hint="default" w:ascii="Times New Roman" w:hAnsi="Times New Roman" w:eastAsia="仿宋_GB2312" w:cs="Times New Roman"/>
          <w:b/>
          <w:bCs/>
          <w:snapToGrid w:val="0"/>
          <w:color w:val="auto"/>
          <w:sz w:val="21"/>
          <w:szCs w:val="21"/>
          <w:highlight w:val="none"/>
          <w:lang w:eastAsia="zh-CN"/>
        </w:rPr>
        <w:t>单位：万亩</w:t>
      </w:r>
    </w:p>
    <w:tbl>
      <w:tblPr>
        <w:tblStyle w:val="9"/>
        <w:tblpPr w:leftFromText="180" w:rightFromText="180" w:vertAnchor="page" w:horzAnchor="page" w:tblpX="1458" w:tblpY="7401"/>
        <w:tblW w:w="9126" w:type="dxa"/>
        <w:jc w:val="center"/>
        <w:tblInd w:w="0" w:type="dxa"/>
        <w:tblLayout w:type="fixed"/>
        <w:tblCellMar>
          <w:top w:w="0" w:type="dxa"/>
          <w:left w:w="108" w:type="dxa"/>
          <w:bottom w:w="0" w:type="dxa"/>
          <w:right w:w="108" w:type="dxa"/>
        </w:tblCellMar>
      </w:tblPr>
      <w:tblGrid>
        <w:gridCol w:w="2432"/>
        <w:gridCol w:w="2325"/>
        <w:gridCol w:w="2138"/>
        <w:gridCol w:w="2231"/>
      </w:tblGrid>
      <w:tr>
        <w:tblPrEx>
          <w:tblLayout w:type="fixed"/>
          <w:tblCellMar>
            <w:top w:w="0" w:type="dxa"/>
            <w:left w:w="108" w:type="dxa"/>
            <w:bottom w:w="0" w:type="dxa"/>
            <w:right w:w="108" w:type="dxa"/>
          </w:tblCellMar>
        </w:tblPrEx>
        <w:trPr>
          <w:trHeight w:val="286" w:hRule="atLeast"/>
          <w:jc w:val="center"/>
        </w:trPr>
        <w:tc>
          <w:tcPr>
            <w:tcW w:w="2432" w:type="dxa"/>
            <w:tcBorders>
              <w:top w:val="single" w:color="auto" w:sz="4" w:space="0"/>
              <w:left w:val="single" w:color="auto" w:sz="4" w:space="0"/>
              <w:bottom w:val="single" w:color="auto" w:sz="4" w:space="0"/>
              <w:right w:val="single" w:color="auto" w:sz="4" w:space="0"/>
            </w:tcBorders>
            <w:vAlign w:val="center"/>
          </w:tcPr>
          <w:p>
            <w:pPr>
              <w:widowControl/>
              <w:ind w:left="0" w:leftChars="0" w:firstLine="723" w:firstLineChars="300"/>
              <w:jc w:val="both"/>
              <w:rPr>
                <w:rFonts w:hint="default" w:ascii="Times New Roman" w:hAnsi="Times New Roman" w:eastAsia="仿宋_GB2312" w:cs="Times New Roman"/>
                <w:b/>
                <w:bCs w:val="0"/>
                <w:color w:val="auto"/>
                <w:kern w:val="0"/>
                <w:sz w:val="24"/>
                <w:szCs w:val="24"/>
                <w:highlight w:val="none"/>
              </w:rPr>
            </w:pPr>
            <w:r>
              <w:rPr>
                <w:rFonts w:hint="default" w:ascii="Times New Roman" w:hAnsi="Times New Roman" w:eastAsia="仿宋_GB2312" w:cs="Times New Roman"/>
                <w:b/>
                <w:bCs w:val="0"/>
                <w:color w:val="auto"/>
                <w:kern w:val="0"/>
                <w:sz w:val="24"/>
                <w:szCs w:val="24"/>
                <w:highlight w:val="none"/>
              </w:rPr>
              <w:t>乡镇场</w:t>
            </w:r>
          </w:p>
        </w:tc>
        <w:tc>
          <w:tcPr>
            <w:tcW w:w="2325" w:type="dxa"/>
            <w:tcBorders>
              <w:top w:val="single" w:color="auto" w:sz="4" w:space="0"/>
              <w:left w:val="nil"/>
              <w:bottom w:val="single" w:color="auto" w:sz="4" w:space="0"/>
              <w:right w:val="single" w:color="auto" w:sz="4" w:space="0"/>
            </w:tcBorders>
            <w:vAlign w:val="center"/>
          </w:tcPr>
          <w:p>
            <w:pPr>
              <w:widowControl/>
              <w:ind w:left="0" w:leftChars="0" w:firstLine="0" w:firstLineChars="0"/>
              <w:jc w:val="center"/>
              <w:rPr>
                <w:rFonts w:hint="eastAsia" w:ascii="Times New Roman" w:hAnsi="Times New Roman" w:eastAsia="仿宋_GB2312" w:cs="Times New Roman"/>
                <w:b/>
                <w:bCs w:val="0"/>
                <w:color w:val="auto"/>
                <w:kern w:val="0"/>
                <w:sz w:val="24"/>
                <w:szCs w:val="24"/>
                <w:highlight w:val="none"/>
                <w:lang w:eastAsia="zh-CN"/>
              </w:rPr>
            </w:pPr>
            <w:r>
              <w:rPr>
                <w:rFonts w:hint="default" w:ascii="Times New Roman" w:hAnsi="Times New Roman" w:eastAsia="仿宋_GB2312" w:cs="Times New Roman"/>
                <w:b/>
                <w:bCs w:val="0"/>
                <w:color w:val="auto"/>
                <w:kern w:val="0"/>
                <w:sz w:val="24"/>
                <w:szCs w:val="24"/>
                <w:highlight w:val="none"/>
              </w:rPr>
              <w:t>重要水源地和保护区</w:t>
            </w:r>
            <w:r>
              <w:rPr>
                <w:rFonts w:hint="eastAsia" w:cs="Times New Roman"/>
                <w:b/>
                <w:bCs w:val="0"/>
                <w:color w:val="auto"/>
                <w:kern w:val="0"/>
                <w:sz w:val="24"/>
                <w:szCs w:val="24"/>
                <w:highlight w:val="none"/>
                <w:lang w:eastAsia="zh-CN"/>
              </w:rPr>
              <w:t>禁牧</w:t>
            </w:r>
          </w:p>
        </w:tc>
        <w:tc>
          <w:tcPr>
            <w:tcW w:w="2138" w:type="dxa"/>
            <w:tcBorders>
              <w:top w:val="single" w:color="auto" w:sz="4" w:space="0"/>
              <w:left w:val="nil"/>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b/>
                <w:bCs w:val="0"/>
                <w:color w:val="auto"/>
                <w:kern w:val="0"/>
                <w:sz w:val="24"/>
                <w:szCs w:val="24"/>
                <w:highlight w:val="none"/>
              </w:rPr>
            </w:pPr>
            <w:r>
              <w:rPr>
                <w:rFonts w:hint="default" w:ascii="Times New Roman" w:hAnsi="Times New Roman" w:eastAsia="仿宋_GB2312" w:cs="Times New Roman"/>
                <w:b/>
                <w:bCs w:val="0"/>
                <w:color w:val="auto"/>
                <w:kern w:val="0"/>
                <w:sz w:val="24"/>
                <w:szCs w:val="24"/>
                <w:highlight w:val="none"/>
              </w:rPr>
              <w:t>严重退化区和风沙源区禁牧</w:t>
            </w:r>
          </w:p>
        </w:tc>
        <w:tc>
          <w:tcPr>
            <w:tcW w:w="2231" w:type="dxa"/>
            <w:tcBorders>
              <w:top w:val="single" w:color="auto" w:sz="4" w:space="0"/>
              <w:left w:val="nil"/>
              <w:bottom w:val="single" w:color="auto" w:sz="4" w:space="0"/>
              <w:right w:val="single" w:color="auto" w:sz="4" w:space="0"/>
            </w:tcBorders>
            <w:vAlign w:val="center"/>
          </w:tcPr>
          <w:p>
            <w:pPr>
              <w:widowControl/>
              <w:ind w:left="0" w:leftChars="0" w:firstLine="0" w:firstLineChars="0"/>
              <w:jc w:val="center"/>
              <w:rPr>
                <w:rFonts w:hint="eastAsia" w:ascii="Times New Roman" w:hAnsi="Times New Roman" w:eastAsia="仿宋_GB2312" w:cs="Times New Roman"/>
                <w:b/>
                <w:bCs w:val="0"/>
                <w:color w:val="auto"/>
                <w:kern w:val="0"/>
                <w:sz w:val="24"/>
                <w:szCs w:val="24"/>
                <w:highlight w:val="none"/>
                <w:lang w:eastAsia="zh-CN"/>
              </w:rPr>
            </w:pPr>
            <w:r>
              <w:rPr>
                <w:rFonts w:hint="eastAsia" w:cs="Times New Roman"/>
                <w:b/>
                <w:bCs w:val="0"/>
                <w:color w:val="auto"/>
                <w:kern w:val="0"/>
                <w:sz w:val="24"/>
                <w:szCs w:val="24"/>
                <w:highlight w:val="none"/>
                <w:lang w:eastAsia="zh-CN"/>
              </w:rPr>
              <w:t>面积</w:t>
            </w:r>
            <w:r>
              <w:rPr>
                <w:rFonts w:hint="default" w:ascii="Times New Roman" w:hAnsi="Times New Roman" w:eastAsia="仿宋_GB2312" w:cs="Times New Roman"/>
                <w:b/>
                <w:bCs w:val="0"/>
                <w:color w:val="auto"/>
                <w:kern w:val="0"/>
                <w:sz w:val="24"/>
                <w:szCs w:val="24"/>
                <w:highlight w:val="none"/>
              </w:rPr>
              <w:t>合计</w:t>
            </w:r>
          </w:p>
        </w:tc>
      </w:tr>
      <w:tr>
        <w:tblPrEx>
          <w:tblLayout w:type="fixed"/>
          <w:tblCellMar>
            <w:top w:w="0" w:type="dxa"/>
            <w:left w:w="108" w:type="dxa"/>
            <w:bottom w:w="0" w:type="dxa"/>
            <w:right w:w="108" w:type="dxa"/>
          </w:tblCellMar>
        </w:tblPrEx>
        <w:trPr>
          <w:trHeight w:val="90" w:hRule="atLeast"/>
          <w:jc w:val="center"/>
        </w:trPr>
        <w:tc>
          <w:tcPr>
            <w:tcW w:w="2432" w:type="dxa"/>
            <w:tcBorders>
              <w:top w:val="single" w:color="auto" w:sz="4" w:space="0"/>
              <w:left w:val="single" w:color="auto" w:sz="4" w:space="0"/>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b/>
                <w:bCs w:val="0"/>
                <w:color w:val="auto"/>
                <w:kern w:val="0"/>
                <w:sz w:val="24"/>
                <w:szCs w:val="24"/>
                <w:highlight w:val="none"/>
              </w:rPr>
            </w:pPr>
            <w:r>
              <w:rPr>
                <w:rFonts w:hint="eastAsia" w:ascii="Times New Roman" w:hAnsi="Times New Roman" w:eastAsia="仿宋_GB2312" w:cs="Times New Roman"/>
                <w:b/>
                <w:bCs w:val="0"/>
                <w:color w:val="auto"/>
                <w:kern w:val="0"/>
                <w:sz w:val="24"/>
                <w:szCs w:val="24"/>
                <w:highlight w:val="none"/>
                <w:lang w:eastAsia="zh-CN"/>
              </w:rPr>
              <w:t>阔</w:t>
            </w:r>
            <w:r>
              <w:rPr>
                <w:rFonts w:hint="default" w:ascii="Times New Roman" w:hAnsi="Times New Roman" w:eastAsia="仿宋_GB2312" w:cs="Times New Roman"/>
                <w:b/>
                <w:bCs w:val="0"/>
                <w:color w:val="auto"/>
                <w:kern w:val="0"/>
                <w:sz w:val="24"/>
                <w:szCs w:val="24"/>
                <w:highlight w:val="none"/>
              </w:rPr>
              <w:t>克苏乡</w:t>
            </w:r>
          </w:p>
        </w:tc>
        <w:tc>
          <w:tcPr>
            <w:tcW w:w="23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等线" w:cs="Times New Roman"/>
                <w:b/>
                <w:bCs/>
                <w:i w:val="0"/>
                <w:iCs w:val="0"/>
                <w:color w:val="auto"/>
                <w:kern w:val="0"/>
                <w:sz w:val="24"/>
                <w:szCs w:val="24"/>
                <w:highlight w:val="none"/>
                <w:u w:val="none"/>
                <w:lang w:val="en-US" w:eastAsia="zh-CN" w:bidi="ar"/>
              </w:rPr>
              <w:t>0.7745</w:t>
            </w:r>
          </w:p>
        </w:tc>
        <w:tc>
          <w:tcPr>
            <w:tcW w:w="213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sz w:val="24"/>
                <w:szCs w:val="24"/>
                <w:highlight w:val="none"/>
              </w:rPr>
            </w:pPr>
            <w:r>
              <w:rPr>
                <w:rFonts w:hint="default" w:ascii="Times New Roman" w:hAnsi="Times New Roman" w:eastAsia="等线" w:cs="Times New Roman"/>
                <w:b/>
                <w:bCs/>
                <w:i w:val="0"/>
                <w:iCs w:val="0"/>
                <w:color w:val="auto"/>
                <w:kern w:val="0"/>
                <w:sz w:val="24"/>
                <w:szCs w:val="24"/>
                <w:highlight w:val="none"/>
                <w:u w:val="none"/>
                <w:lang w:val="en-US" w:eastAsia="zh-CN" w:bidi="ar"/>
              </w:rPr>
              <w:t>0.0000</w:t>
            </w:r>
          </w:p>
        </w:tc>
        <w:tc>
          <w:tcPr>
            <w:tcW w:w="223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0.7745</w:t>
            </w:r>
          </w:p>
        </w:tc>
      </w:tr>
      <w:tr>
        <w:tblPrEx>
          <w:tblLayout w:type="fixed"/>
          <w:tblCellMar>
            <w:top w:w="0" w:type="dxa"/>
            <w:left w:w="108" w:type="dxa"/>
            <w:bottom w:w="0" w:type="dxa"/>
            <w:right w:w="108" w:type="dxa"/>
          </w:tblCellMar>
        </w:tblPrEx>
        <w:trPr>
          <w:trHeight w:val="375" w:hRule="atLeast"/>
          <w:jc w:val="center"/>
        </w:trPr>
        <w:tc>
          <w:tcPr>
            <w:tcW w:w="2432" w:type="dxa"/>
            <w:tcBorders>
              <w:top w:val="single" w:color="auto" w:sz="4" w:space="0"/>
              <w:left w:val="single" w:color="auto" w:sz="4" w:space="0"/>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b/>
                <w:bCs w:val="0"/>
                <w:color w:val="auto"/>
                <w:kern w:val="0"/>
                <w:sz w:val="24"/>
                <w:szCs w:val="24"/>
                <w:highlight w:val="none"/>
              </w:rPr>
            </w:pPr>
            <w:r>
              <w:rPr>
                <w:rFonts w:hint="default" w:ascii="Times New Roman" w:hAnsi="Times New Roman" w:eastAsia="仿宋_GB2312" w:cs="Times New Roman"/>
                <w:b/>
                <w:bCs w:val="0"/>
                <w:color w:val="auto"/>
                <w:kern w:val="0"/>
                <w:sz w:val="24"/>
                <w:szCs w:val="24"/>
                <w:highlight w:val="none"/>
              </w:rPr>
              <w:t>特克斯镇</w:t>
            </w:r>
          </w:p>
        </w:tc>
        <w:tc>
          <w:tcPr>
            <w:tcW w:w="23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等线" w:cs="Times New Roman"/>
                <w:b/>
                <w:bCs/>
                <w:i w:val="0"/>
                <w:iCs w:val="0"/>
                <w:color w:val="auto"/>
                <w:kern w:val="0"/>
                <w:sz w:val="24"/>
                <w:szCs w:val="24"/>
                <w:highlight w:val="none"/>
                <w:u w:val="none"/>
                <w:lang w:val="en-US" w:eastAsia="zh-CN" w:bidi="ar"/>
              </w:rPr>
              <w:t>1.8108167</w:t>
            </w:r>
          </w:p>
        </w:tc>
        <w:tc>
          <w:tcPr>
            <w:tcW w:w="213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0.6624</w:t>
            </w:r>
          </w:p>
        </w:tc>
        <w:tc>
          <w:tcPr>
            <w:tcW w:w="223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2.4732167</w:t>
            </w:r>
          </w:p>
        </w:tc>
      </w:tr>
      <w:tr>
        <w:tblPrEx>
          <w:tblLayout w:type="fixed"/>
          <w:tblCellMar>
            <w:top w:w="0" w:type="dxa"/>
            <w:left w:w="108" w:type="dxa"/>
            <w:bottom w:w="0" w:type="dxa"/>
            <w:right w:w="108" w:type="dxa"/>
          </w:tblCellMar>
        </w:tblPrEx>
        <w:trPr>
          <w:trHeight w:val="411" w:hRule="atLeast"/>
          <w:jc w:val="center"/>
        </w:trPr>
        <w:tc>
          <w:tcPr>
            <w:tcW w:w="2432" w:type="dxa"/>
            <w:tcBorders>
              <w:top w:val="single" w:color="auto" w:sz="4" w:space="0"/>
              <w:left w:val="single" w:color="auto" w:sz="4" w:space="0"/>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b/>
                <w:bCs w:val="0"/>
                <w:color w:val="auto"/>
                <w:kern w:val="0"/>
                <w:sz w:val="24"/>
                <w:szCs w:val="24"/>
                <w:highlight w:val="none"/>
              </w:rPr>
            </w:pPr>
            <w:r>
              <w:rPr>
                <w:rFonts w:hint="default" w:ascii="Times New Roman" w:hAnsi="Times New Roman" w:eastAsia="仿宋_GB2312" w:cs="Times New Roman"/>
                <w:b/>
                <w:bCs w:val="0"/>
                <w:color w:val="auto"/>
                <w:kern w:val="0"/>
                <w:sz w:val="24"/>
                <w:szCs w:val="24"/>
                <w:highlight w:val="none"/>
              </w:rPr>
              <w:t>呼吉尔特蒙古乡</w:t>
            </w:r>
          </w:p>
        </w:tc>
        <w:tc>
          <w:tcPr>
            <w:tcW w:w="23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sz w:val="24"/>
                <w:szCs w:val="24"/>
                <w:highlight w:val="none"/>
                <w:lang w:val="en-US"/>
              </w:rPr>
            </w:pPr>
            <w:r>
              <w:rPr>
                <w:rFonts w:hint="default" w:ascii="Times New Roman" w:hAnsi="Times New Roman" w:eastAsia="等线" w:cs="Times New Roman"/>
                <w:b/>
                <w:bCs/>
                <w:i w:val="0"/>
                <w:iCs w:val="0"/>
                <w:color w:val="auto"/>
                <w:kern w:val="0"/>
                <w:sz w:val="24"/>
                <w:szCs w:val="24"/>
                <w:highlight w:val="none"/>
                <w:u w:val="none"/>
                <w:lang w:val="en-US" w:eastAsia="zh-CN" w:bidi="ar"/>
              </w:rPr>
              <w:t>1.4409</w:t>
            </w:r>
          </w:p>
        </w:tc>
        <w:tc>
          <w:tcPr>
            <w:tcW w:w="213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1.5044</w:t>
            </w:r>
          </w:p>
        </w:tc>
        <w:tc>
          <w:tcPr>
            <w:tcW w:w="223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2.</w:t>
            </w:r>
            <w:r>
              <w:rPr>
                <w:rFonts w:hint="eastAsia" w:eastAsia="等线" w:cs="Times New Roman"/>
                <w:b/>
                <w:bCs/>
                <w:i w:val="0"/>
                <w:iCs w:val="0"/>
                <w:color w:val="auto"/>
                <w:kern w:val="0"/>
                <w:sz w:val="24"/>
                <w:szCs w:val="24"/>
                <w:highlight w:val="none"/>
                <w:u w:val="none"/>
                <w:lang w:val="en-US" w:eastAsia="zh-CN" w:bidi="ar"/>
              </w:rPr>
              <w:t>9453</w:t>
            </w:r>
          </w:p>
        </w:tc>
      </w:tr>
      <w:tr>
        <w:tblPrEx>
          <w:tblLayout w:type="fixed"/>
          <w:tblCellMar>
            <w:top w:w="0" w:type="dxa"/>
            <w:left w:w="108" w:type="dxa"/>
            <w:bottom w:w="0" w:type="dxa"/>
            <w:right w:w="108" w:type="dxa"/>
          </w:tblCellMar>
        </w:tblPrEx>
        <w:trPr>
          <w:trHeight w:val="333" w:hRule="atLeast"/>
          <w:jc w:val="center"/>
        </w:trPr>
        <w:tc>
          <w:tcPr>
            <w:tcW w:w="2432" w:type="dxa"/>
            <w:tcBorders>
              <w:top w:val="nil"/>
              <w:left w:val="single" w:color="auto" w:sz="4" w:space="0"/>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b/>
                <w:bCs w:val="0"/>
                <w:color w:val="auto"/>
                <w:kern w:val="0"/>
                <w:sz w:val="24"/>
                <w:szCs w:val="24"/>
                <w:highlight w:val="none"/>
              </w:rPr>
            </w:pPr>
            <w:r>
              <w:rPr>
                <w:rFonts w:hint="default" w:ascii="Times New Roman" w:hAnsi="Times New Roman" w:eastAsia="仿宋_GB2312" w:cs="Times New Roman"/>
                <w:b/>
                <w:bCs w:val="0"/>
                <w:color w:val="auto"/>
                <w:kern w:val="0"/>
                <w:sz w:val="24"/>
                <w:szCs w:val="24"/>
                <w:highlight w:val="none"/>
              </w:rPr>
              <w:t>齐勒乌泽克镇</w:t>
            </w:r>
          </w:p>
        </w:tc>
        <w:tc>
          <w:tcPr>
            <w:tcW w:w="2325" w:type="dxa"/>
            <w:tcBorders>
              <w:top w:val="nil"/>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等线" w:cs="Times New Roman"/>
                <w:b/>
                <w:bCs/>
                <w:i w:val="0"/>
                <w:iCs w:val="0"/>
                <w:color w:val="auto"/>
                <w:kern w:val="0"/>
                <w:sz w:val="24"/>
                <w:szCs w:val="24"/>
                <w:highlight w:val="none"/>
                <w:u w:val="none"/>
                <w:lang w:val="en-US" w:eastAsia="zh-CN" w:bidi="ar"/>
              </w:rPr>
              <w:t>3.6101</w:t>
            </w:r>
          </w:p>
        </w:tc>
        <w:tc>
          <w:tcPr>
            <w:tcW w:w="2138" w:type="dxa"/>
            <w:tcBorders>
              <w:top w:val="nil"/>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等线" w:cs="Times New Roman"/>
                <w:b/>
                <w:bCs/>
                <w:i w:val="0"/>
                <w:iCs w:val="0"/>
                <w:color w:val="auto"/>
                <w:kern w:val="0"/>
                <w:sz w:val="24"/>
                <w:szCs w:val="24"/>
                <w:highlight w:val="none"/>
                <w:u w:val="none"/>
                <w:lang w:val="en-US" w:eastAsia="zh-CN" w:bidi="ar"/>
              </w:rPr>
              <w:t>1.7341</w:t>
            </w:r>
          </w:p>
        </w:tc>
        <w:tc>
          <w:tcPr>
            <w:tcW w:w="2231" w:type="dxa"/>
            <w:tcBorders>
              <w:top w:val="nil"/>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5.3442</w:t>
            </w:r>
          </w:p>
        </w:tc>
      </w:tr>
      <w:tr>
        <w:tblPrEx>
          <w:tblLayout w:type="fixed"/>
          <w:tblCellMar>
            <w:top w:w="0" w:type="dxa"/>
            <w:left w:w="108" w:type="dxa"/>
            <w:bottom w:w="0" w:type="dxa"/>
            <w:right w:w="108" w:type="dxa"/>
          </w:tblCellMar>
        </w:tblPrEx>
        <w:trPr>
          <w:trHeight w:val="383" w:hRule="atLeast"/>
          <w:jc w:val="center"/>
        </w:trPr>
        <w:tc>
          <w:tcPr>
            <w:tcW w:w="2432" w:type="dxa"/>
            <w:tcBorders>
              <w:top w:val="single" w:color="auto" w:sz="4" w:space="0"/>
              <w:left w:val="single" w:color="auto" w:sz="4" w:space="0"/>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b/>
                <w:bCs w:val="0"/>
                <w:color w:val="auto"/>
                <w:kern w:val="0"/>
                <w:sz w:val="24"/>
                <w:szCs w:val="24"/>
                <w:highlight w:val="none"/>
              </w:rPr>
            </w:pPr>
            <w:r>
              <w:rPr>
                <w:rFonts w:hint="default" w:ascii="Times New Roman" w:hAnsi="Times New Roman" w:eastAsia="仿宋_GB2312" w:cs="Times New Roman"/>
                <w:b/>
                <w:bCs w:val="0"/>
                <w:color w:val="auto"/>
                <w:kern w:val="0"/>
                <w:sz w:val="24"/>
                <w:szCs w:val="24"/>
                <w:highlight w:val="none"/>
              </w:rPr>
              <w:t>阔克铁热克乡</w:t>
            </w:r>
          </w:p>
        </w:tc>
        <w:tc>
          <w:tcPr>
            <w:tcW w:w="23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等线" w:cs="Times New Roman"/>
                <w:b/>
                <w:bCs/>
                <w:i w:val="0"/>
                <w:iCs w:val="0"/>
                <w:color w:val="auto"/>
                <w:kern w:val="0"/>
                <w:sz w:val="24"/>
                <w:szCs w:val="24"/>
                <w:highlight w:val="none"/>
                <w:u w:val="none"/>
                <w:lang w:val="en-US" w:eastAsia="zh-CN" w:bidi="ar"/>
              </w:rPr>
              <w:t>0</w:t>
            </w:r>
          </w:p>
        </w:tc>
        <w:tc>
          <w:tcPr>
            <w:tcW w:w="213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等线" w:cs="Times New Roman"/>
                <w:b/>
                <w:bCs/>
                <w:i w:val="0"/>
                <w:iCs w:val="0"/>
                <w:color w:val="auto"/>
                <w:kern w:val="0"/>
                <w:sz w:val="24"/>
                <w:szCs w:val="24"/>
                <w:highlight w:val="none"/>
                <w:u w:val="none"/>
                <w:lang w:val="en-US" w:eastAsia="zh-CN" w:bidi="ar"/>
              </w:rPr>
              <w:t>3.2</w:t>
            </w:r>
            <w:r>
              <w:rPr>
                <w:rFonts w:hint="eastAsia" w:eastAsia="等线" w:cs="Times New Roman"/>
                <w:b/>
                <w:bCs/>
                <w:i w:val="0"/>
                <w:iCs w:val="0"/>
                <w:color w:val="auto"/>
                <w:kern w:val="0"/>
                <w:sz w:val="24"/>
                <w:szCs w:val="24"/>
                <w:highlight w:val="none"/>
                <w:u w:val="none"/>
                <w:lang w:val="en-US" w:eastAsia="zh-CN" w:bidi="ar"/>
              </w:rPr>
              <w:t>1</w:t>
            </w:r>
            <w:r>
              <w:rPr>
                <w:rFonts w:hint="default" w:ascii="Times New Roman" w:hAnsi="Times New Roman" w:eastAsia="等线" w:cs="Times New Roman"/>
                <w:b/>
                <w:bCs/>
                <w:i w:val="0"/>
                <w:iCs w:val="0"/>
                <w:color w:val="auto"/>
                <w:kern w:val="0"/>
                <w:sz w:val="24"/>
                <w:szCs w:val="24"/>
                <w:highlight w:val="none"/>
                <w:u w:val="none"/>
                <w:lang w:val="en-US" w:eastAsia="zh-CN" w:bidi="ar"/>
              </w:rPr>
              <w:t>26</w:t>
            </w:r>
          </w:p>
        </w:tc>
        <w:tc>
          <w:tcPr>
            <w:tcW w:w="223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3.2</w:t>
            </w:r>
            <w:r>
              <w:rPr>
                <w:rFonts w:hint="eastAsia" w:eastAsia="等线" w:cs="Times New Roman"/>
                <w:b/>
                <w:bCs/>
                <w:i w:val="0"/>
                <w:iCs w:val="0"/>
                <w:color w:val="auto"/>
                <w:kern w:val="0"/>
                <w:sz w:val="24"/>
                <w:szCs w:val="24"/>
                <w:highlight w:val="none"/>
                <w:u w:val="none"/>
                <w:lang w:val="en-US" w:eastAsia="zh-CN" w:bidi="ar"/>
              </w:rPr>
              <w:t>1</w:t>
            </w:r>
            <w:r>
              <w:rPr>
                <w:rFonts w:hint="default" w:ascii="Times New Roman" w:hAnsi="Times New Roman" w:eastAsia="等线" w:cs="Times New Roman"/>
                <w:b/>
                <w:bCs/>
                <w:i w:val="0"/>
                <w:iCs w:val="0"/>
                <w:color w:val="auto"/>
                <w:kern w:val="0"/>
                <w:sz w:val="24"/>
                <w:szCs w:val="24"/>
                <w:highlight w:val="none"/>
                <w:u w:val="none"/>
                <w:lang w:val="en-US" w:eastAsia="zh-CN" w:bidi="ar"/>
              </w:rPr>
              <w:t>26</w:t>
            </w:r>
          </w:p>
        </w:tc>
      </w:tr>
      <w:tr>
        <w:tblPrEx>
          <w:tblLayout w:type="fixed"/>
          <w:tblCellMar>
            <w:top w:w="0" w:type="dxa"/>
            <w:left w:w="108" w:type="dxa"/>
            <w:bottom w:w="0" w:type="dxa"/>
            <w:right w:w="108" w:type="dxa"/>
          </w:tblCellMar>
        </w:tblPrEx>
        <w:trPr>
          <w:trHeight w:val="419" w:hRule="atLeast"/>
          <w:jc w:val="center"/>
        </w:trPr>
        <w:tc>
          <w:tcPr>
            <w:tcW w:w="2432" w:type="dxa"/>
            <w:tcBorders>
              <w:top w:val="nil"/>
              <w:left w:val="single" w:color="auto" w:sz="4" w:space="0"/>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b/>
                <w:bCs w:val="0"/>
                <w:color w:val="auto"/>
                <w:kern w:val="0"/>
                <w:sz w:val="24"/>
                <w:szCs w:val="24"/>
                <w:highlight w:val="none"/>
              </w:rPr>
            </w:pPr>
            <w:r>
              <w:rPr>
                <w:rFonts w:hint="default" w:ascii="Times New Roman" w:hAnsi="Times New Roman" w:eastAsia="仿宋_GB2312" w:cs="Times New Roman"/>
                <w:b/>
                <w:bCs w:val="0"/>
                <w:color w:val="auto"/>
                <w:kern w:val="0"/>
                <w:sz w:val="24"/>
                <w:szCs w:val="24"/>
                <w:highlight w:val="none"/>
              </w:rPr>
              <w:t>乔拉克铁热克镇</w:t>
            </w:r>
          </w:p>
        </w:tc>
        <w:tc>
          <w:tcPr>
            <w:tcW w:w="2325" w:type="dxa"/>
            <w:tcBorders>
              <w:top w:val="nil"/>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等线" w:cs="Times New Roman"/>
                <w:b/>
                <w:bCs/>
                <w:i w:val="0"/>
                <w:iCs w:val="0"/>
                <w:color w:val="auto"/>
                <w:kern w:val="0"/>
                <w:sz w:val="24"/>
                <w:szCs w:val="24"/>
                <w:highlight w:val="none"/>
                <w:u w:val="none"/>
                <w:lang w:val="en-US" w:eastAsia="zh-CN" w:bidi="ar"/>
              </w:rPr>
              <w:t>0.92</w:t>
            </w:r>
            <w:r>
              <w:rPr>
                <w:rFonts w:hint="eastAsia" w:eastAsia="等线" w:cs="Times New Roman"/>
                <w:b/>
                <w:bCs/>
                <w:i w:val="0"/>
                <w:iCs w:val="0"/>
                <w:color w:val="auto"/>
                <w:kern w:val="0"/>
                <w:sz w:val="24"/>
                <w:szCs w:val="24"/>
                <w:highlight w:val="none"/>
                <w:u w:val="none"/>
                <w:lang w:val="en-US" w:eastAsia="zh-CN" w:bidi="ar"/>
              </w:rPr>
              <w:t>9</w:t>
            </w:r>
            <w:r>
              <w:rPr>
                <w:rFonts w:hint="default" w:ascii="Times New Roman" w:hAnsi="Times New Roman" w:eastAsia="等线" w:cs="Times New Roman"/>
                <w:b/>
                <w:bCs/>
                <w:i w:val="0"/>
                <w:iCs w:val="0"/>
                <w:color w:val="auto"/>
                <w:kern w:val="0"/>
                <w:sz w:val="24"/>
                <w:szCs w:val="24"/>
                <w:highlight w:val="none"/>
                <w:u w:val="none"/>
                <w:lang w:val="en-US" w:eastAsia="zh-CN" w:bidi="ar"/>
              </w:rPr>
              <w:t>3</w:t>
            </w:r>
          </w:p>
        </w:tc>
        <w:tc>
          <w:tcPr>
            <w:tcW w:w="2138" w:type="dxa"/>
            <w:tcBorders>
              <w:top w:val="nil"/>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等线" w:cs="Times New Roman"/>
                <w:b/>
                <w:bCs/>
                <w:i w:val="0"/>
                <w:iCs w:val="0"/>
                <w:color w:val="auto"/>
                <w:kern w:val="0"/>
                <w:sz w:val="24"/>
                <w:szCs w:val="24"/>
                <w:highlight w:val="none"/>
                <w:u w:val="none"/>
                <w:lang w:val="en-US" w:eastAsia="zh-CN" w:bidi="ar"/>
              </w:rPr>
              <w:t>7.9</w:t>
            </w:r>
            <w:r>
              <w:rPr>
                <w:rFonts w:hint="eastAsia" w:eastAsia="等线" w:cs="Times New Roman"/>
                <w:b/>
                <w:bCs/>
                <w:i w:val="0"/>
                <w:iCs w:val="0"/>
                <w:color w:val="auto"/>
                <w:kern w:val="0"/>
                <w:sz w:val="24"/>
                <w:szCs w:val="24"/>
                <w:highlight w:val="none"/>
                <w:u w:val="none"/>
                <w:lang w:val="en-US" w:eastAsia="zh-CN" w:bidi="ar"/>
              </w:rPr>
              <w:t>9</w:t>
            </w:r>
            <w:r>
              <w:rPr>
                <w:rFonts w:hint="default" w:ascii="Times New Roman" w:hAnsi="Times New Roman" w:eastAsia="等线" w:cs="Times New Roman"/>
                <w:b/>
                <w:bCs/>
                <w:i w:val="0"/>
                <w:iCs w:val="0"/>
                <w:color w:val="auto"/>
                <w:kern w:val="0"/>
                <w:sz w:val="24"/>
                <w:szCs w:val="24"/>
                <w:highlight w:val="none"/>
                <w:u w:val="none"/>
                <w:lang w:val="en-US" w:eastAsia="zh-CN" w:bidi="ar"/>
              </w:rPr>
              <w:t>45</w:t>
            </w:r>
          </w:p>
        </w:tc>
        <w:tc>
          <w:tcPr>
            <w:tcW w:w="2231" w:type="dxa"/>
            <w:tcBorders>
              <w:top w:val="nil"/>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8.9</w:t>
            </w:r>
            <w:r>
              <w:rPr>
                <w:rFonts w:hint="eastAsia" w:eastAsia="等线" w:cs="Times New Roman"/>
                <w:b/>
                <w:bCs/>
                <w:i w:val="0"/>
                <w:iCs w:val="0"/>
                <w:color w:val="auto"/>
                <w:kern w:val="0"/>
                <w:sz w:val="24"/>
                <w:szCs w:val="24"/>
                <w:highlight w:val="none"/>
                <w:u w:val="none"/>
                <w:lang w:val="en-US" w:eastAsia="zh-CN" w:bidi="ar"/>
              </w:rPr>
              <w:t>23</w:t>
            </w:r>
            <w:r>
              <w:rPr>
                <w:rFonts w:hint="default" w:ascii="Times New Roman" w:hAnsi="Times New Roman" w:eastAsia="等线" w:cs="Times New Roman"/>
                <w:b/>
                <w:bCs/>
                <w:i w:val="0"/>
                <w:iCs w:val="0"/>
                <w:color w:val="auto"/>
                <w:kern w:val="0"/>
                <w:sz w:val="24"/>
                <w:szCs w:val="24"/>
                <w:highlight w:val="none"/>
                <w:u w:val="none"/>
                <w:lang w:val="en-US" w:eastAsia="zh-CN" w:bidi="ar"/>
              </w:rPr>
              <w:t>8</w:t>
            </w:r>
          </w:p>
        </w:tc>
      </w:tr>
      <w:tr>
        <w:tblPrEx>
          <w:tblLayout w:type="fixed"/>
          <w:tblCellMar>
            <w:top w:w="0" w:type="dxa"/>
            <w:left w:w="108" w:type="dxa"/>
            <w:bottom w:w="0" w:type="dxa"/>
            <w:right w:w="108" w:type="dxa"/>
          </w:tblCellMar>
        </w:tblPrEx>
        <w:trPr>
          <w:trHeight w:val="283" w:hRule="atLeast"/>
          <w:jc w:val="center"/>
        </w:trPr>
        <w:tc>
          <w:tcPr>
            <w:tcW w:w="2432" w:type="dxa"/>
            <w:tcBorders>
              <w:top w:val="single" w:color="auto" w:sz="4" w:space="0"/>
              <w:left w:val="single" w:color="auto" w:sz="4" w:space="0"/>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b/>
                <w:bCs w:val="0"/>
                <w:color w:val="auto"/>
                <w:kern w:val="0"/>
                <w:sz w:val="24"/>
                <w:szCs w:val="24"/>
                <w:highlight w:val="none"/>
              </w:rPr>
            </w:pPr>
            <w:r>
              <w:rPr>
                <w:rFonts w:hint="default" w:ascii="Times New Roman" w:hAnsi="Times New Roman" w:eastAsia="仿宋_GB2312" w:cs="Times New Roman"/>
                <w:b/>
                <w:bCs w:val="0"/>
                <w:color w:val="auto"/>
                <w:kern w:val="0"/>
                <w:sz w:val="24"/>
                <w:szCs w:val="24"/>
                <w:highlight w:val="none"/>
              </w:rPr>
              <w:t>喀拉达拉镇</w:t>
            </w:r>
          </w:p>
        </w:tc>
        <w:tc>
          <w:tcPr>
            <w:tcW w:w="23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等线" w:cs="Times New Roman"/>
                <w:b/>
                <w:bCs/>
                <w:i w:val="0"/>
                <w:iCs w:val="0"/>
                <w:color w:val="auto"/>
                <w:kern w:val="0"/>
                <w:sz w:val="24"/>
                <w:szCs w:val="24"/>
                <w:highlight w:val="none"/>
                <w:u w:val="none"/>
                <w:lang w:val="en-US" w:eastAsia="zh-CN" w:bidi="ar"/>
              </w:rPr>
              <w:t>16.3448</w:t>
            </w:r>
          </w:p>
        </w:tc>
        <w:tc>
          <w:tcPr>
            <w:tcW w:w="213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等线" w:cs="Times New Roman"/>
                <w:b/>
                <w:bCs/>
                <w:i w:val="0"/>
                <w:iCs w:val="0"/>
                <w:color w:val="auto"/>
                <w:kern w:val="0"/>
                <w:sz w:val="24"/>
                <w:szCs w:val="24"/>
                <w:highlight w:val="none"/>
                <w:u w:val="none"/>
                <w:lang w:val="en-US" w:eastAsia="zh-CN" w:bidi="ar"/>
              </w:rPr>
              <w:t>4.6513</w:t>
            </w:r>
          </w:p>
        </w:tc>
        <w:tc>
          <w:tcPr>
            <w:tcW w:w="223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20.9961</w:t>
            </w:r>
          </w:p>
        </w:tc>
      </w:tr>
      <w:tr>
        <w:tblPrEx>
          <w:tblLayout w:type="fixed"/>
          <w:tblCellMar>
            <w:top w:w="0" w:type="dxa"/>
            <w:left w:w="108" w:type="dxa"/>
            <w:bottom w:w="0" w:type="dxa"/>
            <w:right w:w="108" w:type="dxa"/>
          </w:tblCellMar>
        </w:tblPrEx>
        <w:trPr>
          <w:trHeight w:val="323" w:hRule="atLeast"/>
          <w:jc w:val="center"/>
        </w:trPr>
        <w:tc>
          <w:tcPr>
            <w:tcW w:w="2432" w:type="dxa"/>
            <w:tcBorders>
              <w:top w:val="nil"/>
              <w:left w:val="single" w:color="auto" w:sz="4" w:space="0"/>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b/>
                <w:bCs w:val="0"/>
                <w:color w:val="auto"/>
                <w:kern w:val="0"/>
                <w:sz w:val="24"/>
                <w:szCs w:val="24"/>
                <w:highlight w:val="none"/>
              </w:rPr>
            </w:pPr>
            <w:r>
              <w:rPr>
                <w:rFonts w:hint="default" w:ascii="Times New Roman" w:hAnsi="Times New Roman" w:eastAsia="仿宋_GB2312" w:cs="Times New Roman"/>
                <w:b/>
                <w:bCs w:val="0"/>
                <w:color w:val="auto"/>
                <w:kern w:val="0"/>
                <w:sz w:val="24"/>
                <w:szCs w:val="24"/>
                <w:highlight w:val="none"/>
              </w:rPr>
              <w:t>喀拉托海镇</w:t>
            </w:r>
          </w:p>
        </w:tc>
        <w:tc>
          <w:tcPr>
            <w:tcW w:w="2325" w:type="dxa"/>
            <w:tcBorders>
              <w:top w:val="nil"/>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等线" w:cs="Times New Roman"/>
                <w:b/>
                <w:bCs/>
                <w:i w:val="0"/>
                <w:iCs w:val="0"/>
                <w:color w:val="auto"/>
                <w:kern w:val="0"/>
                <w:sz w:val="24"/>
                <w:szCs w:val="24"/>
                <w:highlight w:val="none"/>
                <w:u w:val="none"/>
                <w:lang w:val="en-US" w:eastAsia="zh-CN" w:bidi="ar"/>
              </w:rPr>
              <w:t>9.2075</w:t>
            </w:r>
          </w:p>
        </w:tc>
        <w:tc>
          <w:tcPr>
            <w:tcW w:w="2138" w:type="dxa"/>
            <w:tcBorders>
              <w:top w:val="nil"/>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sz w:val="24"/>
                <w:szCs w:val="24"/>
                <w:highlight w:val="none"/>
              </w:rPr>
            </w:pPr>
            <w:r>
              <w:rPr>
                <w:rFonts w:hint="default" w:ascii="Times New Roman" w:hAnsi="Times New Roman" w:eastAsia="等线" w:cs="Times New Roman"/>
                <w:b/>
                <w:bCs/>
                <w:i w:val="0"/>
                <w:iCs w:val="0"/>
                <w:color w:val="auto"/>
                <w:kern w:val="0"/>
                <w:sz w:val="24"/>
                <w:szCs w:val="24"/>
                <w:highlight w:val="none"/>
                <w:u w:val="none"/>
                <w:lang w:val="en-US" w:eastAsia="zh-CN" w:bidi="ar"/>
              </w:rPr>
              <w:t>1.3056</w:t>
            </w:r>
          </w:p>
        </w:tc>
        <w:tc>
          <w:tcPr>
            <w:tcW w:w="2231" w:type="dxa"/>
            <w:tcBorders>
              <w:top w:val="nil"/>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10.5131</w:t>
            </w:r>
          </w:p>
        </w:tc>
      </w:tr>
      <w:tr>
        <w:tblPrEx>
          <w:tblLayout w:type="fixed"/>
          <w:tblCellMar>
            <w:top w:w="0" w:type="dxa"/>
            <w:left w:w="108" w:type="dxa"/>
            <w:bottom w:w="0" w:type="dxa"/>
            <w:right w:w="108" w:type="dxa"/>
          </w:tblCellMar>
        </w:tblPrEx>
        <w:trPr>
          <w:trHeight w:val="355" w:hRule="atLeast"/>
          <w:jc w:val="center"/>
        </w:trPr>
        <w:tc>
          <w:tcPr>
            <w:tcW w:w="2432" w:type="dxa"/>
            <w:tcBorders>
              <w:top w:val="single" w:color="auto" w:sz="4" w:space="0"/>
              <w:left w:val="single" w:color="auto" w:sz="4" w:space="0"/>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b/>
                <w:bCs w:val="0"/>
                <w:color w:val="auto"/>
                <w:kern w:val="0"/>
                <w:sz w:val="24"/>
                <w:szCs w:val="24"/>
                <w:highlight w:val="none"/>
              </w:rPr>
            </w:pPr>
            <w:r>
              <w:rPr>
                <w:rFonts w:hint="default" w:ascii="Times New Roman" w:hAnsi="Times New Roman" w:eastAsia="仿宋_GB2312" w:cs="Times New Roman"/>
                <w:b/>
                <w:bCs w:val="0"/>
                <w:color w:val="auto"/>
                <w:kern w:val="0"/>
                <w:sz w:val="24"/>
                <w:szCs w:val="24"/>
                <w:highlight w:val="none"/>
              </w:rPr>
              <w:t>特克斯马场</w:t>
            </w:r>
          </w:p>
        </w:tc>
        <w:tc>
          <w:tcPr>
            <w:tcW w:w="23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1.7251</w:t>
            </w:r>
          </w:p>
        </w:tc>
        <w:tc>
          <w:tcPr>
            <w:tcW w:w="213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sz w:val="24"/>
                <w:szCs w:val="24"/>
                <w:highlight w:val="none"/>
              </w:rPr>
            </w:pPr>
            <w:r>
              <w:rPr>
                <w:rFonts w:hint="default" w:ascii="Times New Roman" w:hAnsi="Times New Roman" w:eastAsia="等线" w:cs="Times New Roman"/>
                <w:b/>
                <w:bCs/>
                <w:i w:val="0"/>
                <w:iCs w:val="0"/>
                <w:color w:val="auto"/>
                <w:kern w:val="0"/>
                <w:sz w:val="24"/>
                <w:szCs w:val="24"/>
                <w:highlight w:val="none"/>
                <w:u w:val="none"/>
                <w:lang w:val="en-US" w:eastAsia="zh-CN" w:bidi="ar"/>
              </w:rPr>
              <w:t>2.2637</w:t>
            </w:r>
          </w:p>
        </w:tc>
        <w:tc>
          <w:tcPr>
            <w:tcW w:w="223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3.9888</w:t>
            </w:r>
          </w:p>
        </w:tc>
      </w:tr>
      <w:tr>
        <w:tblPrEx>
          <w:tblLayout w:type="fixed"/>
          <w:tblCellMar>
            <w:top w:w="0" w:type="dxa"/>
            <w:left w:w="108" w:type="dxa"/>
            <w:bottom w:w="0" w:type="dxa"/>
            <w:right w:w="108" w:type="dxa"/>
          </w:tblCellMar>
        </w:tblPrEx>
        <w:trPr>
          <w:trHeight w:val="195" w:hRule="atLeast"/>
          <w:jc w:val="center"/>
        </w:trPr>
        <w:tc>
          <w:tcPr>
            <w:tcW w:w="2432" w:type="dxa"/>
            <w:tcBorders>
              <w:top w:val="single" w:color="auto" w:sz="4" w:space="0"/>
              <w:left w:val="single" w:color="auto" w:sz="4" w:space="0"/>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b/>
                <w:bCs w:val="0"/>
                <w:color w:val="auto"/>
                <w:kern w:val="0"/>
                <w:sz w:val="24"/>
                <w:szCs w:val="24"/>
                <w:highlight w:val="none"/>
              </w:rPr>
            </w:pPr>
            <w:r>
              <w:rPr>
                <w:rFonts w:hint="default" w:ascii="Times New Roman" w:hAnsi="Times New Roman" w:eastAsia="仿宋_GB2312" w:cs="Times New Roman"/>
                <w:b/>
                <w:bCs w:val="0"/>
                <w:color w:val="auto"/>
                <w:kern w:val="0"/>
                <w:sz w:val="24"/>
                <w:szCs w:val="24"/>
                <w:highlight w:val="none"/>
              </w:rPr>
              <w:t>巩乃斯羊场</w:t>
            </w:r>
          </w:p>
        </w:tc>
        <w:tc>
          <w:tcPr>
            <w:tcW w:w="23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1.3</w:t>
            </w:r>
          </w:p>
        </w:tc>
        <w:tc>
          <w:tcPr>
            <w:tcW w:w="213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等线" w:cs="Times New Roman"/>
                <w:b/>
                <w:bCs/>
                <w:i w:val="0"/>
                <w:iCs w:val="0"/>
                <w:color w:val="auto"/>
                <w:kern w:val="0"/>
                <w:sz w:val="24"/>
                <w:szCs w:val="24"/>
                <w:highlight w:val="none"/>
                <w:u w:val="none"/>
                <w:lang w:val="en-US" w:eastAsia="zh-CN" w:bidi="ar"/>
              </w:rPr>
              <w:t>0.4000</w:t>
            </w:r>
          </w:p>
        </w:tc>
        <w:tc>
          <w:tcPr>
            <w:tcW w:w="223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1.7</w:t>
            </w:r>
          </w:p>
        </w:tc>
      </w:tr>
      <w:tr>
        <w:tblPrEx>
          <w:tblLayout w:type="fixed"/>
          <w:tblCellMar>
            <w:top w:w="0" w:type="dxa"/>
            <w:left w:w="108" w:type="dxa"/>
            <w:bottom w:w="0" w:type="dxa"/>
            <w:right w:w="108" w:type="dxa"/>
          </w:tblCellMar>
        </w:tblPrEx>
        <w:trPr>
          <w:trHeight w:val="195" w:hRule="atLeast"/>
          <w:jc w:val="center"/>
        </w:trPr>
        <w:tc>
          <w:tcPr>
            <w:tcW w:w="2432" w:type="dxa"/>
            <w:tcBorders>
              <w:top w:val="single" w:color="auto" w:sz="4" w:space="0"/>
              <w:left w:val="single" w:color="auto" w:sz="4" w:space="0"/>
              <w:bottom w:val="single" w:color="auto" w:sz="4" w:space="0"/>
              <w:right w:val="single" w:color="auto" w:sz="4" w:space="0"/>
            </w:tcBorders>
            <w:vAlign w:val="center"/>
          </w:tcPr>
          <w:p>
            <w:pPr>
              <w:widowControl/>
              <w:ind w:left="0" w:leftChars="0" w:firstLine="0" w:firstLineChars="0"/>
              <w:jc w:val="center"/>
              <w:rPr>
                <w:rFonts w:hint="default" w:ascii="Times New Roman" w:hAnsi="Times New Roman" w:eastAsia="仿宋_GB2312" w:cs="Times New Roman"/>
                <w:b/>
                <w:bCs w:val="0"/>
                <w:color w:val="auto"/>
                <w:kern w:val="0"/>
                <w:sz w:val="24"/>
                <w:szCs w:val="24"/>
                <w:highlight w:val="none"/>
              </w:rPr>
            </w:pPr>
            <w:r>
              <w:rPr>
                <w:rFonts w:hint="default" w:ascii="Times New Roman" w:hAnsi="Times New Roman" w:eastAsia="仿宋_GB2312" w:cs="Times New Roman"/>
                <w:b/>
                <w:bCs w:val="0"/>
                <w:color w:val="auto"/>
                <w:kern w:val="0"/>
                <w:sz w:val="24"/>
                <w:szCs w:val="24"/>
                <w:highlight w:val="none"/>
              </w:rPr>
              <w:t>合计</w:t>
            </w:r>
          </w:p>
        </w:tc>
        <w:tc>
          <w:tcPr>
            <w:tcW w:w="232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37.1430167</w:t>
            </w:r>
          </w:p>
        </w:tc>
        <w:tc>
          <w:tcPr>
            <w:tcW w:w="2138"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2"/>
                <w:sz w:val="24"/>
                <w:szCs w:val="24"/>
                <w:highlight w:val="none"/>
                <w:u w:val="none"/>
                <w:lang w:val="en-US" w:eastAsia="zh-CN" w:bidi="ar-SA"/>
              </w:rPr>
            </w:pPr>
            <w:r>
              <w:rPr>
                <w:rFonts w:hint="default" w:ascii="Times New Roman" w:hAnsi="Times New Roman" w:eastAsia="等线" w:cs="Times New Roman"/>
                <w:b/>
                <w:bCs/>
                <w:i w:val="0"/>
                <w:iCs w:val="0"/>
                <w:color w:val="auto"/>
                <w:kern w:val="0"/>
                <w:sz w:val="24"/>
                <w:szCs w:val="24"/>
                <w:highlight w:val="none"/>
                <w:u w:val="none"/>
                <w:lang w:val="en-US" w:eastAsia="zh-CN" w:bidi="ar"/>
              </w:rPr>
              <w:t>23.7286</w:t>
            </w:r>
          </w:p>
        </w:tc>
        <w:tc>
          <w:tcPr>
            <w:tcW w:w="2231" w:type="dxa"/>
            <w:tcBorders>
              <w:top w:val="single" w:color="auto" w:sz="4" w:space="0"/>
              <w:left w:val="nil"/>
              <w:bottom w:val="single" w:color="auto" w:sz="4" w:space="0"/>
              <w:right w:val="single" w:color="auto" w:sz="4" w:space="0"/>
            </w:tcBorders>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2"/>
                <w:sz w:val="24"/>
                <w:szCs w:val="24"/>
                <w:highlight w:val="none"/>
                <w:u w:val="none"/>
                <w:lang w:val="en-US" w:eastAsia="zh-CN" w:bidi="ar-SA"/>
              </w:rPr>
            </w:pPr>
            <w:r>
              <w:rPr>
                <w:rFonts w:hint="default" w:ascii="Times New Roman" w:hAnsi="Times New Roman" w:eastAsia="等线" w:cs="Times New Roman"/>
                <w:b/>
                <w:bCs/>
                <w:i w:val="0"/>
                <w:iCs w:val="0"/>
                <w:color w:val="auto"/>
                <w:kern w:val="0"/>
                <w:sz w:val="24"/>
                <w:szCs w:val="24"/>
                <w:highlight w:val="none"/>
                <w:u w:val="none"/>
                <w:lang w:val="en-US" w:eastAsia="zh-CN" w:bidi="ar"/>
              </w:rPr>
              <w:t>60.8716167</w:t>
            </w:r>
          </w:p>
        </w:tc>
      </w:tr>
    </w:tbl>
    <w:p>
      <w:pPr>
        <w:spacing w:line="560" w:lineRule="exact"/>
        <w:ind w:left="640" w:leftChars="200" w:firstLine="321" w:firstLineChars="100"/>
        <w:rPr>
          <w:rFonts w:hint="default" w:ascii="Times New Roman" w:hAnsi="Times New Roman" w:eastAsia="仿宋" w:cs="Times New Roman"/>
          <w:color w:val="auto"/>
          <w:sz w:val="32"/>
          <w:szCs w:val="32"/>
          <w:highlight w:val="none"/>
        </w:rPr>
      </w:pPr>
      <w:r>
        <w:rPr>
          <w:rStyle w:val="15"/>
          <w:rFonts w:hint="default" w:ascii="Times New Roman" w:hAnsi="Times New Roman" w:eastAsia="仿宋_GB2312" w:cs="Times New Roman"/>
          <w:b/>
          <w:bCs w:val="0"/>
          <w:color w:val="auto"/>
          <w:sz w:val="32"/>
          <w:szCs w:val="48"/>
          <w:highlight w:val="none"/>
          <w:lang w:val="en-US" w:eastAsia="zh-CN"/>
        </w:rPr>
        <w:t>2.禁牧区域管护方案</w:t>
      </w:r>
    </w:p>
    <w:p>
      <w:pPr>
        <w:spacing w:line="560" w:lineRule="exact"/>
        <w:ind w:firstLine="640" w:firstLineChars="20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（1）发布禁牧令。特克斯县人民政府发布本行政区域内《禁牧令》，设立禁牧区标志，任何单位和个人不得破坏和擅自改变禁牧区域位置和管护标志，不得阻扰干预管护人员依法行使职权。</w:t>
      </w:r>
    </w:p>
    <w:p>
      <w:pPr>
        <w:spacing w:line="560" w:lineRule="exact"/>
        <w:ind w:firstLine="640" w:firstLineChars="20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（2）加强监督管理。林业和草原局加强禁牧和草畜</w:t>
      </w:r>
      <w:r>
        <w:rPr>
          <w:rFonts w:hint="default" w:ascii="Times New Roman" w:hAnsi="Times New Roman" w:eastAsia="仿宋_GB2312" w:cs="Times New Roman"/>
          <w:b w:val="0"/>
          <w:bCs w:val="0"/>
          <w:color w:val="auto"/>
          <w:sz w:val="32"/>
          <w:szCs w:val="32"/>
          <w:highlight w:val="none"/>
          <w:lang w:eastAsia="zh-CN"/>
        </w:rPr>
        <w:t>平衡</w:t>
      </w:r>
      <w:r>
        <w:rPr>
          <w:rFonts w:hint="default" w:ascii="Times New Roman" w:hAnsi="Times New Roman" w:eastAsia="仿宋_GB2312" w:cs="Times New Roman"/>
          <w:b w:val="0"/>
          <w:bCs w:val="0"/>
          <w:color w:val="auto"/>
          <w:sz w:val="32"/>
          <w:szCs w:val="32"/>
          <w:highlight w:val="none"/>
        </w:rPr>
        <w:t>监督管理，对禁牧和草畜</w:t>
      </w:r>
      <w:r>
        <w:rPr>
          <w:rFonts w:hint="default" w:ascii="Times New Roman" w:hAnsi="Times New Roman" w:eastAsia="仿宋_GB2312" w:cs="Times New Roman"/>
          <w:b w:val="0"/>
          <w:bCs w:val="0"/>
          <w:color w:val="auto"/>
          <w:sz w:val="32"/>
          <w:szCs w:val="32"/>
          <w:highlight w:val="none"/>
          <w:lang w:eastAsia="zh-CN"/>
        </w:rPr>
        <w:t>平衡</w:t>
      </w:r>
      <w:r>
        <w:rPr>
          <w:rFonts w:hint="default" w:ascii="Times New Roman" w:hAnsi="Times New Roman" w:eastAsia="仿宋_GB2312" w:cs="Times New Roman"/>
          <w:b w:val="0"/>
          <w:bCs w:val="0"/>
          <w:color w:val="auto"/>
          <w:sz w:val="32"/>
          <w:szCs w:val="32"/>
          <w:highlight w:val="none"/>
        </w:rPr>
        <w:t>措施落实不到位的，按照《自治区草原禁牧和草畜平衡管理办法》的规定给予处罚。</w:t>
      </w:r>
    </w:p>
    <w:p>
      <w:pPr>
        <w:spacing w:line="560" w:lineRule="exact"/>
        <w:ind w:firstLine="640" w:firstLineChars="20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3）建立群众参与机制。建立健全村规民约，将禁牧政策纳入村民约中，使禁牧工作成为广大农牧民的自觉行为。加强农牧民自我约束宣传工作力度，鼓励广大干部群众和农牧民对违反禁牧政策的行为进行监督和报告。</w:t>
      </w:r>
    </w:p>
    <w:p>
      <w:pPr>
        <w:spacing w:line="500" w:lineRule="exact"/>
        <w:ind w:firstLine="64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snapToGrid w:val="0"/>
          <w:color w:val="auto"/>
          <w:szCs w:val="32"/>
          <w:highlight w:val="none"/>
        </w:rPr>
        <w:t>（</w:t>
      </w:r>
      <w:r>
        <w:rPr>
          <w:rFonts w:hint="default" w:ascii="Times New Roman" w:hAnsi="Times New Roman" w:eastAsia="仿宋_GB2312" w:cs="Times New Roman"/>
          <w:b w:val="0"/>
          <w:bCs w:val="0"/>
          <w:snapToGrid w:val="0"/>
          <w:color w:val="auto"/>
          <w:szCs w:val="32"/>
          <w:highlight w:val="none"/>
          <w:lang w:val="en-US" w:eastAsia="zh-CN"/>
        </w:rPr>
        <w:t>4</w:t>
      </w:r>
      <w:r>
        <w:rPr>
          <w:rFonts w:hint="default" w:ascii="Times New Roman" w:hAnsi="Times New Roman" w:eastAsia="仿宋_GB2312" w:cs="Times New Roman"/>
          <w:b w:val="0"/>
          <w:bCs w:val="0"/>
          <w:snapToGrid w:val="0"/>
          <w:color w:val="auto"/>
          <w:szCs w:val="32"/>
          <w:highlight w:val="none"/>
        </w:rPr>
        <w:t>）严禁在草原禁牧区内放牧牲畜</w:t>
      </w:r>
      <w:r>
        <w:rPr>
          <w:rFonts w:hint="eastAsia" w:cs="Times New Roman"/>
          <w:b w:val="0"/>
          <w:bCs w:val="0"/>
          <w:snapToGrid w:val="0"/>
          <w:color w:val="auto"/>
          <w:szCs w:val="32"/>
          <w:highlight w:val="none"/>
          <w:lang w:eastAsia="zh-CN"/>
        </w:rPr>
        <w:t>。</w:t>
      </w:r>
      <w:r>
        <w:rPr>
          <w:rFonts w:hint="default" w:ascii="Times New Roman" w:hAnsi="Times New Roman" w:eastAsia="仿宋_GB2312" w:cs="Times New Roman"/>
          <w:b w:val="0"/>
          <w:bCs w:val="0"/>
          <w:snapToGrid w:val="0"/>
          <w:color w:val="auto"/>
          <w:szCs w:val="32"/>
          <w:highlight w:val="none"/>
        </w:rPr>
        <w:t>通过以下几种途径全部进行转移安置</w:t>
      </w:r>
      <w:r>
        <w:rPr>
          <w:rFonts w:hint="default" w:ascii="Times New Roman" w:hAnsi="Times New Roman" w:cs="Times New Roman"/>
          <w:b w:val="0"/>
          <w:bCs w:val="0"/>
          <w:snapToGrid w:val="0"/>
          <w:color w:val="auto"/>
          <w:szCs w:val="32"/>
          <w:highlight w:val="none"/>
          <w:lang w:eastAsia="zh-CN"/>
        </w:rPr>
        <w:t>，</w:t>
      </w:r>
      <w:r>
        <w:rPr>
          <w:rFonts w:hint="default" w:ascii="Times New Roman" w:hAnsi="Times New Roman" w:eastAsia="仿宋_GB2312" w:cs="Times New Roman"/>
          <w:b w:val="0"/>
          <w:bCs w:val="0"/>
          <w:color w:val="auto"/>
          <w:szCs w:val="32"/>
          <w:highlight w:val="none"/>
        </w:rPr>
        <w:t>一是向定居点和农区转移，实行舍饲圈养，农牧结合，实行冷季舍饲、暖季放牧；二是育肥出售；三是小畜换大畜，土种换良种；四是新建和改扩建规模化养殖小区，种植优质饲草料，把禁牧区转移出来的牲畜安置到小区饲养。各</w:t>
      </w:r>
      <w:r>
        <w:rPr>
          <w:rFonts w:hint="default" w:ascii="Times New Roman" w:hAnsi="Times New Roman" w:eastAsia="仿宋_GB2312" w:cs="Times New Roman"/>
          <w:b w:val="0"/>
          <w:bCs w:val="0"/>
          <w:color w:val="auto"/>
          <w:szCs w:val="32"/>
          <w:highlight w:val="none"/>
          <w:lang w:eastAsia="zh-CN"/>
        </w:rPr>
        <w:t>乡镇（场）</w:t>
      </w:r>
      <w:r>
        <w:rPr>
          <w:rFonts w:hint="default" w:ascii="Times New Roman" w:hAnsi="Times New Roman" w:eastAsia="仿宋_GB2312" w:cs="Times New Roman"/>
          <w:b w:val="0"/>
          <w:bCs w:val="0"/>
          <w:color w:val="auto"/>
          <w:szCs w:val="32"/>
          <w:highlight w:val="none"/>
        </w:rPr>
        <w:t>制定具体牲畜转移安置方案和计划，认真组织实施。</w:t>
      </w:r>
    </w:p>
    <w:p>
      <w:pPr>
        <w:spacing w:line="560" w:lineRule="exact"/>
        <w:rPr>
          <w:rFonts w:hint="default" w:ascii="Times New Roman" w:hAnsi="Times New Roman" w:eastAsia="楷体_GB2312" w:cs="Times New Roman"/>
          <w:b w:val="0"/>
          <w:bCs w:val="0"/>
          <w:color w:val="auto"/>
          <w:sz w:val="32"/>
          <w:szCs w:val="32"/>
          <w:highlight w:val="none"/>
          <w:lang w:eastAsia="zh-CN"/>
        </w:rPr>
      </w:pPr>
      <w:bookmarkStart w:id="19" w:name="_Toc5512_WPSOffice_Level2"/>
      <w:r>
        <w:rPr>
          <w:rFonts w:hint="default" w:ascii="Times New Roman" w:hAnsi="Times New Roman" w:eastAsia="楷体_GB2312" w:cs="Times New Roman"/>
          <w:b w:val="0"/>
          <w:bCs w:val="0"/>
          <w:color w:val="auto"/>
          <w:sz w:val="32"/>
          <w:szCs w:val="32"/>
          <w:highlight w:val="none"/>
          <w:lang w:eastAsia="zh-CN"/>
        </w:rPr>
        <w:t>（二）草畜平衡管理方案</w:t>
      </w:r>
      <w:bookmarkEnd w:id="19"/>
    </w:p>
    <w:p>
      <w:pPr>
        <w:keepNext w:val="0"/>
        <w:keepLines w:val="0"/>
        <w:pageBreakBefore w:val="0"/>
        <w:kinsoku/>
        <w:wordWrap/>
        <w:overflowPunct/>
        <w:topLinePunct w:val="0"/>
        <w:bidi w:val="0"/>
        <w:snapToGrid/>
        <w:spacing w:line="560" w:lineRule="exact"/>
        <w:ind w:firstLine="640" w:firstLineChars="200"/>
        <w:textAlignment w:val="auto"/>
        <w:rPr>
          <w:rFonts w:hint="default" w:cs="Times New Roman"/>
          <w:b w:val="0"/>
          <w:bCs w:val="0"/>
          <w:color w:val="auto"/>
          <w:kern w:val="0"/>
          <w:sz w:val="32"/>
          <w:szCs w:val="32"/>
          <w:highlight w:val="none"/>
          <w:lang w:val="en-US" w:eastAsia="zh-CN"/>
        </w:rPr>
      </w:pPr>
      <w:r>
        <w:rPr>
          <w:rFonts w:hint="default" w:cs="Times New Roman"/>
          <w:b w:val="0"/>
          <w:bCs w:val="0"/>
          <w:color w:val="auto"/>
          <w:kern w:val="0"/>
          <w:sz w:val="32"/>
          <w:szCs w:val="32"/>
          <w:highlight w:val="none"/>
          <w:lang w:val="en-US" w:eastAsia="zh-CN"/>
        </w:rPr>
        <w:t>1.草畜平衡草原区域</w:t>
      </w:r>
      <w:r>
        <w:rPr>
          <w:rFonts w:hint="eastAsia" w:cs="Times New Roman"/>
          <w:b w:val="0"/>
          <w:bCs w:val="0"/>
          <w:color w:val="auto"/>
          <w:kern w:val="0"/>
          <w:sz w:val="32"/>
          <w:szCs w:val="32"/>
          <w:highlight w:val="none"/>
          <w:lang w:val="en-US" w:eastAsia="zh-CN"/>
        </w:rPr>
        <w:t>，</w:t>
      </w:r>
      <w:r>
        <w:rPr>
          <w:rFonts w:hint="default" w:cs="Times New Roman"/>
          <w:b w:val="0"/>
          <w:bCs w:val="0"/>
          <w:color w:val="auto"/>
          <w:kern w:val="0"/>
          <w:sz w:val="32"/>
          <w:szCs w:val="32"/>
          <w:highlight w:val="none"/>
          <w:lang w:val="en-US" w:eastAsia="zh-CN"/>
        </w:rPr>
        <w:t>草畜平衡区域面积共461.877652万亩，奖励资金1154.69413万元。包括各乡镇（场）禁牧区域以外夏草场、包扎墩远冬牧场、冬草场和春秋草场季。</w:t>
      </w:r>
    </w:p>
    <w:p>
      <w:pPr>
        <w:spacing w:line="560" w:lineRule="exact"/>
        <w:ind w:firstLine="173" w:firstLineChars="62"/>
        <w:jc w:val="center"/>
        <w:rPr>
          <w:rFonts w:hint="default" w:ascii="Times New Roman" w:hAnsi="Times New Roman" w:eastAsia="仿宋" w:cs="Times New Roman"/>
          <w:b/>
          <w:snapToGrid w:val="0"/>
          <w:color w:val="auto"/>
          <w:szCs w:val="32"/>
          <w:highlight w:val="none"/>
        </w:rPr>
      </w:pPr>
      <w:r>
        <w:rPr>
          <w:rFonts w:hint="default" w:ascii="Times New Roman" w:hAnsi="Times New Roman" w:eastAsia="黑体" w:cs="Times New Roman"/>
          <w:b w:val="0"/>
          <w:bCs/>
          <w:snapToGrid w:val="0"/>
          <w:color w:val="auto"/>
          <w:sz w:val="28"/>
          <w:szCs w:val="28"/>
          <w:highlight w:val="none"/>
          <w:lang w:eastAsia="zh-CN"/>
        </w:rPr>
        <w:t>特克斯县</w:t>
      </w:r>
      <w:r>
        <w:rPr>
          <w:rFonts w:hint="default" w:ascii="Times New Roman" w:hAnsi="Times New Roman" w:eastAsia="黑体" w:cs="Times New Roman"/>
          <w:b w:val="0"/>
          <w:bCs/>
          <w:snapToGrid w:val="0"/>
          <w:color w:val="auto"/>
          <w:sz w:val="28"/>
          <w:szCs w:val="28"/>
          <w:highlight w:val="none"/>
        </w:rPr>
        <w:t>草畜平衡区域面积及奖励资金表</w:t>
      </w:r>
    </w:p>
    <w:p>
      <w:pPr>
        <w:spacing w:line="240" w:lineRule="auto"/>
        <w:ind w:firstLine="462" w:firstLineChars="210"/>
        <w:rPr>
          <w:rFonts w:hint="default" w:ascii="Times New Roman" w:hAnsi="Times New Roman" w:eastAsia="仿宋_GB2312" w:cs="Times New Roman"/>
          <w:b w:val="0"/>
          <w:bCs w:val="0"/>
          <w:snapToGrid w:val="0"/>
          <w:color w:val="auto"/>
          <w:sz w:val="21"/>
          <w:szCs w:val="21"/>
          <w:highlight w:val="none"/>
        </w:rPr>
      </w:pPr>
      <w:r>
        <w:rPr>
          <w:rFonts w:hint="default" w:ascii="Times New Roman" w:hAnsi="Times New Roman" w:eastAsia="仿宋" w:cs="Times New Roman"/>
          <w:snapToGrid w:val="0"/>
          <w:color w:val="auto"/>
          <w:sz w:val="22"/>
          <w:szCs w:val="32"/>
          <w:highlight w:val="none"/>
        </w:rPr>
        <w:t xml:space="preserve">                                     </w:t>
      </w:r>
      <w:r>
        <w:rPr>
          <w:rFonts w:hint="eastAsia" w:eastAsia="仿宋" w:cs="Times New Roman"/>
          <w:snapToGrid w:val="0"/>
          <w:color w:val="auto"/>
          <w:sz w:val="22"/>
          <w:szCs w:val="32"/>
          <w:highlight w:val="none"/>
          <w:lang w:val="en-US" w:eastAsia="zh-CN"/>
        </w:rPr>
        <w:t xml:space="preserve">           </w:t>
      </w:r>
      <w:r>
        <w:rPr>
          <w:rFonts w:hint="default" w:ascii="Times New Roman" w:hAnsi="Times New Roman" w:eastAsia="仿宋" w:cs="Times New Roman"/>
          <w:snapToGrid w:val="0"/>
          <w:color w:val="auto"/>
          <w:sz w:val="22"/>
          <w:szCs w:val="32"/>
          <w:highlight w:val="none"/>
        </w:rPr>
        <w:t xml:space="preserve">      </w:t>
      </w:r>
      <w:r>
        <w:rPr>
          <w:rFonts w:hint="default" w:ascii="Times New Roman" w:hAnsi="Times New Roman" w:eastAsia="仿宋_GB2312" w:cs="Times New Roman"/>
          <w:snapToGrid w:val="0"/>
          <w:color w:val="auto"/>
          <w:sz w:val="22"/>
          <w:szCs w:val="32"/>
          <w:highlight w:val="none"/>
        </w:rPr>
        <w:t xml:space="preserve"> </w:t>
      </w:r>
      <w:r>
        <w:rPr>
          <w:rFonts w:hint="default" w:ascii="Times New Roman" w:hAnsi="Times New Roman" w:eastAsia="仿宋_GB2312" w:cs="Times New Roman"/>
          <w:b w:val="0"/>
          <w:bCs w:val="0"/>
          <w:snapToGrid w:val="0"/>
          <w:color w:val="auto"/>
          <w:sz w:val="21"/>
          <w:szCs w:val="21"/>
          <w:highlight w:val="none"/>
        </w:rPr>
        <w:t>单位：万亩，万元</w:t>
      </w:r>
    </w:p>
    <w:tbl>
      <w:tblPr>
        <w:tblStyle w:val="9"/>
        <w:tblW w:w="784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5"/>
        <w:gridCol w:w="2058"/>
        <w:gridCol w:w="2492"/>
        <w:gridCol w:w="24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7" w:hRule="exact"/>
          <w:jc w:val="center"/>
        </w:trPr>
        <w:tc>
          <w:tcPr>
            <w:tcW w:w="895" w:type="dxa"/>
            <w:noWrap w:val="0"/>
            <w:vAlign w:val="center"/>
          </w:tcPr>
          <w:p>
            <w:pPr>
              <w:widowControl/>
              <w:spacing w:line="240" w:lineRule="exact"/>
              <w:ind w:firstLine="0" w:firstLineChars="0"/>
              <w:jc w:val="center"/>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序号</w:t>
            </w:r>
          </w:p>
        </w:tc>
        <w:tc>
          <w:tcPr>
            <w:tcW w:w="2058" w:type="dxa"/>
            <w:noWrap w:val="0"/>
            <w:vAlign w:val="center"/>
          </w:tcPr>
          <w:p>
            <w:pPr>
              <w:widowControl/>
              <w:spacing w:line="240" w:lineRule="exact"/>
              <w:ind w:firstLine="0" w:firstLineChars="0"/>
              <w:jc w:val="center"/>
              <w:rPr>
                <w:rFonts w:hint="default" w:ascii="Times New Roman" w:hAnsi="Times New Roman" w:eastAsia="仿宋_GB2312" w:cs="Times New Roman"/>
                <w:b/>
                <w:bCs/>
                <w:color w:val="auto"/>
                <w:kern w:val="0"/>
                <w:sz w:val="24"/>
                <w:szCs w:val="24"/>
                <w:highlight w:val="none"/>
                <w:lang w:eastAsia="zh-CN"/>
              </w:rPr>
            </w:pPr>
            <w:r>
              <w:rPr>
                <w:rFonts w:hint="default" w:ascii="Times New Roman" w:hAnsi="Times New Roman" w:eastAsia="仿宋_GB2312" w:cs="Times New Roman"/>
                <w:b/>
                <w:bCs/>
                <w:color w:val="auto"/>
                <w:kern w:val="0"/>
                <w:sz w:val="24"/>
                <w:szCs w:val="24"/>
                <w:highlight w:val="none"/>
                <w:lang w:eastAsia="zh-CN"/>
              </w:rPr>
              <w:t>乡镇（场）</w:t>
            </w:r>
          </w:p>
        </w:tc>
        <w:tc>
          <w:tcPr>
            <w:tcW w:w="2492" w:type="dxa"/>
            <w:tcBorders>
              <w:right w:val="single" w:color="auto" w:sz="4" w:space="0"/>
            </w:tcBorders>
            <w:noWrap w:val="0"/>
            <w:vAlign w:val="center"/>
          </w:tcPr>
          <w:p>
            <w:pPr>
              <w:widowControl/>
              <w:spacing w:line="240" w:lineRule="exact"/>
              <w:ind w:firstLine="0" w:firstLineChars="0"/>
              <w:jc w:val="center"/>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草畜平衡区域面积</w:t>
            </w:r>
          </w:p>
        </w:tc>
        <w:tc>
          <w:tcPr>
            <w:tcW w:w="2404" w:type="dxa"/>
            <w:tcBorders>
              <w:left w:val="single" w:color="auto" w:sz="4" w:space="0"/>
            </w:tcBorders>
            <w:noWrap w:val="0"/>
            <w:vAlign w:val="center"/>
          </w:tcPr>
          <w:p>
            <w:pPr>
              <w:widowControl/>
              <w:ind w:firstLine="0" w:firstLineChars="0"/>
              <w:jc w:val="center"/>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草畜平衡奖励资金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7" w:hRule="exact"/>
          <w:jc w:val="center"/>
        </w:trPr>
        <w:tc>
          <w:tcPr>
            <w:tcW w:w="895" w:type="dxa"/>
            <w:noWrap w:val="0"/>
            <w:vAlign w:val="center"/>
          </w:tcPr>
          <w:p>
            <w:pPr>
              <w:widowControl/>
              <w:spacing w:line="240" w:lineRule="exact"/>
              <w:ind w:firstLine="0" w:firstLineChars="0"/>
              <w:jc w:val="center"/>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1</w:t>
            </w:r>
          </w:p>
        </w:tc>
        <w:tc>
          <w:tcPr>
            <w:tcW w:w="2058" w:type="dxa"/>
            <w:noWrap w:val="0"/>
            <w:vAlign w:val="center"/>
          </w:tcPr>
          <w:p>
            <w:pPr>
              <w:widowControl/>
              <w:spacing w:line="240" w:lineRule="exact"/>
              <w:ind w:firstLine="0" w:firstLineChars="0"/>
              <w:jc w:val="left"/>
              <w:rPr>
                <w:rFonts w:hint="eastAsia" w:ascii="Times New Roman" w:hAnsi="Times New Roman" w:eastAsia="仿宋_GB2312" w:cs="Times New Roman"/>
                <w:b/>
                <w:bCs/>
                <w:color w:val="auto"/>
                <w:kern w:val="0"/>
                <w:sz w:val="24"/>
                <w:szCs w:val="24"/>
                <w:highlight w:val="none"/>
                <w:lang w:eastAsia="zh-CN"/>
              </w:rPr>
            </w:pPr>
            <w:r>
              <w:rPr>
                <w:rFonts w:hint="eastAsia" w:cs="Times New Roman"/>
                <w:b/>
                <w:bCs/>
                <w:color w:val="auto"/>
                <w:kern w:val="0"/>
                <w:sz w:val="24"/>
                <w:szCs w:val="24"/>
                <w:highlight w:val="none"/>
                <w:lang w:eastAsia="zh-CN"/>
              </w:rPr>
              <w:t>科克苏镇</w:t>
            </w:r>
          </w:p>
        </w:tc>
        <w:tc>
          <w:tcPr>
            <w:tcW w:w="2492" w:type="dxa"/>
            <w:tcBorders>
              <w:righ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kern w:val="0"/>
                <w:sz w:val="24"/>
                <w:szCs w:val="24"/>
                <w:highlight w:val="none"/>
                <w:lang w:val="en-US"/>
              </w:rPr>
            </w:pPr>
            <w:r>
              <w:rPr>
                <w:rFonts w:hint="default" w:ascii="Times New Roman" w:hAnsi="Times New Roman" w:eastAsia="等线" w:cs="Times New Roman"/>
                <w:b/>
                <w:bCs/>
                <w:i w:val="0"/>
                <w:iCs w:val="0"/>
                <w:color w:val="auto"/>
                <w:kern w:val="0"/>
                <w:sz w:val="24"/>
                <w:szCs w:val="24"/>
                <w:highlight w:val="none"/>
                <w:u w:val="none"/>
                <w:lang w:val="en-US" w:eastAsia="zh-CN" w:bidi="ar"/>
              </w:rPr>
              <w:t>0.5633</w:t>
            </w:r>
          </w:p>
        </w:tc>
        <w:tc>
          <w:tcPr>
            <w:tcW w:w="2404" w:type="dxa"/>
            <w:tcBorders>
              <w:lef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eastAsia" w:ascii="Times New Roman" w:hAnsi="Times New Roman" w:eastAsia="等线" w:cs="Times New Roman"/>
                <w:b/>
                <w:bCs/>
                <w:i w:val="0"/>
                <w:iCs w:val="0"/>
                <w:color w:val="auto"/>
                <w:kern w:val="0"/>
                <w:sz w:val="24"/>
                <w:szCs w:val="24"/>
                <w:highlight w:val="none"/>
                <w:u w:val="none"/>
                <w:lang w:val="en-US" w:eastAsia="zh-CN" w:bidi="ar"/>
              </w:rPr>
              <w:t>1.40825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7" w:hRule="exact"/>
          <w:jc w:val="center"/>
        </w:trPr>
        <w:tc>
          <w:tcPr>
            <w:tcW w:w="895" w:type="dxa"/>
            <w:noWrap w:val="0"/>
            <w:vAlign w:val="center"/>
          </w:tcPr>
          <w:p>
            <w:pPr>
              <w:widowControl/>
              <w:spacing w:line="240" w:lineRule="exact"/>
              <w:ind w:firstLine="0" w:firstLineChars="0"/>
              <w:jc w:val="center"/>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2</w:t>
            </w:r>
          </w:p>
        </w:tc>
        <w:tc>
          <w:tcPr>
            <w:tcW w:w="2058" w:type="dxa"/>
            <w:noWrap w:val="0"/>
            <w:vAlign w:val="center"/>
          </w:tcPr>
          <w:p>
            <w:pPr>
              <w:widowControl/>
              <w:spacing w:line="240" w:lineRule="exact"/>
              <w:ind w:firstLine="0" w:firstLineChars="0"/>
              <w:jc w:val="left"/>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特克斯镇</w:t>
            </w:r>
          </w:p>
        </w:tc>
        <w:tc>
          <w:tcPr>
            <w:tcW w:w="2492" w:type="dxa"/>
            <w:tcBorders>
              <w:righ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仿宋_GB2312" w:cs="Times New Roman"/>
                <w:color w:val="auto"/>
                <w:kern w:val="0"/>
                <w:sz w:val="24"/>
                <w:szCs w:val="24"/>
                <w:highlight w:val="none"/>
                <w:lang w:val="en-US"/>
              </w:rPr>
            </w:pPr>
            <w:r>
              <w:rPr>
                <w:rFonts w:hint="default" w:ascii="Times New Roman" w:hAnsi="Times New Roman" w:eastAsia="等线" w:cs="Times New Roman"/>
                <w:b/>
                <w:bCs/>
                <w:i w:val="0"/>
                <w:iCs w:val="0"/>
                <w:color w:val="auto"/>
                <w:kern w:val="0"/>
                <w:sz w:val="24"/>
                <w:szCs w:val="24"/>
                <w:highlight w:val="none"/>
                <w:u w:val="none"/>
                <w:lang w:val="en-US" w:eastAsia="zh-CN" w:bidi="ar"/>
              </w:rPr>
              <w:t>8.9</w:t>
            </w:r>
            <w:r>
              <w:rPr>
                <w:rFonts w:hint="eastAsia" w:eastAsia="等线" w:cs="Times New Roman"/>
                <w:b/>
                <w:bCs/>
                <w:i w:val="0"/>
                <w:iCs w:val="0"/>
                <w:color w:val="auto"/>
                <w:kern w:val="0"/>
                <w:sz w:val="24"/>
                <w:szCs w:val="24"/>
                <w:highlight w:val="none"/>
                <w:u w:val="none"/>
                <w:lang w:val="en-US" w:eastAsia="zh-CN" w:bidi="ar"/>
              </w:rPr>
              <w:t>626</w:t>
            </w:r>
          </w:p>
        </w:tc>
        <w:tc>
          <w:tcPr>
            <w:tcW w:w="2404" w:type="dxa"/>
            <w:tcBorders>
              <w:lef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22.4</w:t>
            </w:r>
            <w:r>
              <w:rPr>
                <w:rFonts w:hint="eastAsia" w:eastAsia="等线" w:cs="Times New Roman"/>
                <w:b/>
                <w:bCs/>
                <w:i w:val="0"/>
                <w:iCs w:val="0"/>
                <w:color w:val="auto"/>
                <w:kern w:val="0"/>
                <w:sz w:val="24"/>
                <w:szCs w:val="24"/>
                <w:highlight w:val="none"/>
                <w:u w:val="none"/>
                <w:lang w:val="en-US" w:eastAsia="zh-CN" w:bidi="ar"/>
              </w:rPr>
              <w:t>0</w:t>
            </w:r>
            <w:r>
              <w:rPr>
                <w:rFonts w:hint="default" w:ascii="Times New Roman" w:hAnsi="Times New Roman" w:eastAsia="等线" w:cs="Times New Roman"/>
                <w:b/>
                <w:bCs/>
                <w:i w:val="0"/>
                <w:iCs w:val="0"/>
                <w:color w:val="auto"/>
                <w:kern w:val="0"/>
                <w:sz w:val="24"/>
                <w:szCs w:val="24"/>
                <w:highlight w:val="none"/>
                <w:u w:val="none"/>
                <w:lang w:val="en-US" w:eastAsia="zh-CN" w:bidi="ar"/>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7" w:hRule="exact"/>
          <w:jc w:val="center"/>
        </w:trPr>
        <w:tc>
          <w:tcPr>
            <w:tcW w:w="895" w:type="dxa"/>
            <w:noWrap w:val="0"/>
            <w:vAlign w:val="center"/>
          </w:tcPr>
          <w:p>
            <w:pPr>
              <w:widowControl/>
              <w:spacing w:line="240" w:lineRule="exact"/>
              <w:ind w:firstLine="0" w:firstLineChars="0"/>
              <w:jc w:val="center"/>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3</w:t>
            </w:r>
          </w:p>
        </w:tc>
        <w:tc>
          <w:tcPr>
            <w:tcW w:w="2058" w:type="dxa"/>
            <w:noWrap w:val="0"/>
            <w:vAlign w:val="center"/>
          </w:tcPr>
          <w:p>
            <w:pPr>
              <w:widowControl/>
              <w:spacing w:line="240" w:lineRule="exact"/>
              <w:ind w:firstLine="0" w:firstLineChars="0"/>
              <w:jc w:val="left"/>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呼吉尔图蒙古乡</w:t>
            </w:r>
          </w:p>
        </w:tc>
        <w:tc>
          <w:tcPr>
            <w:tcW w:w="2492" w:type="dxa"/>
            <w:tcBorders>
              <w:righ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24.1647</w:t>
            </w:r>
          </w:p>
        </w:tc>
        <w:tc>
          <w:tcPr>
            <w:tcW w:w="2404" w:type="dxa"/>
            <w:tcBorders>
              <w:lef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eastAsia" w:ascii="Times New Roman" w:hAnsi="Times New Roman" w:eastAsia="等线" w:cs="Times New Roman"/>
                <w:b/>
                <w:bCs/>
                <w:i w:val="0"/>
                <w:iCs w:val="0"/>
                <w:color w:val="auto"/>
                <w:kern w:val="0"/>
                <w:sz w:val="24"/>
                <w:szCs w:val="24"/>
                <w:highlight w:val="none"/>
                <w:u w:val="none"/>
                <w:lang w:val="en-US" w:eastAsia="zh-CN" w:bidi="ar"/>
              </w:rPr>
              <w:t>60.41175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2" w:hRule="exact"/>
          <w:jc w:val="center"/>
        </w:trPr>
        <w:tc>
          <w:tcPr>
            <w:tcW w:w="895" w:type="dxa"/>
            <w:noWrap w:val="0"/>
            <w:vAlign w:val="center"/>
          </w:tcPr>
          <w:p>
            <w:pPr>
              <w:widowControl/>
              <w:spacing w:line="240" w:lineRule="exact"/>
              <w:ind w:firstLine="0" w:firstLineChars="0"/>
              <w:jc w:val="center"/>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4</w:t>
            </w:r>
          </w:p>
        </w:tc>
        <w:tc>
          <w:tcPr>
            <w:tcW w:w="2058" w:type="dxa"/>
            <w:noWrap w:val="0"/>
            <w:vAlign w:val="center"/>
          </w:tcPr>
          <w:p>
            <w:pPr>
              <w:widowControl/>
              <w:spacing w:line="240" w:lineRule="exact"/>
              <w:ind w:firstLine="0" w:firstLineChars="0"/>
              <w:jc w:val="left"/>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齐勒乌泽克镇</w:t>
            </w:r>
          </w:p>
        </w:tc>
        <w:tc>
          <w:tcPr>
            <w:tcW w:w="2492" w:type="dxa"/>
            <w:tcBorders>
              <w:righ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79.135502</w:t>
            </w:r>
          </w:p>
        </w:tc>
        <w:tc>
          <w:tcPr>
            <w:tcW w:w="2404" w:type="dxa"/>
            <w:tcBorders>
              <w:lef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eastAsia" w:ascii="Times New Roman" w:hAnsi="Times New Roman" w:eastAsia="等线" w:cs="Times New Roman"/>
                <w:b/>
                <w:bCs/>
                <w:i w:val="0"/>
                <w:iCs w:val="0"/>
                <w:color w:val="auto"/>
                <w:kern w:val="0"/>
                <w:sz w:val="24"/>
                <w:szCs w:val="24"/>
                <w:highlight w:val="none"/>
                <w:u w:val="none"/>
                <w:lang w:val="en-US" w:eastAsia="zh-CN" w:bidi="ar"/>
              </w:rPr>
              <w:t>197.838755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7" w:hRule="exact"/>
          <w:jc w:val="center"/>
        </w:trPr>
        <w:tc>
          <w:tcPr>
            <w:tcW w:w="895" w:type="dxa"/>
            <w:noWrap w:val="0"/>
            <w:vAlign w:val="center"/>
          </w:tcPr>
          <w:p>
            <w:pPr>
              <w:widowControl/>
              <w:spacing w:line="240" w:lineRule="exact"/>
              <w:ind w:firstLine="0" w:firstLineChars="0"/>
              <w:jc w:val="center"/>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5</w:t>
            </w:r>
          </w:p>
        </w:tc>
        <w:tc>
          <w:tcPr>
            <w:tcW w:w="2058" w:type="dxa"/>
            <w:noWrap w:val="0"/>
            <w:vAlign w:val="center"/>
          </w:tcPr>
          <w:p>
            <w:pPr>
              <w:widowControl/>
              <w:spacing w:line="240" w:lineRule="exact"/>
              <w:ind w:firstLine="0" w:firstLineChars="0"/>
              <w:jc w:val="left"/>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阔克铁热克乡</w:t>
            </w:r>
          </w:p>
        </w:tc>
        <w:tc>
          <w:tcPr>
            <w:tcW w:w="2492" w:type="dxa"/>
            <w:tcBorders>
              <w:righ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84.0099</w:t>
            </w:r>
          </w:p>
        </w:tc>
        <w:tc>
          <w:tcPr>
            <w:tcW w:w="2404" w:type="dxa"/>
            <w:tcBorders>
              <w:lef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eastAsia" w:ascii="Times New Roman" w:hAnsi="Times New Roman" w:eastAsia="等线" w:cs="Times New Roman"/>
                <w:b/>
                <w:bCs/>
                <w:i w:val="0"/>
                <w:iCs w:val="0"/>
                <w:color w:val="auto"/>
                <w:kern w:val="0"/>
                <w:sz w:val="24"/>
                <w:szCs w:val="24"/>
                <w:highlight w:val="none"/>
                <w:u w:val="none"/>
                <w:lang w:val="en-US" w:eastAsia="zh-CN" w:bidi="ar"/>
              </w:rPr>
              <w:t>210.02475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7" w:hRule="exact"/>
          <w:jc w:val="center"/>
        </w:trPr>
        <w:tc>
          <w:tcPr>
            <w:tcW w:w="895" w:type="dxa"/>
            <w:noWrap w:val="0"/>
            <w:vAlign w:val="center"/>
          </w:tcPr>
          <w:p>
            <w:pPr>
              <w:widowControl/>
              <w:spacing w:line="240" w:lineRule="exact"/>
              <w:ind w:firstLine="0" w:firstLineChars="0"/>
              <w:jc w:val="center"/>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6</w:t>
            </w:r>
          </w:p>
        </w:tc>
        <w:tc>
          <w:tcPr>
            <w:tcW w:w="2058" w:type="dxa"/>
            <w:noWrap w:val="0"/>
            <w:vAlign w:val="center"/>
          </w:tcPr>
          <w:p>
            <w:pPr>
              <w:widowControl/>
              <w:spacing w:line="240" w:lineRule="exact"/>
              <w:ind w:firstLine="0" w:firstLineChars="0"/>
              <w:jc w:val="left"/>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乔拉克铁热克镇</w:t>
            </w:r>
          </w:p>
        </w:tc>
        <w:tc>
          <w:tcPr>
            <w:tcW w:w="2492" w:type="dxa"/>
            <w:tcBorders>
              <w:righ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84.1993</w:t>
            </w:r>
          </w:p>
        </w:tc>
        <w:tc>
          <w:tcPr>
            <w:tcW w:w="2404" w:type="dxa"/>
            <w:tcBorders>
              <w:lef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210.49825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7" w:hRule="exact"/>
          <w:jc w:val="center"/>
        </w:trPr>
        <w:tc>
          <w:tcPr>
            <w:tcW w:w="895" w:type="dxa"/>
            <w:noWrap w:val="0"/>
            <w:vAlign w:val="center"/>
          </w:tcPr>
          <w:p>
            <w:pPr>
              <w:widowControl/>
              <w:spacing w:line="240" w:lineRule="exact"/>
              <w:ind w:firstLine="0" w:firstLineChars="0"/>
              <w:jc w:val="center"/>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7</w:t>
            </w:r>
          </w:p>
        </w:tc>
        <w:tc>
          <w:tcPr>
            <w:tcW w:w="2058" w:type="dxa"/>
            <w:noWrap w:val="0"/>
            <w:vAlign w:val="center"/>
          </w:tcPr>
          <w:p>
            <w:pPr>
              <w:widowControl/>
              <w:spacing w:line="240" w:lineRule="exact"/>
              <w:ind w:firstLine="0" w:firstLineChars="0"/>
              <w:jc w:val="left"/>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喀拉达拉镇</w:t>
            </w:r>
          </w:p>
        </w:tc>
        <w:tc>
          <w:tcPr>
            <w:tcW w:w="2492" w:type="dxa"/>
            <w:tcBorders>
              <w:righ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74.</w:t>
            </w:r>
            <w:r>
              <w:rPr>
                <w:rFonts w:hint="eastAsia" w:eastAsia="等线" w:cs="Times New Roman"/>
                <w:b/>
                <w:bCs/>
                <w:i w:val="0"/>
                <w:iCs w:val="0"/>
                <w:color w:val="auto"/>
                <w:kern w:val="0"/>
                <w:sz w:val="24"/>
                <w:szCs w:val="24"/>
                <w:highlight w:val="none"/>
                <w:u w:val="none"/>
                <w:lang w:val="en-US" w:eastAsia="zh-CN" w:bidi="ar"/>
              </w:rPr>
              <w:t>2404</w:t>
            </w:r>
          </w:p>
        </w:tc>
        <w:tc>
          <w:tcPr>
            <w:tcW w:w="2404" w:type="dxa"/>
            <w:tcBorders>
              <w:lef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eastAsia" w:ascii="Times New Roman" w:hAnsi="Times New Roman" w:eastAsia="等线" w:cs="Times New Roman"/>
                <w:b/>
                <w:bCs/>
                <w:i w:val="0"/>
                <w:iCs w:val="0"/>
                <w:color w:val="auto"/>
                <w:kern w:val="0"/>
                <w:sz w:val="24"/>
                <w:szCs w:val="24"/>
                <w:highlight w:val="none"/>
                <w:u w:val="none"/>
                <w:lang w:val="en-US" w:eastAsia="zh-CN" w:bidi="ar"/>
              </w:rPr>
              <w:t>185.601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7" w:hRule="exact"/>
          <w:jc w:val="center"/>
        </w:trPr>
        <w:tc>
          <w:tcPr>
            <w:tcW w:w="895" w:type="dxa"/>
            <w:noWrap w:val="0"/>
            <w:vAlign w:val="center"/>
          </w:tcPr>
          <w:p>
            <w:pPr>
              <w:widowControl/>
              <w:spacing w:line="240" w:lineRule="exact"/>
              <w:ind w:firstLine="0" w:firstLineChars="0"/>
              <w:jc w:val="center"/>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8</w:t>
            </w:r>
          </w:p>
        </w:tc>
        <w:tc>
          <w:tcPr>
            <w:tcW w:w="2058" w:type="dxa"/>
            <w:noWrap w:val="0"/>
            <w:vAlign w:val="center"/>
          </w:tcPr>
          <w:p>
            <w:pPr>
              <w:widowControl/>
              <w:spacing w:line="240" w:lineRule="exact"/>
              <w:ind w:firstLine="0" w:firstLineChars="0"/>
              <w:jc w:val="left"/>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喀拉托海镇</w:t>
            </w:r>
          </w:p>
        </w:tc>
        <w:tc>
          <w:tcPr>
            <w:tcW w:w="2492" w:type="dxa"/>
            <w:tcBorders>
              <w:righ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66.57045</w:t>
            </w:r>
          </w:p>
        </w:tc>
        <w:tc>
          <w:tcPr>
            <w:tcW w:w="2404" w:type="dxa"/>
            <w:tcBorders>
              <w:lef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166.426125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7" w:hRule="exact"/>
          <w:jc w:val="center"/>
        </w:trPr>
        <w:tc>
          <w:tcPr>
            <w:tcW w:w="895" w:type="dxa"/>
            <w:noWrap w:val="0"/>
            <w:vAlign w:val="center"/>
          </w:tcPr>
          <w:p>
            <w:pPr>
              <w:widowControl/>
              <w:spacing w:line="240" w:lineRule="exact"/>
              <w:ind w:firstLine="0" w:firstLineChars="0"/>
              <w:jc w:val="center"/>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9</w:t>
            </w:r>
          </w:p>
        </w:tc>
        <w:tc>
          <w:tcPr>
            <w:tcW w:w="2058" w:type="dxa"/>
            <w:noWrap w:val="0"/>
            <w:vAlign w:val="center"/>
          </w:tcPr>
          <w:p>
            <w:pPr>
              <w:widowControl/>
              <w:spacing w:line="240" w:lineRule="exact"/>
              <w:ind w:firstLine="0" w:firstLineChars="0"/>
              <w:jc w:val="left"/>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特克斯马场</w:t>
            </w:r>
          </w:p>
        </w:tc>
        <w:tc>
          <w:tcPr>
            <w:tcW w:w="2492" w:type="dxa"/>
            <w:tcBorders>
              <w:righ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36.2315</w:t>
            </w:r>
          </w:p>
        </w:tc>
        <w:tc>
          <w:tcPr>
            <w:tcW w:w="2404" w:type="dxa"/>
            <w:tcBorders>
              <w:lef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eastAsia" w:ascii="Times New Roman" w:hAnsi="Times New Roman" w:eastAsia="等线" w:cs="Times New Roman"/>
                <w:b/>
                <w:bCs/>
                <w:i w:val="0"/>
                <w:iCs w:val="0"/>
                <w:color w:val="auto"/>
                <w:kern w:val="0"/>
                <w:sz w:val="24"/>
                <w:szCs w:val="24"/>
                <w:highlight w:val="none"/>
                <w:u w:val="none"/>
                <w:lang w:val="en-US" w:eastAsia="zh-CN" w:bidi="ar"/>
              </w:rPr>
              <w:t>90.5787</w:t>
            </w:r>
            <w:r>
              <w:rPr>
                <w:rFonts w:hint="eastAsia" w:eastAsia="等线" w:cs="Times New Roman"/>
                <w:b/>
                <w:bCs/>
                <w:i w:val="0"/>
                <w:iCs w:val="0"/>
                <w:color w:val="auto"/>
                <w:kern w:val="0"/>
                <w:sz w:val="24"/>
                <w:szCs w:val="24"/>
                <w:highlight w:val="none"/>
                <w:u w:val="none"/>
                <w:lang w:val="en-US" w:eastAsia="zh-CN" w:bidi="ar"/>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7" w:hRule="exact"/>
          <w:jc w:val="center"/>
        </w:trPr>
        <w:tc>
          <w:tcPr>
            <w:tcW w:w="895" w:type="dxa"/>
            <w:noWrap w:val="0"/>
            <w:vAlign w:val="center"/>
          </w:tcPr>
          <w:p>
            <w:pPr>
              <w:widowControl/>
              <w:spacing w:line="240" w:lineRule="exact"/>
              <w:ind w:firstLine="0" w:firstLineChars="0"/>
              <w:jc w:val="center"/>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10</w:t>
            </w:r>
          </w:p>
        </w:tc>
        <w:tc>
          <w:tcPr>
            <w:tcW w:w="2058" w:type="dxa"/>
            <w:noWrap w:val="0"/>
            <w:vAlign w:val="center"/>
          </w:tcPr>
          <w:p>
            <w:pPr>
              <w:widowControl/>
              <w:spacing w:line="240" w:lineRule="exact"/>
              <w:ind w:firstLine="0" w:firstLineChars="0"/>
              <w:jc w:val="left"/>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rPr>
              <w:t>巩乃斯羊场</w:t>
            </w:r>
          </w:p>
        </w:tc>
        <w:tc>
          <w:tcPr>
            <w:tcW w:w="2492" w:type="dxa"/>
            <w:tcBorders>
              <w:righ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default" w:ascii="Times New Roman" w:hAnsi="Times New Roman" w:eastAsia="等线" w:cs="Times New Roman"/>
                <w:b/>
                <w:bCs/>
                <w:i w:val="0"/>
                <w:iCs w:val="0"/>
                <w:color w:val="auto"/>
                <w:kern w:val="0"/>
                <w:sz w:val="24"/>
                <w:szCs w:val="24"/>
                <w:highlight w:val="none"/>
                <w:u w:val="none"/>
                <w:lang w:val="en-US" w:eastAsia="zh-CN" w:bidi="ar"/>
              </w:rPr>
              <w:t>3.8000</w:t>
            </w:r>
          </w:p>
        </w:tc>
        <w:tc>
          <w:tcPr>
            <w:tcW w:w="2404" w:type="dxa"/>
            <w:tcBorders>
              <w:lef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eastAsia" w:ascii="Times New Roman" w:hAnsi="Times New Roman" w:eastAsia="等线" w:cs="Times New Roman"/>
                <w:b/>
                <w:bCs/>
                <w:i w:val="0"/>
                <w:iCs w:val="0"/>
                <w:color w:val="auto"/>
                <w:kern w:val="0"/>
                <w:sz w:val="24"/>
                <w:szCs w:val="24"/>
                <w:highlight w:val="none"/>
                <w:u w:val="none"/>
                <w:lang w:val="en-US" w:eastAsia="zh-CN" w:bidi="ar"/>
              </w:rPr>
              <w:t>9.50000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7" w:hRule="exact"/>
          <w:jc w:val="center"/>
        </w:trPr>
        <w:tc>
          <w:tcPr>
            <w:tcW w:w="2953" w:type="dxa"/>
            <w:gridSpan w:val="2"/>
            <w:noWrap w:val="0"/>
            <w:vAlign w:val="center"/>
          </w:tcPr>
          <w:p>
            <w:pPr>
              <w:widowControl/>
              <w:spacing w:line="240" w:lineRule="exact"/>
              <w:ind w:firstLine="0" w:firstLineChars="0"/>
              <w:jc w:val="left"/>
              <w:rPr>
                <w:rFonts w:hint="default" w:ascii="Times New Roman" w:hAnsi="Times New Roman" w:eastAsia="仿宋_GB2312" w:cs="Times New Roman"/>
                <w:b/>
                <w:bCs/>
                <w:color w:val="auto"/>
                <w:kern w:val="0"/>
                <w:sz w:val="24"/>
                <w:szCs w:val="24"/>
                <w:highlight w:val="none"/>
              </w:rPr>
            </w:pPr>
            <w:r>
              <w:rPr>
                <w:rFonts w:hint="default" w:ascii="Times New Roman" w:hAnsi="Times New Roman" w:eastAsia="仿宋_GB2312" w:cs="Times New Roman"/>
                <w:b/>
                <w:bCs/>
                <w:color w:val="auto"/>
                <w:kern w:val="0"/>
                <w:sz w:val="24"/>
                <w:szCs w:val="24"/>
                <w:highlight w:val="none"/>
                <w:lang w:eastAsia="zh-CN"/>
              </w:rPr>
              <w:t>全县合计</w:t>
            </w:r>
          </w:p>
        </w:tc>
        <w:tc>
          <w:tcPr>
            <w:tcW w:w="2492" w:type="dxa"/>
            <w:tcBorders>
              <w:righ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0"/>
                <w:sz w:val="24"/>
                <w:szCs w:val="24"/>
                <w:highlight w:val="none"/>
                <w:u w:val="none"/>
                <w:lang w:val="en-US" w:eastAsia="zh-CN" w:bidi="ar"/>
              </w:rPr>
            </w:pPr>
            <w:r>
              <w:rPr>
                <w:rFonts w:hint="eastAsia" w:cs="Times New Roman"/>
                <w:snapToGrid w:val="0"/>
                <w:color w:val="auto"/>
                <w:sz w:val="24"/>
                <w:szCs w:val="24"/>
                <w:highlight w:val="none"/>
                <w:lang w:val="en-US" w:eastAsia="zh-CN"/>
              </w:rPr>
              <w:t xml:space="preserve">461.877652 </w:t>
            </w:r>
          </w:p>
        </w:tc>
        <w:tc>
          <w:tcPr>
            <w:tcW w:w="2404" w:type="dxa"/>
            <w:tcBorders>
              <w:left w:val="single" w:color="auto" w:sz="4" w:space="0"/>
            </w:tcBorders>
            <w:noWrap w:val="0"/>
            <w:vAlign w:val="center"/>
          </w:tcPr>
          <w:p>
            <w:pPr>
              <w:keepNext w:val="0"/>
              <w:keepLines w:val="0"/>
              <w:widowControl/>
              <w:suppressLineNumbers w:val="0"/>
              <w:ind w:firstLine="480" w:firstLineChars="200"/>
              <w:jc w:val="center"/>
              <w:textAlignment w:val="center"/>
              <w:rPr>
                <w:rFonts w:hint="default" w:ascii="Times New Roman" w:hAnsi="Times New Roman" w:eastAsia="等线" w:cs="Times New Roman"/>
                <w:b/>
                <w:bCs/>
                <w:i w:val="0"/>
                <w:iCs w:val="0"/>
                <w:color w:val="auto"/>
                <w:kern w:val="2"/>
                <w:sz w:val="24"/>
                <w:szCs w:val="24"/>
                <w:highlight w:val="none"/>
                <w:u w:val="none"/>
                <w:lang w:val="en-US" w:eastAsia="zh-CN" w:bidi="ar-SA"/>
              </w:rPr>
            </w:pPr>
            <w:r>
              <w:rPr>
                <w:rFonts w:hint="default" w:ascii="Times New Roman" w:hAnsi="Times New Roman" w:eastAsia="等线" w:cs="Times New Roman"/>
                <w:b/>
                <w:bCs/>
                <w:i w:val="0"/>
                <w:iCs w:val="0"/>
                <w:color w:val="auto"/>
                <w:kern w:val="0"/>
                <w:sz w:val="24"/>
                <w:szCs w:val="24"/>
                <w:highlight w:val="none"/>
                <w:u w:val="none"/>
                <w:lang w:val="en-US" w:eastAsia="zh-CN" w:bidi="ar"/>
              </w:rPr>
              <w:t>1154.69413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exact"/>
          <w:jc w:val="center"/>
        </w:trPr>
        <w:tc>
          <w:tcPr>
            <w:tcW w:w="7849" w:type="dxa"/>
            <w:gridSpan w:val="4"/>
            <w:tcBorders>
              <w:left w:val="nil"/>
              <w:bottom w:val="nil"/>
              <w:right w:val="nil"/>
            </w:tcBorders>
            <w:noWrap w:val="0"/>
            <w:vAlign w:val="center"/>
          </w:tcPr>
          <w:p>
            <w:pPr>
              <w:rPr>
                <w:rFonts w:hint="default" w:ascii="Times New Roman" w:hAnsi="Times New Roman" w:eastAsia="仿宋_GB2312" w:cs="Times New Roman"/>
                <w:color w:val="auto"/>
                <w:highlight w:val="none"/>
              </w:rPr>
            </w:pPr>
          </w:p>
        </w:tc>
      </w:tr>
    </w:tbl>
    <w:p>
      <w:pPr>
        <w:numPr>
          <w:ilvl w:val="0"/>
          <w:numId w:val="0"/>
        </w:numPr>
        <w:spacing w:line="520" w:lineRule="exact"/>
        <w:ind w:firstLine="643" w:firstLineChars="200"/>
        <w:rPr>
          <w:rFonts w:hint="default" w:ascii="Times New Roman" w:hAnsi="Times New Roman" w:eastAsia="仿宋_GB2312" w:cs="Times New Roman"/>
          <w:b/>
          <w:bCs/>
          <w:snapToGrid w:val="0"/>
          <w:color w:val="auto"/>
          <w:szCs w:val="32"/>
          <w:highlight w:val="none"/>
        </w:rPr>
      </w:pPr>
      <w:r>
        <w:rPr>
          <w:rFonts w:hint="default" w:ascii="Times New Roman" w:hAnsi="Times New Roman" w:eastAsia="仿宋_GB2312" w:cs="Times New Roman"/>
          <w:b/>
          <w:bCs/>
          <w:snapToGrid w:val="0"/>
          <w:color w:val="auto"/>
          <w:szCs w:val="32"/>
          <w:highlight w:val="none"/>
          <w:lang w:val="en-US" w:eastAsia="zh-CN"/>
        </w:rPr>
        <w:t>2.</w:t>
      </w:r>
      <w:r>
        <w:rPr>
          <w:rFonts w:hint="default" w:ascii="Times New Roman" w:hAnsi="Times New Roman" w:eastAsia="仿宋_GB2312" w:cs="Times New Roman"/>
          <w:b/>
          <w:bCs/>
          <w:snapToGrid w:val="0"/>
          <w:color w:val="auto"/>
          <w:szCs w:val="32"/>
          <w:highlight w:val="none"/>
        </w:rPr>
        <w:t>草畜平衡草原管护方案</w:t>
      </w:r>
    </w:p>
    <w:p>
      <w:pPr>
        <w:spacing w:line="560" w:lineRule="exact"/>
        <w:ind w:firstLine="640"/>
        <w:rPr>
          <w:rFonts w:hint="default" w:ascii="Times New Roman" w:hAnsi="Times New Roman" w:eastAsia="仿宋_GB2312" w:cs="Times New Roman"/>
          <w:snapToGrid w:val="0"/>
          <w:color w:val="auto"/>
          <w:szCs w:val="32"/>
          <w:highlight w:val="none"/>
        </w:rPr>
      </w:pPr>
      <w:r>
        <w:rPr>
          <w:rFonts w:hint="default" w:ascii="Times New Roman" w:hAnsi="Times New Roman" w:eastAsia="仿宋_GB2312" w:cs="Times New Roman"/>
          <w:snapToGrid w:val="0"/>
          <w:color w:val="auto"/>
          <w:szCs w:val="32"/>
          <w:highlight w:val="none"/>
          <w:lang w:eastAsia="zh-CN"/>
        </w:rPr>
        <w:t>各乡镇（场）</w:t>
      </w:r>
      <w:r>
        <w:rPr>
          <w:rFonts w:hint="default" w:ascii="Times New Roman" w:hAnsi="Times New Roman" w:eastAsia="仿宋_GB2312" w:cs="Times New Roman"/>
          <w:snapToGrid w:val="0"/>
          <w:color w:val="auto"/>
          <w:szCs w:val="32"/>
          <w:highlight w:val="none"/>
        </w:rPr>
        <w:t>要严格按照管护方案，配备管护人员，管护人员由各乡</w:t>
      </w:r>
      <w:r>
        <w:rPr>
          <w:rFonts w:hint="default" w:ascii="Times New Roman" w:hAnsi="Times New Roman" w:eastAsia="仿宋_GB2312" w:cs="Times New Roman"/>
          <w:snapToGrid w:val="0"/>
          <w:color w:val="auto"/>
          <w:szCs w:val="32"/>
          <w:highlight w:val="none"/>
          <w:lang w:eastAsia="zh-CN"/>
        </w:rPr>
        <w:t>镇（场）</w:t>
      </w:r>
      <w:r>
        <w:rPr>
          <w:rFonts w:hint="default" w:ascii="Times New Roman" w:hAnsi="Times New Roman" w:eastAsia="仿宋_GB2312" w:cs="Times New Roman"/>
          <w:snapToGrid w:val="0"/>
          <w:color w:val="auto"/>
          <w:szCs w:val="32"/>
          <w:highlight w:val="none"/>
        </w:rPr>
        <w:t>草原</w:t>
      </w:r>
      <w:r>
        <w:rPr>
          <w:rFonts w:hint="default" w:ascii="Times New Roman" w:hAnsi="Times New Roman" w:eastAsia="仿宋_GB2312" w:cs="Times New Roman"/>
          <w:snapToGrid w:val="0"/>
          <w:color w:val="auto"/>
          <w:szCs w:val="32"/>
          <w:highlight w:val="none"/>
          <w:lang w:eastAsia="zh-CN"/>
        </w:rPr>
        <w:t>工作</w:t>
      </w:r>
      <w:r>
        <w:rPr>
          <w:rFonts w:hint="default" w:ascii="Times New Roman" w:hAnsi="Times New Roman" w:eastAsia="仿宋_GB2312" w:cs="Times New Roman"/>
          <w:snapToGrid w:val="0"/>
          <w:color w:val="auto"/>
          <w:szCs w:val="32"/>
          <w:highlight w:val="none"/>
        </w:rPr>
        <w:t>人员和村</w:t>
      </w:r>
      <w:r>
        <w:rPr>
          <w:rFonts w:hint="default" w:ascii="Times New Roman" w:hAnsi="Times New Roman" w:eastAsia="仿宋_GB2312" w:cs="Times New Roman"/>
          <w:snapToGrid w:val="0"/>
          <w:color w:val="auto"/>
          <w:szCs w:val="32"/>
          <w:highlight w:val="none"/>
          <w:lang w:eastAsia="zh-CN"/>
        </w:rPr>
        <w:t>干部</w:t>
      </w:r>
      <w:r>
        <w:rPr>
          <w:rFonts w:hint="default" w:ascii="Times New Roman" w:hAnsi="Times New Roman" w:eastAsia="仿宋_GB2312" w:cs="Times New Roman"/>
          <w:snapToGrid w:val="0"/>
          <w:color w:val="auto"/>
          <w:szCs w:val="32"/>
          <w:highlight w:val="none"/>
        </w:rPr>
        <w:t>兼任。切实做到草畜平衡区域真正落实草畜平衡制度。</w:t>
      </w:r>
    </w:p>
    <w:p>
      <w:pPr>
        <w:spacing w:line="560" w:lineRule="exact"/>
        <w:ind w:firstLine="640"/>
        <w:rPr>
          <w:rFonts w:hint="default" w:ascii="Times New Roman" w:hAnsi="Times New Roman" w:eastAsia="仿宋_GB2312" w:cs="Times New Roman"/>
          <w:b/>
          <w:color w:val="auto"/>
          <w:szCs w:val="32"/>
          <w:highlight w:val="none"/>
        </w:rPr>
      </w:pPr>
      <w:r>
        <w:rPr>
          <w:rFonts w:hint="default" w:ascii="Times New Roman" w:hAnsi="Times New Roman" w:eastAsia="仿宋_GB2312" w:cs="Times New Roman"/>
          <w:color w:val="auto"/>
          <w:szCs w:val="32"/>
          <w:highlight w:val="none"/>
        </w:rPr>
        <w:t>草畜平衡区域监管措施：</w:t>
      </w:r>
    </w:p>
    <w:p>
      <w:pPr>
        <w:spacing w:line="560" w:lineRule="exact"/>
        <w:ind w:firstLine="640"/>
        <w:rPr>
          <w:rFonts w:hint="default" w:ascii="Times New Roman" w:hAnsi="Times New Roman" w:eastAsia="仿宋_GB2312" w:cs="Times New Roman"/>
          <w:snapToGrid w:val="0"/>
          <w:color w:val="auto"/>
          <w:szCs w:val="32"/>
          <w:highlight w:val="none"/>
        </w:rPr>
      </w:pPr>
      <w:r>
        <w:rPr>
          <w:rFonts w:hint="default" w:ascii="Times New Roman" w:hAnsi="Times New Roman" w:eastAsia="仿宋_GB2312" w:cs="Times New Roman"/>
          <w:snapToGrid w:val="0"/>
          <w:color w:val="auto"/>
          <w:szCs w:val="32"/>
          <w:highlight w:val="none"/>
        </w:rPr>
        <w:t>（1）由</w:t>
      </w:r>
      <w:r>
        <w:rPr>
          <w:rFonts w:hint="default" w:ascii="Times New Roman" w:hAnsi="Times New Roman" w:eastAsia="仿宋_GB2312" w:cs="Times New Roman"/>
          <w:snapToGrid w:val="0"/>
          <w:color w:val="auto"/>
          <w:szCs w:val="32"/>
          <w:highlight w:val="none"/>
          <w:lang w:eastAsia="zh-CN"/>
        </w:rPr>
        <w:t>林业和草原局</w:t>
      </w:r>
      <w:r>
        <w:rPr>
          <w:rFonts w:hint="default" w:ascii="Times New Roman" w:hAnsi="Times New Roman" w:eastAsia="仿宋_GB2312" w:cs="Times New Roman"/>
          <w:snapToGrid w:val="0"/>
          <w:color w:val="auto"/>
          <w:szCs w:val="32"/>
          <w:highlight w:val="none"/>
        </w:rPr>
        <w:t>印制《草畜平衡责任书》，</w:t>
      </w:r>
      <w:r>
        <w:rPr>
          <w:rFonts w:hint="default" w:ascii="Times New Roman" w:hAnsi="Times New Roman" w:eastAsia="仿宋_GB2312" w:cs="Times New Roman"/>
          <w:snapToGrid w:val="0"/>
          <w:color w:val="auto"/>
          <w:szCs w:val="32"/>
          <w:highlight w:val="none"/>
          <w:lang w:eastAsia="zh-CN"/>
        </w:rPr>
        <w:t>并</w:t>
      </w:r>
      <w:r>
        <w:rPr>
          <w:rFonts w:hint="default" w:ascii="Times New Roman" w:hAnsi="Times New Roman" w:eastAsia="仿宋_GB2312" w:cs="Times New Roman"/>
          <w:snapToGrid w:val="0"/>
          <w:color w:val="auto"/>
          <w:szCs w:val="32"/>
          <w:highlight w:val="none"/>
        </w:rPr>
        <w:t>负责与牧户签订</w:t>
      </w:r>
      <w:r>
        <w:rPr>
          <w:rFonts w:hint="default" w:ascii="Times New Roman" w:hAnsi="Times New Roman" w:eastAsia="仿宋_GB2312" w:cs="Times New Roman"/>
          <w:snapToGrid w:val="0"/>
          <w:color w:val="auto"/>
          <w:szCs w:val="32"/>
          <w:highlight w:val="none"/>
          <w:lang w:eastAsia="zh-CN"/>
        </w:rPr>
        <w:t>草畜平衡责任书</w:t>
      </w:r>
      <w:r>
        <w:rPr>
          <w:rFonts w:hint="default" w:ascii="Times New Roman" w:hAnsi="Times New Roman" w:eastAsia="仿宋_GB2312" w:cs="Times New Roman"/>
          <w:snapToGrid w:val="0"/>
          <w:color w:val="auto"/>
          <w:szCs w:val="32"/>
          <w:highlight w:val="none"/>
        </w:rPr>
        <w:t>。责任书主要包含地理位置、面积、利用时间、核定载畜量、草原使用者或承包经营者的责任以及其他有关事项。</w:t>
      </w:r>
    </w:p>
    <w:p>
      <w:pPr>
        <w:spacing w:line="560" w:lineRule="exact"/>
        <w:ind w:firstLine="640"/>
        <w:rPr>
          <w:rFonts w:hint="default" w:ascii="Times New Roman" w:hAnsi="Times New Roman" w:eastAsia="仿宋_GB2312" w:cs="Times New Roman"/>
          <w:snapToGrid w:val="0"/>
          <w:color w:val="auto"/>
          <w:szCs w:val="32"/>
          <w:highlight w:val="none"/>
        </w:rPr>
      </w:pPr>
      <w:r>
        <w:rPr>
          <w:rFonts w:hint="default" w:ascii="Times New Roman" w:hAnsi="Times New Roman" w:eastAsia="仿宋_GB2312" w:cs="Times New Roman"/>
          <w:snapToGrid w:val="0"/>
          <w:color w:val="auto"/>
          <w:szCs w:val="32"/>
          <w:highlight w:val="none"/>
        </w:rPr>
        <w:t>（2）坚决</w:t>
      </w:r>
      <w:r>
        <w:rPr>
          <w:rFonts w:hint="default" w:ascii="Times New Roman" w:hAnsi="Times New Roman" w:eastAsia="仿宋_GB2312" w:cs="Times New Roman"/>
          <w:color w:val="auto"/>
          <w:szCs w:val="32"/>
          <w:highlight w:val="none"/>
        </w:rPr>
        <w:t>禁止农区牲畜上山放牧。一是新建和改扩建规模化养殖小区，做到农区牲畜农区养，二是实行种草养畜，种植优质饲草料，加大农作物秸秆加工利用力度，增加饲草饲料供给，进行舍饲圈养；三是超载的牲畜进行育肥出售。切实将天然草原放牧牲畜减下来</w:t>
      </w:r>
      <w:r>
        <w:rPr>
          <w:rFonts w:hint="default" w:ascii="Times New Roman" w:hAnsi="Times New Roman" w:eastAsia="仿宋_GB2312" w:cs="Times New Roman"/>
          <w:color w:val="auto"/>
          <w:szCs w:val="32"/>
          <w:highlight w:val="none"/>
          <w:lang w:eastAsia="zh-CN"/>
        </w:rPr>
        <w:t>，</w:t>
      </w:r>
      <w:r>
        <w:rPr>
          <w:rFonts w:hint="default" w:ascii="Times New Roman" w:hAnsi="Times New Roman" w:eastAsia="仿宋_GB2312" w:cs="Times New Roman"/>
          <w:snapToGrid w:val="0"/>
          <w:color w:val="auto"/>
          <w:szCs w:val="32"/>
          <w:highlight w:val="none"/>
          <w:lang w:eastAsia="zh-CN"/>
        </w:rPr>
        <w:t>各乡镇（场）</w:t>
      </w:r>
      <w:r>
        <w:rPr>
          <w:rFonts w:hint="default" w:ascii="Times New Roman" w:hAnsi="Times New Roman" w:eastAsia="仿宋_GB2312" w:cs="Times New Roman"/>
          <w:color w:val="auto"/>
          <w:szCs w:val="32"/>
          <w:highlight w:val="none"/>
        </w:rPr>
        <w:t>根据本</w:t>
      </w:r>
      <w:r>
        <w:rPr>
          <w:rFonts w:hint="default" w:ascii="Times New Roman" w:hAnsi="Times New Roman" w:eastAsia="仿宋_GB2312" w:cs="Times New Roman"/>
          <w:snapToGrid w:val="0"/>
          <w:color w:val="auto"/>
          <w:szCs w:val="32"/>
          <w:highlight w:val="none"/>
          <w:lang w:eastAsia="zh-CN"/>
        </w:rPr>
        <w:t>乡镇（场）</w:t>
      </w:r>
      <w:r>
        <w:rPr>
          <w:rFonts w:hint="default" w:ascii="Times New Roman" w:hAnsi="Times New Roman" w:eastAsia="仿宋_GB2312" w:cs="Times New Roman"/>
          <w:color w:val="auto"/>
          <w:szCs w:val="32"/>
          <w:highlight w:val="none"/>
        </w:rPr>
        <w:t>实际，制定具体牲畜转移安置方案和计划，并认真组织实施。</w:t>
      </w:r>
    </w:p>
    <w:p>
      <w:pPr>
        <w:spacing w:line="560" w:lineRule="exact"/>
        <w:ind w:firstLine="640"/>
        <w:rPr>
          <w:rFonts w:hint="default" w:ascii="Times New Roman" w:hAnsi="Times New Roman" w:eastAsia="仿宋_GB2312" w:cs="Times New Roman"/>
          <w:snapToGrid w:val="0"/>
          <w:color w:val="auto"/>
          <w:szCs w:val="32"/>
          <w:highlight w:val="none"/>
        </w:rPr>
      </w:pPr>
      <w:r>
        <w:rPr>
          <w:rFonts w:hint="default" w:ascii="Times New Roman" w:hAnsi="Times New Roman" w:eastAsia="仿宋_GB2312" w:cs="Times New Roman"/>
          <w:snapToGrid w:val="0"/>
          <w:color w:val="auto"/>
          <w:szCs w:val="32"/>
          <w:highlight w:val="none"/>
        </w:rPr>
        <w:t>（</w:t>
      </w:r>
      <w:r>
        <w:rPr>
          <w:rFonts w:hint="default" w:ascii="Times New Roman" w:hAnsi="Times New Roman" w:eastAsia="仿宋_GB2312" w:cs="Times New Roman"/>
          <w:snapToGrid w:val="0"/>
          <w:color w:val="auto"/>
          <w:szCs w:val="32"/>
          <w:highlight w:val="none"/>
          <w:lang w:val="en-US" w:eastAsia="zh-CN"/>
        </w:rPr>
        <w:t>3</w:t>
      </w:r>
      <w:r>
        <w:rPr>
          <w:rFonts w:hint="default" w:ascii="Times New Roman" w:hAnsi="Times New Roman" w:eastAsia="仿宋_GB2312" w:cs="Times New Roman"/>
          <w:snapToGrid w:val="0"/>
          <w:color w:val="auto"/>
          <w:szCs w:val="32"/>
          <w:highlight w:val="none"/>
        </w:rPr>
        <w:t>）</w:t>
      </w:r>
      <w:r>
        <w:rPr>
          <w:rFonts w:hint="default" w:ascii="Times New Roman" w:hAnsi="Times New Roman" w:eastAsia="仿宋_GB2312" w:cs="Times New Roman"/>
          <w:snapToGrid w:val="0"/>
          <w:color w:val="auto"/>
          <w:szCs w:val="32"/>
          <w:highlight w:val="none"/>
          <w:lang w:eastAsia="zh-CN"/>
        </w:rPr>
        <w:t>林业和草原局</w:t>
      </w:r>
      <w:r>
        <w:rPr>
          <w:rFonts w:hint="default" w:ascii="Times New Roman" w:hAnsi="Times New Roman" w:eastAsia="仿宋_GB2312" w:cs="Times New Roman"/>
          <w:snapToGrid w:val="0"/>
          <w:color w:val="auto"/>
          <w:szCs w:val="32"/>
          <w:highlight w:val="none"/>
        </w:rPr>
        <w:t>在重要转场路口设立管护站，对转场的牲畜进行清点，对超出承包草场理论载畜量的牲畜坚决禁止上山。转场结束后，由</w:t>
      </w:r>
      <w:r>
        <w:rPr>
          <w:rFonts w:hint="default" w:ascii="Times New Roman" w:hAnsi="Times New Roman" w:eastAsia="仿宋_GB2312" w:cs="Times New Roman"/>
          <w:snapToGrid w:val="0"/>
          <w:color w:val="auto"/>
          <w:szCs w:val="32"/>
          <w:highlight w:val="none"/>
          <w:lang w:eastAsia="zh-CN"/>
        </w:rPr>
        <w:t>林业和草原局</w:t>
      </w:r>
      <w:r>
        <w:rPr>
          <w:rFonts w:hint="default" w:ascii="Times New Roman" w:hAnsi="Times New Roman" w:eastAsia="仿宋_GB2312" w:cs="Times New Roman"/>
          <w:snapToGrid w:val="0"/>
          <w:color w:val="auto"/>
          <w:szCs w:val="32"/>
          <w:highlight w:val="none"/>
        </w:rPr>
        <w:t>组织人员不定期对草畜平衡区放牧的牲畜头数进行清点清查，对草原超载过牧的，按《自治区草原禁牧和草畜平衡监督管理办法》</w:t>
      </w:r>
      <w:r>
        <w:rPr>
          <w:rFonts w:hint="default" w:ascii="Times New Roman" w:hAnsi="Times New Roman" w:eastAsia="仿宋_GB2312" w:cs="Times New Roman"/>
          <w:snapToGrid w:val="0"/>
          <w:color w:val="auto"/>
          <w:szCs w:val="32"/>
          <w:highlight w:val="none"/>
          <w:lang w:eastAsia="zh-CN"/>
        </w:rPr>
        <w:t>和《特克斯县草畜平衡管理办法》</w:t>
      </w:r>
      <w:r>
        <w:rPr>
          <w:rFonts w:hint="default" w:ascii="Times New Roman" w:hAnsi="Times New Roman" w:eastAsia="仿宋_GB2312" w:cs="Times New Roman"/>
          <w:snapToGrid w:val="0"/>
          <w:color w:val="auto"/>
          <w:szCs w:val="32"/>
          <w:highlight w:val="none"/>
        </w:rPr>
        <w:t>的有关规定，由</w:t>
      </w:r>
      <w:r>
        <w:rPr>
          <w:rFonts w:hint="default" w:ascii="Times New Roman" w:hAnsi="Times New Roman" w:eastAsia="仿宋_GB2312" w:cs="Times New Roman"/>
          <w:snapToGrid w:val="0"/>
          <w:color w:val="auto"/>
          <w:szCs w:val="32"/>
          <w:highlight w:val="none"/>
          <w:lang w:eastAsia="zh-CN"/>
        </w:rPr>
        <w:t>林业和草原局</w:t>
      </w:r>
      <w:r>
        <w:rPr>
          <w:rFonts w:hint="default" w:ascii="Times New Roman" w:hAnsi="Times New Roman" w:eastAsia="仿宋_GB2312" w:cs="Times New Roman"/>
          <w:snapToGrid w:val="0"/>
          <w:color w:val="auto"/>
          <w:szCs w:val="32"/>
          <w:highlight w:val="none"/>
        </w:rPr>
        <w:t>对草原使用者或承包经营者给予处罚。</w:t>
      </w:r>
    </w:p>
    <w:p>
      <w:pPr>
        <w:spacing w:line="560" w:lineRule="exact"/>
        <w:ind w:firstLine="640"/>
        <w:rPr>
          <w:rFonts w:hint="default" w:ascii="Times New Roman" w:hAnsi="Times New Roman" w:eastAsia="仿宋_GB2312" w:cs="Times New Roman"/>
          <w:snapToGrid w:val="0"/>
          <w:color w:val="auto"/>
          <w:szCs w:val="32"/>
          <w:highlight w:val="none"/>
        </w:rPr>
      </w:pPr>
      <w:r>
        <w:rPr>
          <w:rFonts w:hint="default" w:ascii="Times New Roman" w:hAnsi="Times New Roman" w:eastAsia="仿宋_GB2312" w:cs="Times New Roman"/>
          <w:snapToGrid w:val="0"/>
          <w:color w:val="auto"/>
          <w:szCs w:val="32"/>
          <w:highlight w:val="none"/>
        </w:rPr>
        <w:t>（</w:t>
      </w:r>
      <w:r>
        <w:rPr>
          <w:rFonts w:hint="default" w:ascii="Times New Roman" w:hAnsi="Times New Roman" w:eastAsia="仿宋_GB2312" w:cs="Times New Roman"/>
          <w:snapToGrid w:val="0"/>
          <w:color w:val="auto"/>
          <w:szCs w:val="32"/>
          <w:highlight w:val="none"/>
          <w:lang w:val="en-US" w:eastAsia="zh-CN"/>
        </w:rPr>
        <w:t>4</w:t>
      </w:r>
      <w:r>
        <w:rPr>
          <w:rFonts w:hint="default" w:ascii="Times New Roman" w:hAnsi="Times New Roman" w:eastAsia="仿宋_GB2312" w:cs="Times New Roman"/>
          <w:snapToGrid w:val="0"/>
          <w:color w:val="auto"/>
          <w:szCs w:val="32"/>
          <w:highlight w:val="none"/>
        </w:rPr>
        <w:t>）对每家牧户核定的放牧头数进行公示，发动群众相互监督，对于举报查实的群众，可予以一定物质奖励。</w:t>
      </w:r>
    </w:p>
    <w:p>
      <w:pPr>
        <w:keepNext w:val="0"/>
        <w:keepLines w:val="0"/>
        <w:pageBreakBefore w:val="0"/>
        <w:kinsoku/>
        <w:wordWrap/>
        <w:overflowPunct/>
        <w:topLinePunct w:val="0"/>
        <w:autoSpaceDE/>
        <w:autoSpaceDN/>
        <w:bidi w:val="0"/>
        <w:adjustRightInd/>
        <w:snapToGrid/>
        <w:spacing w:line="560" w:lineRule="atLeast"/>
        <w:ind w:firstLine="640"/>
        <w:textAlignment w:val="auto"/>
        <w:rPr>
          <w:rFonts w:hint="default" w:ascii="Times New Roman" w:hAnsi="Times New Roman" w:eastAsia="仿宋_GB2312" w:cs="Times New Roman"/>
          <w:snapToGrid w:val="0"/>
          <w:color w:val="auto"/>
          <w:szCs w:val="32"/>
          <w:highlight w:val="none"/>
        </w:rPr>
      </w:pPr>
      <w:r>
        <w:rPr>
          <w:rFonts w:hint="default" w:ascii="Times New Roman" w:hAnsi="Times New Roman" w:eastAsia="仿宋_GB2312" w:cs="Times New Roman"/>
          <w:snapToGrid w:val="0"/>
          <w:color w:val="auto"/>
          <w:szCs w:val="32"/>
          <w:highlight w:val="none"/>
        </w:rPr>
        <w:t>（</w:t>
      </w:r>
      <w:r>
        <w:rPr>
          <w:rFonts w:hint="default" w:ascii="Times New Roman" w:hAnsi="Times New Roman" w:eastAsia="仿宋_GB2312" w:cs="Times New Roman"/>
          <w:snapToGrid w:val="0"/>
          <w:color w:val="auto"/>
          <w:szCs w:val="32"/>
          <w:highlight w:val="none"/>
          <w:lang w:val="en-US" w:eastAsia="zh-CN"/>
        </w:rPr>
        <w:t>5</w:t>
      </w:r>
      <w:r>
        <w:rPr>
          <w:rFonts w:hint="default" w:ascii="Times New Roman" w:hAnsi="Times New Roman" w:eastAsia="仿宋_GB2312" w:cs="Times New Roman"/>
          <w:snapToGrid w:val="0"/>
          <w:color w:val="auto"/>
          <w:szCs w:val="32"/>
          <w:highlight w:val="none"/>
        </w:rPr>
        <w:t>）对不愿落实草畜平衡管理的牧民，不仅取消发放补助奖励资金，还要按</w:t>
      </w:r>
      <w:r>
        <w:rPr>
          <w:rFonts w:hint="default" w:ascii="Times New Roman" w:hAnsi="Times New Roman" w:eastAsia="仿宋_GB2312" w:cs="Times New Roman"/>
          <w:snapToGrid w:val="0"/>
          <w:color w:val="auto"/>
          <w:szCs w:val="32"/>
          <w:highlight w:val="none"/>
          <w:lang w:eastAsia="zh-CN"/>
        </w:rPr>
        <w:t>《中华人民共和国草原法》、《新疆维吾尔自治区实施</w:t>
      </w:r>
      <w:r>
        <w:rPr>
          <w:rFonts w:hint="default" w:ascii="Times New Roman" w:hAnsi="Times New Roman" w:eastAsia="仿宋_GB2312" w:cs="Times New Roman"/>
          <w:snapToGrid w:val="0"/>
          <w:color w:val="auto"/>
          <w:szCs w:val="32"/>
          <w:highlight w:val="none"/>
          <w:lang w:val="en-US" w:eastAsia="zh-CN"/>
        </w:rPr>
        <w:t>&lt;草原法&gt;办法</w:t>
      </w:r>
      <w:r>
        <w:rPr>
          <w:rFonts w:hint="default" w:ascii="Times New Roman" w:hAnsi="Times New Roman" w:eastAsia="仿宋_GB2312" w:cs="Times New Roman"/>
          <w:snapToGrid w:val="0"/>
          <w:color w:val="auto"/>
          <w:szCs w:val="32"/>
          <w:highlight w:val="none"/>
          <w:lang w:eastAsia="zh-CN"/>
        </w:rPr>
        <w:t>》、</w:t>
      </w:r>
      <w:r>
        <w:rPr>
          <w:rFonts w:hint="default" w:ascii="Times New Roman" w:hAnsi="Times New Roman" w:eastAsia="仿宋_GB2312" w:cs="Times New Roman"/>
          <w:snapToGrid w:val="0"/>
          <w:color w:val="auto"/>
          <w:szCs w:val="32"/>
          <w:highlight w:val="none"/>
        </w:rPr>
        <w:t>《自治区草原禁牧和草畜平衡监督管理办法》</w:t>
      </w:r>
      <w:r>
        <w:rPr>
          <w:rFonts w:hint="default" w:ascii="Times New Roman" w:hAnsi="Times New Roman" w:eastAsia="仿宋_GB2312" w:cs="Times New Roman"/>
          <w:snapToGrid w:val="0"/>
          <w:color w:val="auto"/>
          <w:szCs w:val="32"/>
          <w:highlight w:val="none"/>
          <w:lang w:eastAsia="zh-CN"/>
        </w:rPr>
        <w:t>、《特克斯县草畜平衡管理办法》</w:t>
      </w:r>
      <w:r>
        <w:rPr>
          <w:rFonts w:hint="default" w:ascii="Times New Roman" w:hAnsi="Times New Roman" w:eastAsia="仿宋_GB2312" w:cs="Times New Roman"/>
          <w:snapToGrid w:val="0"/>
          <w:color w:val="auto"/>
          <w:szCs w:val="32"/>
          <w:highlight w:val="none"/>
        </w:rPr>
        <w:t>的</w:t>
      </w:r>
      <w:r>
        <w:rPr>
          <w:rFonts w:hint="default" w:ascii="Times New Roman" w:hAnsi="Times New Roman" w:eastAsia="仿宋_GB2312" w:cs="Times New Roman"/>
          <w:snapToGrid w:val="0"/>
          <w:color w:val="auto"/>
          <w:szCs w:val="32"/>
          <w:highlight w:val="none"/>
          <w:lang w:eastAsia="zh-CN"/>
        </w:rPr>
        <w:t>有关</w:t>
      </w:r>
      <w:r>
        <w:rPr>
          <w:rFonts w:hint="default" w:ascii="Times New Roman" w:hAnsi="Times New Roman" w:eastAsia="仿宋_GB2312" w:cs="Times New Roman"/>
          <w:snapToGrid w:val="0"/>
          <w:color w:val="auto"/>
          <w:szCs w:val="32"/>
          <w:highlight w:val="none"/>
        </w:rPr>
        <w:t>规定给予处罚。</w:t>
      </w:r>
    </w:p>
    <w:p>
      <w:pPr>
        <w:spacing w:line="560" w:lineRule="exact"/>
        <w:rPr>
          <w:rFonts w:hint="default" w:ascii="Times New Roman" w:hAnsi="Times New Roman" w:eastAsia="楷体_GB2312" w:cs="Times New Roman"/>
          <w:b w:val="0"/>
          <w:bCs w:val="0"/>
          <w:color w:val="auto"/>
          <w:sz w:val="32"/>
          <w:szCs w:val="32"/>
          <w:highlight w:val="none"/>
          <w:lang w:eastAsia="zh-CN"/>
        </w:rPr>
      </w:pPr>
      <w:bookmarkStart w:id="20" w:name="_Toc18597_WPSOffice_Level2"/>
      <w:r>
        <w:rPr>
          <w:rFonts w:hint="default" w:ascii="Times New Roman" w:hAnsi="Times New Roman" w:eastAsia="楷体_GB2312" w:cs="Times New Roman"/>
          <w:b w:val="0"/>
          <w:bCs w:val="0"/>
          <w:color w:val="auto"/>
          <w:sz w:val="32"/>
          <w:szCs w:val="32"/>
          <w:highlight w:val="none"/>
          <w:lang w:eastAsia="zh-CN"/>
        </w:rPr>
        <w:t>（三）</w:t>
      </w:r>
      <w:r>
        <w:rPr>
          <w:rFonts w:hint="default" w:ascii="Times New Roman" w:hAnsi="Times New Roman" w:eastAsia="楷体_GB2312" w:cs="Times New Roman"/>
          <w:b w:val="0"/>
          <w:bCs w:val="0"/>
          <w:color w:val="auto"/>
          <w:sz w:val="32"/>
          <w:szCs w:val="32"/>
          <w:highlight w:val="none"/>
          <w:lang w:val="en-US" w:eastAsia="zh-CN"/>
        </w:rPr>
        <w:t>补助奖励资金管理方案</w:t>
      </w:r>
      <w:bookmarkEnd w:id="20"/>
      <w:r>
        <w:rPr>
          <w:rFonts w:hint="default" w:ascii="Times New Roman" w:hAnsi="Times New Roman" w:eastAsia="楷体_GB2312" w:cs="Times New Roman"/>
          <w:b w:val="0"/>
          <w:bCs w:val="0"/>
          <w:color w:val="auto"/>
          <w:sz w:val="32"/>
          <w:szCs w:val="32"/>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60" w:lineRule="atLeast"/>
        <w:jc w:val="left"/>
        <w:textAlignment w:val="auto"/>
        <w:rPr>
          <w:rFonts w:hint="default" w:ascii="Times New Roman" w:hAnsi="Times New Roman" w:cs="Times New Roman"/>
          <w:color w:val="auto"/>
          <w:highlight w:val="none"/>
        </w:rPr>
      </w:pPr>
      <w:r>
        <w:rPr>
          <w:rFonts w:hint="default" w:ascii="Times New Roman" w:hAnsi="Times New Roman" w:eastAsia="仿宋_GB2312" w:cs="Times New Roman"/>
          <w:color w:val="auto"/>
          <w:kern w:val="0"/>
          <w:sz w:val="31"/>
          <w:szCs w:val="31"/>
          <w:highlight w:val="none"/>
          <w:lang w:val="en-US" w:eastAsia="zh-CN" w:bidi="ar"/>
        </w:rPr>
        <w:t>按照财政部</w:t>
      </w:r>
      <w:r>
        <w:rPr>
          <w:rFonts w:hint="eastAsia" w:cs="Times New Roman"/>
          <w:color w:val="auto"/>
          <w:kern w:val="0"/>
          <w:sz w:val="31"/>
          <w:szCs w:val="31"/>
          <w:highlight w:val="none"/>
          <w:lang w:val="en-US" w:eastAsia="zh-CN" w:bidi="ar"/>
        </w:rPr>
        <w:t>、</w:t>
      </w:r>
      <w:r>
        <w:rPr>
          <w:rFonts w:hint="default" w:ascii="Times New Roman" w:hAnsi="Times New Roman" w:eastAsia="仿宋_GB2312" w:cs="Times New Roman"/>
          <w:color w:val="auto"/>
          <w:kern w:val="0"/>
          <w:sz w:val="31"/>
          <w:szCs w:val="31"/>
          <w:highlight w:val="none"/>
          <w:lang w:val="en-US" w:eastAsia="zh-CN" w:bidi="ar"/>
        </w:rPr>
        <w:t>农业农村部</w:t>
      </w:r>
      <w:r>
        <w:rPr>
          <w:rFonts w:hint="eastAsia" w:cs="Times New Roman"/>
          <w:color w:val="auto"/>
          <w:kern w:val="0"/>
          <w:sz w:val="31"/>
          <w:szCs w:val="31"/>
          <w:highlight w:val="none"/>
          <w:lang w:val="en-US" w:eastAsia="zh-CN" w:bidi="ar"/>
        </w:rPr>
        <w:t>、</w:t>
      </w:r>
      <w:r>
        <w:rPr>
          <w:rFonts w:hint="default" w:ascii="Times New Roman" w:hAnsi="Times New Roman" w:eastAsia="仿宋_GB2312" w:cs="Times New Roman"/>
          <w:color w:val="auto"/>
          <w:kern w:val="0"/>
          <w:sz w:val="31"/>
          <w:szCs w:val="31"/>
          <w:highlight w:val="none"/>
          <w:lang w:val="en-US" w:eastAsia="zh-CN" w:bidi="ar"/>
        </w:rPr>
        <w:t>国家林草局《关于印发</w:t>
      </w:r>
      <w:r>
        <w:rPr>
          <w:rFonts w:hint="default" w:ascii="Times New Roman" w:hAnsi="Times New Roman" w:eastAsia="宋体" w:cs="Times New Roman"/>
          <w:color w:val="auto"/>
          <w:kern w:val="0"/>
          <w:sz w:val="31"/>
          <w:szCs w:val="31"/>
          <w:highlight w:val="none"/>
          <w:lang w:val="en-US" w:eastAsia="zh-CN" w:bidi="ar"/>
        </w:rPr>
        <w:t>&lt;</w:t>
      </w:r>
      <w:r>
        <w:rPr>
          <w:rFonts w:hint="default" w:ascii="Times New Roman" w:hAnsi="Times New Roman" w:eastAsia="仿宋_GB2312" w:cs="Times New Roman"/>
          <w:color w:val="auto"/>
          <w:kern w:val="0"/>
          <w:sz w:val="31"/>
          <w:szCs w:val="31"/>
          <w:highlight w:val="none"/>
          <w:lang w:val="en-US" w:eastAsia="zh-CN" w:bidi="ar"/>
        </w:rPr>
        <w:t>第三轮草原生态保护补助奖励政策实时指导意见</w:t>
      </w:r>
      <w:r>
        <w:rPr>
          <w:rFonts w:hint="default" w:ascii="Times New Roman" w:hAnsi="Times New Roman" w:eastAsia="宋体" w:cs="Times New Roman"/>
          <w:color w:val="auto"/>
          <w:kern w:val="0"/>
          <w:sz w:val="31"/>
          <w:szCs w:val="31"/>
          <w:highlight w:val="none"/>
          <w:lang w:val="en-US" w:eastAsia="zh-CN" w:bidi="ar"/>
        </w:rPr>
        <w:t>&gt;</w:t>
      </w:r>
      <w:r>
        <w:rPr>
          <w:rFonts w:hint="default" w:ascii="Times New Roman" w:hAnsi="Times New Roman" w:eastAsia="仿宋_GB2312" w:cs="Times New Roman"/>
          <w:color w:val="auto"/>
          <w:kern w:val="0"/>
          <w:sz w:val="31"/>
          <w:szCs w:val="31"/>
          <w:highlight w:val="none"/>
          <w:lang w:val="en-US" w:eastAsia="zh-CN" w:bidi="ar"/>
        </w:rPr>
        <w:t>的通知》（财农〔</w:t>
      </w:r>
      <w:r>
        <w:rPr>
          <w:rFonts w:hint="default" w:ascii="Times New Roman" w:hAnsi="Times New Roman" w:eastAsia="宋体" w:cs="Times New Roman"/>
          <w:color w:val="auto"/>
          <w:kern w:val="0"/>
          <w:sz w:val="31"/>
          <w:szCs w:val="31"/>
          <w:highlight w:val="none"/>
          <w:lang w:val="en-US" w:eastAsia="zh-CN" w:bidi="ar"/>
        </w:rPr>
        <w:t>2021</w:t>
      </w:r>
      <w:r>
        <w:rPr>
          <w:rFonts w:hint="default" w:ascii="Times New Roman" w:hAnsi="Times New Roman" w:eastAsia="仿宋_GB2312" w:cs="Times New Roman"/>
          <w:color w:val="auto"/>
          <w:kern w:val="0"/>
          <w:sz w:val="31"/>
          <w:szCs w:val="31"/>
          <w:highlight w:val="none"/>
          <w:lang w:val="en-US" w:eastAsia="zh-CN" w:bidi="ar"/>
        </w:rPr>
        <w:t>〕</w:t>
      </w:r>
      <w:r>
        <w:rPr>
          <w:rFonts w:hint="default" w:ascii="Times New Roman" w:hAnsi="Times New Roman" w:eastAsia="宋体" w:cs="Times New Roman"/>
          <w:color w:val="auto"/>
          <w:kern w:val="0"/>
          <w:sz w:val="31"/>
          <w:szCs w:val="31"/>
          <w:highlight w:val="none"/>
          <w:lang w:val="en-US" w:eastAsia="zh-CN" w:bidi="ar"/>
        </w:rPr>
        <w:t xml:space="preserve">82 </w:t>
      </w:r>
      <w:r>
        <w:rPr>
          <w:rFonts w:hint="default" w:ascii="Times New Roman" w:hAnsi="Times New Roman" w:eastAsia="仿宋_GB2312" w:cs="Times New Roman"/>
          <w:color w:val="auto"/>
          <w:kern w:val="0"/>
          <w:sz w:val="31"/>
          <w:szCs w:val="31"/>
          <w:highlight w:val="none"/>
          <w:lang w:val="en-US" w:eastAsia="zh-CN" w:bidi="ar"/>
        </w:rPr>
        <w:t>号）、《关于报送第三轮草原生态保护补助奖励政策实施方案的通知》（新财农〔</w:t>
      </w:r>
      <w:r>
        <w:rPr>
          <w:rFonts w:hint="default" w:ascii="Times New Roman" w:hAnsi="Times New Roman" w:eastAsia="宋体" w:cs="Times New Roman"/>
          <w:color w:val="auto"/>
          <w:kern w:val="0"/>
          <w:sz w:val="31"/>
          <w:szCs w:val="31"/>
          <w:highlight w:val="none"/>
          <w:lang w:val="en-US" w:eastAsia="zh-CN" w:bidi="ar"/>
        </w:rPr>
        <w:t>2021</w:t>
      </w:r>
      <w:r>
        <w:rPr>
          <w:rFonts w:hint="default" w:ascii="Times New Roman" w:hAnsi="Times New Roman" w:eastAsia="仿宋_GB2312" w:cs="Times New Roman"/>
          <w:color w:val="auto"/>
          <w:kern w:val="0"/>
          <w:sz w:val="31"/>
          <w:szCs w:val="31"/>
          <w:highlight w:val="none"/>
          <w:lang w:val="en-US" w:eastAsia="zh-CN" w:bidi="ar"/>
        </w:rPr>
        <w:t>〕</w:t>
      </w:r>
      <w:r>
        <w:rPr>
          <w:rFonts w:hint="default" w:ascii="Times New Roman" w:hAnsi="Times New Roman" w:eastAsia="宋体" w:cs="Times New Roman"/>
          <w:color w:val="auto"/>
          <w:kern w:val="0"/>
          <w:sz w:val="31"/>
          <w:szCs w:val="31"/>
          <w:highlight w:val="none"/>
          <w:lang w:val="en-US" w:eastAsia="zh-CN" w:bidi="ar"/>
        </w:rPr>
        <w:t xml:space="preserve">70 </w:t>
      </w:r>
      <w:r>
        <w:rPr>
          <w:rFonts w:hint="default" w:ascii="Times New Roman" w:hAnsi="Times New Roman" w:eastAsia="仿宋_GB2312" w:cs="Times New Roman"/>
          <w:color w:val="auto"/>
          <w:kern w:val="0"/>
          <w:sz w:val="31"/>
          <w:szCs w:val="31"/>
          <w:highlight w:val="none"/>
          <w:lang w:val="en-US" w:eastAsia="zh-CN" w:bidi="ar"/>
        </w:rPr>
        <w:t>号）和《关于印发</w:t>
      </w:r>
      <w:r>
        <w:rPr>
          <w:rFonts w:hint="default" w:ascii="Times New Roman" w:hAnsi="Times New Roman" w:eastAsia="宋体" w:cs="Times New Roman"/>
          <w:color w:val="auto"/>
          <w:kern w:val="0"/>
          <w:sz w:val="31"/>
          <w:szCs w:val="31"/>
          <w:highlight w:val="none"/>
          <w:lang w:val="en-US" w:eastAsia="zh-CN" w:bidi="ar"/>
        </w:rPr>
        <w:t>&lt;</w:t>
      </w:r>
      <w:r>
        <w:rPr>
          <w:rFonts w:hint="default" w:ascii="Times New Roman" w:hAnsi="Times New Roman" w:eastAsia="仿宋_GB2312" w:cs="Times New Roman"/>
          <w:color w:val="auto"/>
          <w:kern w:val="0"/>
          <w:sz w:val="31"/>
          <w:szCs w:val="31"/>
          <w:highlight w:val="none"/>
          <w:lang w:val="en-US" w:eastAsia="zh-CN" w:bidi="ar"/>
        </w:rPr>
        <w:t>新疆维吾尔自治区草原生态保护</w:t>
      </w:r>
      <w:r>
        <w:rPr>
          <w:rFonts w:hint="default" w:ascii="Times New Roman" w:hAnsi="Times New Roman" w:cs="Times New Roman"/>
          <w:color w:val="auto"/>
          <w:kern w:val="0"/>
          <w:sz w:val="31"/>
          <w:szCs w:val="31"/>
          <w:highlight w:val="none"/>
          <w:lang w:val="en-US" w:eastAsia="zh-CN" w:bidi="ar"/>
        </w:rPr>
        <w:t>补助奖励资金管理暂行办法&gt;的通知》（新财农〔2012〕43 号）、《关于报送第三轮草原生态保护补助奖励政策实施方案的通知》伊州财农〔2021〕48号的要求，做好补奖资金拨付与监管，按照预算执行进度要求，及时将资金发放到户（单位</w:t>
      </w:r>
      <w:r>
        <w:rPr>
          <w:rFonts w:hint="default" w:ascii="Times New Roman" w:hAnsi="Times New Roman" w:eastAsia="仿宋_GB2312" w:cs="Times New Roman"/>
          <w:color w:val="auto"/>
          <w:kern w:val="0"/>
          <w:sz w:val="31"/>
          <w:szCs w:val="31"/>
          <w:highlight w:val="none"/>
          <w:lang w:val="en-US" w:eastAsia="zh-CN" w:bidi="ar"/>
        </w:rPr>
        <w:t>）。</w:t>
      </w:r>
    </w:p>
    <w:p>
      <w:pPr>
        <w:spacing w:line="560" w:lineRule="exact"/>
        <w:rPr>
          <w:rFonts w:hint="default" w:ascii="Times New Roman" w:hAnsi="Times New Roman" w:eastAsia="楷体_GB2312" w:cs="Times New Roman"/>
          <w:b w:val="0"/>
          <w:bCs w:val="0"/>
          <w:color w:val="auto"/>
          <w:sz w:val="32"/>
          <w:szCs w:val="32"/>
          <w:highlight w:val="none"/>
          <w:lang w:eastAsia="zh-CN"/>
        </w:rPr>
      </w:pPr>
      <w:bookmarkStart w:id="21" w:name="_Toc20480_WPSOffice_Level2"/>
      <w:r>
        <w:rPr>
          <w:rFonts w:hint="default" w:ascii="Times New Roman" w:hAnsi="Times New Roman" w:eastAsia="楷体_GB2312" w:cs="Times New Roman"/>
          <w:b w:val="0"/>
          <w:bCs w:val="0"/>
          <w:color w:val="auto"/>
          <w:sz w:val="32"/>
          <w:szCs w:val="32"/>
          <w:highlight w:val="none"/>
          <w:lang w:eastAsia="zh-CN"/>
        </w:rPr>
        <w:t>（四）绩效考核方案</w:t>
      </w:r>
      <w:bookmarkEnd w:id="21"/>
      <w:r>
        <w:rPr>
          <w:rFonts w:hint="default" w:ascii="Times New Roman" w:hAnsi="Times New Roman" w:eastAsia="楷体_GB2312" w:cs="Times New Roman"/>
          <w:b w:val="0"/>
          <w:bCs w:val="0"/>
          <w:color w:val="auto"/>
          <w:sz w:val="32"/>
          <w:szCs w:val="32"/>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60" w:lineRule="atLeast"/>
        <w:jc w:val="left"/>
        <w:textAlignment w:val="auto"/>
        <w:rPr>
          <w:rFonts w:hint="default" w:ascii="Times New Roman" w:hAnsi="Times New Roman" w:eastAsia="楷体_GB2312" w:cs="Times New Roman"/>
          <w:b/>
          <w:bCs/>
          <w:color w:val="auto"/>
          <w:sz w:val="32"/>
          <w:szCs w:val="32"/>
          <w:highlight w:val="none"/>
          <w:lang w:eastAsia="zh-CN"/>
        </w:rPr>
      </w:pPr>
      <w:r>
        <w:rPr>
          <w:rFonts w:hint="default" w:ascii="Times New Roman" w:hAnsi="Times New Roman" w:eastAsia="仿宋_GB2312" w:cs="Times New Roman"/>
          <w:color w:val="auto"/>
          <w:kern w:val="0"/>
          <w:sz w:val="31"/>
          <w:szCs w:val="31"/>
          <w:highlight w:val="none"/>
          <w:lang w:val="en-US" w:eastAsia="zh-CN" w:bidi="ar"/>
        </w:rPr>
        <w:t>各</w:t>
      </w:r>
      <w:r>
        <w:rPr>
          <w:rFonts w:hint="default" w:ascii="Times New Roman" w:hAnsi="Times New Roman" w:cs="Times New Roman"/>
          <w:color w:val="auto"/>
          <w:kern w:val="0"/>
          <w:sz w:val="31"/>
          <w:szCs w:val="31"/>
          <w:highlight w:val="none"/>
          <w:lang w:val="en-US" w:eastAsia="zh-CN" w:bidi="ar"/>
        </w:rPr>
        <w:t>乡镇场</w:t>
      </w:r>
      <w:r>
        <w:rPr>
          <w:rFonts w:hint="default" w:ascii="Times New Roman" w:hAnsi="Times New Roman" w:eastAsia="仿宋_GB2312" w:cs="Times New Roman"/>
          <w:color w:val="auto"/>
          <w:kern w:val="0"/>
          <w:sz w:val="31"/>
          <w:szCs w:val="31"/>
          <w:highlight w:val="none"/>
          <w:lang w:val="en-US" w:eastAsia="zh-CN" w:bidi="ar"/>
        </w:rPr>
        <w:t>在全部资金发放到户后</w:t>
      </w:r>
      <w:r>
        <w:rPr>
          <w:rFonts w:hint="default" w:ascii="Times New Roman" w:hAnsi="Times New Roman" w:cs="Times New Roman"/>
          <w:color w:val="auto"/>
          <w:kern w:val="0"/>
          <w:sz w:val="31"/>
          <w:szCs w:val="31"/>
          <w:highlight w:val="none"/>
          <w:lang w:val="en-US" w:eastAsia="zh-CN" w:bidi="ar"/>
        </w:rPr>
        <w:t>县委政府组织</w:t>
      </w:r>
      <w:r>
        <w:rPr>
          <w:rFonts w:hint="default" w:ascii="Times New Roman" w:hAnsi="Times New Roman" w:eastAsia="仿宋_GB2312" w:cs="Times New Roman"/>
          <w:color w:val="auto"/>
          <w:kern w:val="0"/>
          <w:sz w:val="31"/>
          <w:szCs w:val="31"/>
          <w:highlight w:val="none"/>
          <w:lang w:val="en-US" w:eastAsia="zh-CN" w:bidi="ar"/>
        </w:rPr>
        <w:t>相关部门</w:t>
      </w:r>
      <w:r>
        <w:rPr>
          <w:rFonts w:hint="default" w:ascii="Times New Roman" w:hAnsi="Times New Roman" w:cs="Times New Roman"/>
          <w:color w:val="auto"/>
          <w:kern w:val="0"/>
          <w:sz w:val="31"/>
          <w:szCs w:val="31"/>
          <w:highlight w:val="none"/>
          <w:lang w:val="en-US" w:eastAsia="zh-CN" w:bidi="ar"/>
        </w:rPr>
        <w:t>对各乡镇场进行绩效</w:t>
      </w:r>
      <w:r>
        <w:rPr>
          <w:rFonts w:hint="default" w:ascii="Times New Roman" w:hAnsi="Times New Roman" w:eastAsia="仿宋_GB2312" w:cs="Times New Roman"/>
          <w:color w:val="auto"/>
          <w:kern w:val="0"/>
          <w:sz w:val="31"/>
          <w:szCs w:val="31"/>
          <w:highlight w:val="none"/>
          <w:lang w:val="en-US" w:eastAsia="zh-CN" w:bidi="ar"/>
        </w:rPr>
        <w:t>考核，并形成考核工作报告。对工作落实不到位的</w:t>
      </w:r>
      <w:r>
        <w:rPr>
          <w:rFonts w:hint="default" w:ascii="Times New Roman" w:hAnsi="Times New Roman" w:cs="Times New Roman"/>
          <w:color w:val="auto"/>
          <w:kern w:val="0"/>
          <w:sz w:val="31"/>
          <w:szCs w:val="31"/>
          <w:highlight w:val="none"/>
          <w:lang w:val="en-US" w:eastAsia="zh-CN" w:bidi="ar"/>
        </w:rPr>
        <w:t>乡镇场</w:t>
      </w:r>
      <w:r>
        <w:rPr>
          <w:rFonts w:hint="default" w:ascii="Times New Roman" w:hAnsi="Times New Roman" w:eastAsia="仿宋_GB2312" w:cs="Times New Roman"/>
          <w:color w:val="auto"/>
          <w:kern w:val="0"/>
          <w:sz w:val="31"/>
          <w:szCs w:val="31"/>
          <w:highlight w:val="none"/>
          <w:lang w:val="en-US" w:eastAsia="zh-CN" w:bidi="ar"/>
        </w:rPr>
        <w:t>，将进行追责，并在全</w:t>
      </w:r>
      <w:r>
        <w:rPr>
          <w:rFonts w:hint="default" w:ascii="Times New Roman" w:hAnsi="Times New Roman" w:cs="Times New Roman"/>
          <w:color w:val="auto"/>
          <w:kern w:val="0"/>
          <w:sz w:val="31"/>
          <w:szCs w:val="31"/>
          <w:highlight w:val="none"/>
          <w:lang w:val="en-US" w:eastAsia="zh-CN" w:bidi="ar"/>
        </w:rPr>
        <w:t>县</w:t>
      </w:r>
      <w:r>
        <w:rPr>
          <w:rFonts w:hint="default" w:ascii="Times New Roman" w:hAnsi="Times New Roman" w:eastAsia="仿宋_GB2312" w:cs="Times New Roman"/>
          <w:color w:val="auto"/>
          <w:kern w:val="0"/>
          <w:sz w:val="31"/>
          <w:szCs w:val="31"/>
          <w:highlight w:val="none"/>
          <w:lang w:val="en-US" w:eastAsia="zh-CN" w:bidi="ar"/>
        </w:rPr>
        <w:t>通报</w:t>
      </w:r>
      <w:r>
        <w:rPr>
          <w:rFonts w:hint="eastAsia" w:cs="Times New Roman"/>
          <w:color w:val="auto"/>
          <w:kern w:val="0"/>
          <w:sz w:val="31"/>
          <w:szCs w:val="31"/>
          <w:highlight w:val="none"/>
          <w:lang w:val="en-US" w:eastAsia="zh-CN" w:bidi="ar"/>
        </w:rPr>
        <w:t>。</w:t>
      </w:r>
    </w:p>
    <w:p>
      <w:pPr>
        <w:spacing w:line="560" w:lineRule="exact"/>
        <w:rPr>
          <w:rFonts w:hint="default" w:ascii="Times New Roman" w:hAnsi="Times New Roman" w:eastAsia="仿宋" w:cs="Times New Roman"/>
          <w:b w:val="0"/>
          <w:bCs w:val="0"/>
          <w:color w:val="auto"/>
          <w:sz w:val="32"/>
          <w:szCs w:val="32"/>
          <w:highlight w:val="none"/>
          <w:lang w:val="en-US" w:eastAsia="zh-CN"/>
        </w:rPr>
      </w:pPr>
      <w:bookmarkStart w:id="22" w:name="_Toc10125_WPSOffice_Level2"/>
      <w:r>
        <w:rPr>
          <w:rFonts w:hint="default" w:ascii="Times New Roman" w:hAnsi="Times New Roman" w:eastAsia="楷体_GB2312" w:cs="Times New Roman"/>
          <w:b w:val="0"/>
          <w:bCs w:val="0"/>
          <w:color w:val="auto"/>
          <w:sz w:val="32"/>
          <w:szCs w:val="32"/>
          <w:highlight w:val="none"/>
          <w:lang w:eastAsia="zh-CN"/>
        </w:rPr>
        <w:t>（五）草地生产力监测方案</w:t>
      </w:r>
      <w:bookmarkEnd w:id="22"/>
    </w:p>
    <w:p>
      <w:pPr>
        <w:spacing w:line="560" w:lineRule="exact"/>
        <w:ind w:left="0" w:leftChars="0" w:firstLine="0" w:firstLineChars="0"/>
        <w:jc w:val="center"/>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特克斯县监测样地布局</w:t>
      </w:r>
    </w:p>
    <w:p>
      <w:pPr>
        <w:spacing w:line="240" w:lineRule="auto"/>
        <w:ind w:firstLine="441" w:firstLineChars="210"/>
        <w:jc w:val="right"/>
        <w:rPr>
          <w:rFonts w:hint="eastAsia" w:ascii="Times New Roman" w:hAnsi="Times New Roman" w:eastAsia="仿宋_GB2312" w:cs="Times New Roman"/>
          <w:b w:val="0"/>
          <w:bCs w:val="0"/>
          <w:snapToGrid w:val="0"/>
          <w:color w:val="auto"/>
          <w:sz w:val="21"/>
          <w:szCs w:val="21"/>
          <w:highlight w:val="none"/>
          <w:lang w:eastAsia="zh-CN"/>
        </w:rPr>
      </w:pPr>
      <w:r>
        <w:rPr>
          <w:rFonts w:hint="eastAsia" w:ascii="Times New Roman" w:hAnsi="Times New Roman" w:eastAsia="仿宋_GB2312" w:cs="Times New Roman"/>
          <w:b w:val="0"/>
          <w:bCs w:val="0"/>
          <w:snapToGrid w:val="0"/>
          <w:color w:val="auto"/>
          <w:sz w:val="21"/>
          <w:szCs w:val="21"/>
          <w:highlight w:val="none"/>
          <w:lang w:eastAsia="zh-CN"/>
        </w:rPr>
        <w:t>单位：万亩，个</w:t>
      </w:r>
    </w:p>
    <w:tbl>
      <w:tblPr>
        <w:tblStyle w:val="9"/>
        <w:tblpPr w:leftFromText="180" w:rightFromText="180" w:vertAnchor="text" w:horzAnchor="page" w:tblpXSpec="center" w:tblpY="438"/>
        <w:tblOverlap w:val="never"/>
        <w:tblW w:w="93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8"/>
        <w:gridCol w:w="2128"/>
        <w:gridCol w:w="934"/>
        <w:gridCol w:w="1283"/>
        <w:gridCol w:w="950"/>
        <w:gridCol w:w="2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1968" w:type="dxa"/>
            <w:vAlign w:val="center"/>
          </w:tcPr>
          <w:p>
            <w:pPr>
              <w:snapToGrid w:val="0"/>
              <w:spacing w:line="300" w:lineRule="exact"/>
              <w:ind w:left="0" w:leftChars="0" w:firstLine="0" w:firstLineChars="0"/>
              <w:jc w:val="center"/>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乡镇</w:t>
            </w:r>
          </w:p>
        </w:tc>
        <w:tc>
          <w:tcPr>
            <w:tcW w:w="2128" w:type="dxa"/>
            <w:vAlign w:val="center"/>
          </w:tcPr>
          <w:p>
            <w:pPr>
              <w:snapToGrid w:val="0"/>
              <w:spacing w:line="300" w:lineRule="exact"/>
              <w:ind w:left="0" w:leftChars="0" w:firstLine="0" w:firstLineChars="0"/>
              <w:jc w:val="center"/>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天然草地面积（万亩）</w:t>
            </w:r>
          </w:p>
        </w:tc>
        <w:tc>
          <w:tcPr>
            <w:tcW w:w="934" w:type="dxa"/>
            <w:vAlign w:val="center"/>
          </w:tcPr>
          <w:p>
            <w:pPr>
              <w:snapToGrid w:val="0"/>
              <w:spacing w:line="300" w:lineRule="exact"/>
              <w:ind w:left="0" w:leftChars="0" w:firstLine="0" w:firstLineChars="0"/>
              <w:jc w:val="center"/>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固定监测样地</w:t>
            </w:r>
          </w:p>
        </w:tc>
        <w:tc>
          <w:tcPr>
            <w:tcW w:w="1283" w:type="dxa"/>
            <w:vAlign w:val="center"/>
          </w:tcPr>
          <w:p>
            <w:pPr>
              <w:snapToGrid w:val="0"/>
              <w:spacing w:line="300" w:lineRule="exact"/>
              <w:ind w:left="0" w:leftChars="0" w:firstLine="0" w:firstLineChars="0"/>
              <w:jc w:val="center"/>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非固定监测样地</w:t>
            </w:r>
          </w:p>
        </w:tc>
        <w:tc>
          <w:tcPr>
            <w:tcW w:w="950" w:type="dxa"/>
            <w:vAlign w:val="center"/>
          </w:tcPr>
          <w:p>
            <w:pPr>
              <w:snapToGrid w:val="0"/>
              <w:spacing w:line="300" w:lineRule="exact"/>
              <w:ind w:left="0" w:leftChars="0" w:firstLine="0" w:firstLineChars="0"/>
              <w:jc w:val="center"/>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合计</w:t>
            </w:r>
          </w:p>
        </w:tc>
        <w:tc>
          <w:tcPr>
            <w:tcW w:w="2048" w:type="dxa"/>
            <w:vAlign w:val="center"/>
          </w:tcPr>
          <w:p>
            <w:pPr>
              <w:snapToGrid w:val="0"/>
              <w:spacing w:line="300" w:lineRule="exact"/>
              <w:ind w:left="0" w:leftChars="0" w:firstLine="0" w:firstLineChars="0"/>
              <w:jc w:val="center"/>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8" w:type="dxa"/>
            <w:vAlign w:val="center"/>
          </w:tcPr>
          <w:p>
            <w:pPr>
              <w:widowControl/>
              <w:ind w:left="0" w:leftChars="0" w:firstLine="0" w:firstLineChars="0"/>
              <w:jc w:val="center"/>
              <w:rPr>
                <w:rFonts w:hint="eastAsia" w:ascii="仿宋_GB2312" w:hAnsi="仿宋_GB2312" w:eastAsia="仿宋_GB2312" w:cs="仿宋_GB2312"/>
                <w:color w:val="auto"/>
                <w:kern w:val="0"/>
                <w:sz w:val="24"/>
                <w:highlight w:val="none"/>
              </w:rPr>
            </w:pPr>
            <w:r>
              <w:rPr>
                <w:rFonts w:hint="eastAsia" w:ascii="仿宋_GB2312" w:hAnsi="仿宋_GB2312" w:cs="仿宋_GB2312"/>
                <w:color w:val="auto"/>
                <w:kern w:val="0"/>
                <w:sz w:val="24"/>
                <w:highlight w:val="none"/>
                <w:lang w:eastAsia="zh-CN"/>
              </w:rPr>
              <w:t>阔</w:t>
            </w:r>
            <w:r>
              <w:rPr>
                <w:rFonts w:hint="eastAsia" w:ascii="仿宋_GB2312" w:hAnsi="仿宋_GB2312" w:eastAsia="仿宋_GB2312" w:cs="仿宋_GB2312"/>
                <w:color w:val="auto"/>
                <w:kern w:val="0"/>
                <w:sz w:val="24"/>
                <w:highlight w:val="none"/>
              </w:rPr>
              <w:t>克苏乡</w:t>
            </w:r>
          </w:p>
        </w:tc>
        <w:tc>
          <w:tcPr>
            <w:tcW w:w="2128" w:type="dxa"/>
            <w:vAlign w:val="center"/>
          </w:tcPr>
          <w:p>
            <w:pPr>
              <w:ind w:left="0" w:leftChars="0" w:firstLine="0" w:firstLineChars="0"/>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i w:val="0"/>
                <w:iCs w:val="0"/>
                <w:color w:val="auto"/>
                <w:kern w:val="0"/>
                <w:sz w:val="22"/>
                <w:szCs w:val="22"/>
                <w:highlight w:val="none"/>
                <w:u w:val="none"/>
                <w:lang w:val="en-US" w:eastAsia="zh-CN" w:bidi="ar"/>
              </w:rPr>
              <w:t>0.68466</w:t>
            </w:r>
          </w:p>
        </w:tc>
        <w:tc>
          <w:tcPr>
            <w:tcW w:w="934" w:type="dxa"/>
            <w:vAlign w:val="center"/>
          </w:tcPr>
          <w:p>
            <w:pPr>
              <w:ind w:left="0" w:leftChars="0" w:firstLine="0" w:firstLineChars="0"/>
              <w:jc w:val="center"/>
              <w:rPr>
                <w:rFonts w:hint="eastAsia" w:ascii="仿宋_GB2312" w:hAnsi="仿宋_GB2312" w:eastAsia="仿宋_GB2312" w:cs="仿宋_GB2312"/>
                <w:color w:val="auto"/>
                <w:sz w:val="24"/>
                <w:highlight w:val="none"/>
              </w:rPr>
            </w:pPr>
          </w:p>
        </w:tc>
        <w:tc>
          <w:tcPr>
            <w:tcW w:w="1283"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950"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2048" w:type="dxa"/>
            <w:vMerge w:val="restart"/>
            <w:vAlign w:val="center"/>
          </w:tcPr>
          <w:p>
            <w:pPr>
              <w:snapToGrid w:val="0"/>
              <w:spacing w:line="300" w:lineRule="exact"/>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固定监测样地由州草原站负责监测；非固定监测样地由各县市草原站监测，州草原站进行指导和监测。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8" w:type="dxa"/>
            <w:vAlign w:val="center"/>
          </w:tcPr>
          <w:p>
            <w:pPr>
              <w:widowControl/>
              <w:ind w:left="0" w:leftChars="0" w:firstLine="0" w:firstLineChars="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齐勒乌泽克镇</w:t>
            </w:r>
          </w:p>
        </w:tc>
        <w:tc>
          <w:tcPr>
            <w:tcW w:w="2128" w:type="dxa"/>
            <w:vAlign w:val="center"/>
          </w:tcPr>
          <w:p>
            <w:pPr>
              <w:keepNext w:val="0"/>
              <w:keepLines w:val="0"/>
              <w:widowControl/>
              <w:suppressLineNumbers w:val="0"/>
              <w:ind w:left="0" w:leftChars="0" w:firstLine="0" w:firstLineChars="0"/>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i w:val="0"/>
                <w:iCs w:val="0"/>
                <w:color w:val="auto"/>
                <w:kern w:val="0"/>
                <w:sz w:val="22"/>
                <w:szCs w:val="22"/>
                <w:highlight w:val="none"/>
                <w:u w:val="none"/>
                <w:lang w:val="en-US" w:eastAsia="zh-CN" w:bidi="ar"/>
              </w:rPr>
              <w:t>80.0561</w:t>
            </w:r>
          </w:p>
        </w:tc>
        <w:tc>
          <w:tcPr>
            <w:tcW w:w="934"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283"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950"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2048" w:type="dxa"/>
            <w:vMerge w:val="continue"/>
            <w:vAlign w:val="center"/>
          </w:tcPr>
          <w:p>
            <w:pPr>
              <w:snapToGrid w:val="0"/>
              <w:spacing w:line="300" w:lineRule="exact"/>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8" w:type="dxa"/>
            <w:vAlign w:val="center"/>
          </w:tcPr>
          <w:p>
            <w:pPr>
              <w:widowControl/>
              <w:ind w:left="0" w:leftChars="0" w:firstLine="0" w:firstLineChars="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阔克铁热克乡</w:t>
            </w:r>
          </w:p>
        </w:tc>
        <w:tc>
          <w:tcPr>
            <w:tcW w:w="2128" w:type="dxa"/>
            <w:vAlign w:val="center"/>
          </w:tcPr>
          <w:p>
            <w:pPr>
              <w:keepNext w:val="0"/>
              <w:keepLines w:val="0"/>
              <w:widowControl/>
              <w:suppressLineNumbers w:val="0"/>
              <w:ind w:left="0" w:leftChars="0" w:firstLine="0" w:firstLineChars="0"/>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i w:val="0"/>
                <w:iCs w:val="0"/>
                <w:color w:val="auto"/>
                <w:kern w:val="0"/>
                <w:sz w:val="22"/>
                <w:szCs w:val="22"/>
                <w:highlight w:val="none"/>
                <w:u w:val="none"/>
                <w:lang w:val="en-US" w:eastAsia="zh-CN" w:bidi="ar"/>
              </w:rPr>
              <w:t>84.9982</w:t>
            </w:r>
          </w:p>
        </w:tc>
        <w:tc>
          <w:tcPr>
            <w:tcW w:w="934"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283"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950"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2048" w:type="dxa"/>
            <w:vMerge w:val="continue"/>
            <w:vAlign w:val="center"/>
          </w:tcPr>
          <w:p>
            <w:pPr>
              <w:snapToGrid w:val="0"/>
              <w:spacing w:line="300" w:lineRule="exact"/>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8" w:type="dxa"/>
            <w:vAlign w:val="center"/>
          </w:tcPr>
          <w:p>
            <w:pPr>
              <w:widowControl/>
              <w:ind w:left="0" w:leftChars="0" w:firstLine="0" w:firstLineChars="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乔拉克铁热克镇</w:t>
            </w:r>
          </w:p>
        </w:tc>
        <w:tc>
          <w:tcPr>
            <w:tcW w:w="2128" w:type="dxa"/>
            <w:vAlign w:val="center"/>
          </w:tcPr>
          <w:p>
            <w:pPr>
              <w:keepNext w:val="0"/>
              <w:keepLines w:val="0"/>
              <w:widowControl/>
              <w:suppressLineNumbers w:val="0"/>
              <w:ind w:left="0" w:leftChars="0" w:firstLine="0" w:firstLineChars="0"/>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i w:val="0"/>
                <w:iCs w:val="0"/>
                <w:color w:val="auto"/>
                <w:kern w:val="0"/>
                <w:sz w:val="22"/>
                <w:szCs w:val="22"/>
                <w:highlight w:val="none"/>
                <w:u w:val="none"/>
                <w:lang w:val="en-US" w:eastAsia="zh-CN" w:bidi="ar"/>
              </w:rPr>
              <w:t>86.1815</w:t>
            </w:r>
          </w:p>
        </w:tc>
        <w:tc>
          <w:tcPr>
            <w:tcW w:w="934"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283"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950"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w:t>
            </w:r>
          </w:p>
        </w:tc>
        <w:tc>
          <w:tcPr>
            <w:tcW w:w="2048" w:type="dxa"/>
            <w:vMerge w:val="continue"/>
            <w:vAlign w:val="center"/>
          </w:tcPr>
          <w:p>
            <w:pPr>
              <w:snapToGrid w:val="0"/>
              <w:spacing w:line="300" w:lineRule="exact"/>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8" w:type="dxa"/>
            <w:vAlign w:val="center"/>
          </w:tcPr>
          <w:p>
            <w:pPr>
              <w:widowControl/>
              <w:ind w:left="0" w:leftChars="0" w:firstLine="0" w:firstLineChars="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喀拉达拉镇</w:t>
            </w:r>
          </w:p>
        </w:tc>
        <w:tc>
          <w:tcPr>
            <w:tcW w:w="2128" w:type="dxa"/>
            <w:vAlign w:val="center"/>
          </w:tcPr>
          <w:p>
            <w:pPr>
              <w:keepNext w:val="0"/>
              <w:keepLines w:val="0"/>
              <w:widowControl/>
              <w:suppressLineNumbers w:val="0"/>
              <w:ind w:left="0" w:leftChars="0" w:firstLine="0" w:firstLineChars="0"/>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i w:val="0"/>
                <w:iCs w:val="0"/>
                <w:color w:val="auto"/>
                <w:kern w:val="0"/>
                <w:sz w:val="22"/>
                <w:szCs w:val="22"/>
                <w:highlight w:val="none"/>
                <w:u w:val="none"/>
                <w:lang w:val="en-US" w:eastAsia="zh-CN" w:bidi="ar"/>
              </w:rPr>
              <w:t>75.2038</w:t>
            </w:r>
          </w:p>
        </w:tc>
        <w:tc>
          <w:tcPr>
            <w:tcW w:w="934"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283"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950"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2048" w:type="dxa"/>
            <w:vMerge w:val="continue"/>
            <w:vAlign w:val="center"/>
          </w:tcPr>
          <w:p>
            <w:pPr>
              <w:snapToGrid w:val="0"/>
              <w:spacing w:line="300" w:lineRule="exact"/>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8" w:type="dxa"/>
            <w:vAlign w:val="center"/>
          </w:tcPr>
          <w:p>
            <w:pPr>
              <w:widowControl/>
              <w:ind w:left="0" w:leftChars="0" w:firstLine="0" w:firstLineChars="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喀拉托海镇</w:t>
            </w:r>
          </w:p>
        </w:tc>
        <w:tc>
          <w:tcPr>
            <w:tcW w:w="2128" w:type="dxa"/>
            <w:vAlign w:val="center"/>
          </w:tcPr>
          <w:p>
            <w:pPr>
              <w:keepNext w:val="0"/>
              <w:keepLines w:val="0"/>
              <w:widowControl/>
              <w:suppressLineNumbers w:val="0"/>
              <w:ind w:left="0" w:leftChars="0" w:firstLine="0" w:firstLineChars="0"/>
              <w:jc w:val="center"/>
              <w:textAlignment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i w:val="0"/>
                <w:iCs w:val="0"/>
                <w:color w:val="auto"/>
                <w:kern w:val="0"/>
                <w:sz w:val="22"/>
                <w:szCs w:val="22"/>
                <w:highlight w:val="none"/>
                <w:u w:val="none"/>
                <w:lang w:val="en-US" w:eastAsia="zh-CN" w:bidi="ar"/>
              </w:rPr>
              <w:t>66.9246</w:t>
            </w:r>
          </w:p>
        </w:tc>
        <w:tc>
          <w:tcPr>
            <w:tcW w:w="934"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283"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950"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2048" w:type="dxa"/>
            <w:vMerge w:val="continue"/>
            <w:vAlign w:val="center"/>
          </w:tcPr>
          <w:p>
            <w:pPr>
              <w:snapToGrid w:val="0"/>
              <w:spacing w:line="300" w:lineRule="exact"/>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8" w:type="dxa"/>
            <w:vAlign w:val="center"/>
          </w:tcPr>
          <w:p>
            <w:pPr>
              <w:widowControl/>
              <w:ind w:left="0" w:leftChars="0" w:firstLine="0" w:firstLineChars="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特克斯镇</w:t>
            </w:r>
          </w:p>
        </w:tc>
        <w:tc>
          <w:tcPr>
            <w:tcW w:w="2128" w:type="dxa"/>
            <w:vAlign w:val="center"/>
          </w:tcPr>
          <w:p>
            <w:pPr>
              <w:ind w:left="0" w:leftChars="0" w:firstLine="0" w:firstLineChars="0"/>
              <w:jc w:val="center"/>
              <w:rPr>
                <w:rFonts w:hint="eastAsia" w:ascii="仿宋_GB2312" w:hAnsi="仿宋_GB2312" w:eastAsia="仿宋_GB2312" w:cs="仿宋_GB2312"/>
                <w:color w:val="auto"/>
                <w:sz w:val="22"/>
                <w:szCs w:val="22"/>
                <w:highlight w:val="none"/>
                <w:lang w:val="en-US" w:eastAsia="zh-CN"/>
              </w:rPr>
            </w:pPr>
            <w:r>
              <w:rPr>
                <w:rFonts w:hint="eastAsia" w:ascii="仿宋_GB2312" w:hAnsi="仿宋_GB2312" w:eastAsia="仿宋_GB2312" w:cs="仿宋_GB2312"/>
                <w:color w:val="auto"/>
                <w:sz w:val="22"/>
                <w:szCs w:val="22"/>
                <w:highlight w:val="none"/>
              </w:rPr>
              <w:t>10.</w:t>
            </w:r>
            <w:r>
              <w:rPr>
                <w:rFonts w:hint="eastAsia" w:ascii="仿宋_GB2312" w:hAnsi="仿宋_GB2312" w:eastAsia="仿宋_GB2312" w:cs="仿宋_GB2312"/>
                <w:color w:val="auto"/>
                <w:sz w:val="22"/>
                <w:szCs w:val="22"/>
                <w:highlight w:val="none"/>
                <w:lang w:val="en-US" w:eastAsia="zh-CN"/>
              </w:rPr>
              <w:t>6983</w:t>
            </w:r>
          </w:p>
        </w:tc>
        <w:tc>
          <w:tcPr>
            <w:tcW w:w="934"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283"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950"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2048" w:type="dxa"/>
            <w:vMerge w:val="continue"/>
            <w:vAlign w:val="center"/>
          </w:tcPr>
          <w:p>
            <w:pPr>
              <w:snapToGrid w:val="0"/>
              <w:spacing w:line="300" w:lineRule="exact"/>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8" w:type="dxa"/>
            <w:vAlign w:val="center"/>
          </w:tcPr>
          <w:p>
            <w:pPr>
              <w:widowControl/>
              <w:ind w:left="0" w:leftChars="0" w:firstLine="0" w:firstLineChars="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呼吉尔特蒙古乡</w:t>
            </w:r>
          </w:p>
        </w:tc>
        <w:tc>
          <w:tcPr>
            <w:tcW w:w="2128" w:type="dxa"/>
            <w:vAlign w:val="center"/>
          </w:tcPr>
          <w:p>
            <w:pPr>
              <w:ind w:left="0" w:leftChars="0" w:firstLine="0" w:firstLineChars="0"/>
              <w:jc w:val="center"/>
              <w:rPr>
                <w:rFonts w:hint="eastAsia" w:ascii="仿宋_GB2312" w:hAnsi="仿宋_GB2312" w:eastAsia="仿宋_GB2312" w:cs="仿宋_GB2312"/>
                <w:color w:val="auto"/>
                <w:sz w:val="22"/>
                <w:szCs w:val="22"/>
                <w:highlight w:val="none"/>
                <w:lang w:val="en-US" w:eastAsia="zh-CN"/>
              </w:rPr>
            </w:pPr>
            <w:r>
              <w:rPr>
                <w:rFonts w:hint="eastAsia" w:ascii="仿宋_GB2312" w:hAnsi="仿宋_GB2312" w:eastAsia="仿宋_GB2312" w:cs="仿宋_GB2312"/>
                <w:color w:val="auto"/>
                <w:sz w:val="22"/>
                <w:szCs w:val="22"/>
                <w:highlight w:val="none"/>
                <w:lang w:val="en-US" w:eastAsia="zh-CN"/>
              </w:rPr>
              <w:t>25.29694</w:t>
            </w:r>
          </w:p>
        </w:tc>
        <w:tc>
          <w:tcPr>
            <w:tcW w:w="934"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283"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950"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2048" w:type="dxa"/>
            <w:vMerge w:val="continue"/>
            <w:vAlign w:val="center"/>
          </w:tcPr>
          <w:p>
            <w:pPr>
              <w:snapToGrid w:val="0"/>
              <w:spacing w:line="300" w:lineRule="exact"/>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968" w:type="dxa"/>
            <w:vAlign w:val="center"/>
          </w:tcPr>
          <w:p>
            <w:pPr>
              <w:widowControl/>
              <w:ind w:left="0" w:leftChars="0" w:firstLine="0" w:firstLineChars="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特克斯马场</w:t>
            </w:r>
          </w:p>
        </w:tc>
        <w:tc>
          <w:tcPr>
            <w:tcW w:w="2128" w:type="dxa"/>
            <w:vAlign w:val="center"/>
          </w:tcPr>
          <w:p>
            <w:pPr>
              <w:ind w:left="0" w:leftChars="0" w:firstLine="0" w:firstLineChars="0"/>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36.</w:t>
            </w:r>
            <w:r>
              <w:rPr>
                <w:rFonts w:hint="eastAsia" w:ascii="仿宋_GB2312" w:hAnsi="仿宋_GB2312" w:eastAsia="仿宋_GB2312" w:cs="仿宋_GB2312"/>
                <w:color w:val="auto"/>
                <w:sz w:val="22"/>
                <w:szCs w:val="22"/>
                <w:highlight w:val="none"/>
                <w:lang w:val="en-US" w:eastAsia="zh-CN"/>
              </w:rPr>
              <w:t>6</w:t>
            </w:r>
            <w:r>
              <w:rPr>
                <w:rFonts w:hint="eastAsia" w:ascii="仿宋_GB2312" w:hAnsi="仿宋_GB2312" w:eastAsia="仿宋_GB2312" w:cs="仿宋_GB2312"/>
                <w:color w:val="auto"/>
                <w:sz w:val="22"/>
                <w:szCs w:val="22"/>
                <w:highlight w:val="none"/>
              </w:rPr>
              <w:t>575</w:t>
            </w:r>
          </w:p>
        </w:tc>
        <w:tc>
          <w:tcPr>
            <w:tcW w:w="934"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283"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950"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2048" w:type="dxa"/>
            <w:vMerge w:val="continue"/>
            <w:vAlign w:val="center"/>
          </w:tcPr>
          <w:p>
            <w:pPr>
              <w:snapToGrid w:val="0"/>
              <w:spacing w:line="300" w:lineRule="exact"/>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968" w:type="dxa"/>
            <w:vAlign w:val="center"/>
          </w:tcPr>
          <w:p>
            <w:pPr>
              <w:widowControl/>
              <w:ind w:left="0" w:leftChars="0" w:firstLine="0" w:firstLineChars="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巩乃斯羊场</w:t>
            </w:r>
          </w:p>
        </w:tc>
        <w:tc>
          <w:tcPr>
            <w:tcW w:w="2128" w:type="dxa"/>
            <w:vAlign w:val="center"/>
          </w:tcPr>
          <w:p>
            <w:pPr>
              <w:ind w:left="0" w:leftChars="0" w:firstLine="0" w:firstLineChars="0"/>
              <w:jc w:val="center"/>
              <w:rPr>
                <w:rFonts w:hint="eastAsia" w:ascii="仿宋_GB2312" w:hAnsi="仿宋_GB2312" w:eastAsia="仿宋_GB2312" w:cs="仿宋_GB2312"/>
                <w:color w:val="auto"/>
                <w:sz w:val="22"/>
                <w:szCs w:val="22"/>
                <w:highlight w:val="none"/>
                <w:lang w:val="en-US" w:eastAsia="zh-CN"/>
              </w:rPr>
            </w:pPr>
            <w:r>
              <w:rPr>
                <w:rFonts w:hint="eastAsia" w:ascii="仿宋_GB2312" w:hAnsi="仿宋_GB2312" w:eastAsia="仿宋_GB2312" w:cs="仿宋_GB2312"/>
                <w:color w:val="auto"/>
                <w:sz w:val="22"/>
                <w:szCs w:val="22"/>
                <w:highlight w:val="none"/>
                <w:lang w:val="en-US" w:eastAsia="zh-CN"/>
              </w:rPr>
              <w:t>4.2984</w:t>
            </w:r>
          </w:p>
        </w:tc>
        <w:tc>
          <w:tcPr>
            <w:tcW w:w="934" w:type="dxa"/>
            <w:vAlign w:val="center"/>
          </w:tcPr>
          <w:p>
            <w:pPr>
              <w:ind w:left="0" w:leftChars="0" w:firstLine="0" w:firstLineChars="0"/>
              <w:jc w:val="center"/>
              <w:rPr>
                <w:rFonts w:hint="eastAsia" w:ascii="仿宋_GB2312" w:hAnsi="仿宋_GB2312" w:eastAsia="仿宋_GB2312" w:cs="仿宋_GB2312"/>
                <w:color w:val="auto"/>
                <w:sz w:val="24"/>
                <w:highlight w:val="none"/>
              </w:rPr>
            </w:pPr>
          </w:p>
        </w:tc>
        <w:tc>
          <w:tcPr>
            <w:tcW w:w="1283"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950"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2048" w:type="dxa"/>
            <w:vMerge w:val="continue"/>
            <w:vAlign w:val="center"/>
          </w:tcPr>
          <w:p>
            <w:pPr>
              <w:snapToGrid w:val="0"/>
              <w:spacing w:line="300" w:lineRule="exact"/>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1968" w:type="dxa"/>
            <w:vAlign w:val="center"/>
          </w:tcPr>
          <w:p>
            <w:pPr>
              <w:ind w:left="0" w:leftChars="0" w:firstLine="0" w:firstLineChars="0"/>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集体草场</w:t>
            </w:r>
          </w:p>
        </w:tc>
        <w:tc>
          <w:tcPr>
            <w:tcW w:w="2128" w:type="dxa"/>
            <w:vAlign w:val="center"/>
          </w:tcPr>
          <w:p>
            <w:pPr>
              <w:ind w:left="0" w:leftChars="0" w:firstLine="0" w:firstLineChars="0"/>
              <w:jc w:val="center"/>
              <w:rPr>
                <w:rFonts w:hint="eastAsia" w:ascii="仿宋_GB2312" w:hAnsi="仿宋_GB2312" w:eastAsia="仿宋_GB2312" w:cs="仿宋_GB2312"/>
                <w:color w:val="auto"/>
                <w:sz w:val="22"/>
                <w:szCs w:val="22"/>
                <w:highlight w:val="none"/>
                <w:lang w:val="en-US" w:eastAsia="zh-CN"/>
              </w:rPr>
            </w:pPr>
            <w:r>
              <w:rPr>
                <w:rFonts w:hint="eastAsia" w:ascii="仿宋_GB2312" w:hAnsi="仿宋_GB2312" w:eastAsia="仿宋_GB2312" w:cs="仿宋_GB2312"/>
                <w:color w:val="auto"/>
                <w:sz w:val="22"/>
                <w:szCs w:val="22"/>
                <w:highlight w:val="none"/>
                <w:lang w:val="en-US" w:eastAsia="zh-CN"/>
              </w:rPr>
              <w:t>44</w:t>
            </w:r>
          </w:p>
        </w:tc>
        <w:tc>
          <w:tcPr>
            <w:tcW w:w="934"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0</w:t>
            </w:r>
          </w:p>
        </w:tc>
        <w:tc>
          <w:tcPr>
            <w:tcW w:w="1283"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0</w:t>
            </w:r>
          </w:p>
        </w:tc>
        <w:tc>
          <w:tcPr>
            <w:tcW w:w="950"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0</w:t>
            </w:r>
          </w:p>
        </w:tc>
        <w:tc>
          <w:tcPr>
            <w:tcW w:w="2048" w:type="dxa"/>
            <w:vMerge w:val="continue"/>
            <w:vAlign w:val="center"/>
          </w:tcPr>
          <w:p>
            <w:pPr>
              <w:snapToGrid w:val="0"/>
              <w:spacing w:line="300" w:lineRule="exact"/>
              <w:jc w:val="center"/>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68" w:type="dxa"/>
            <w:vAlign w:val="center"/>
          </w:tcPr>
          <w:p>
            <w:pPr>
              <w:snapToGrid w:val="0"/>
              <w:spacing w:line="300" w:lineRule="exact"/>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合计</w:t>
            </w:r>
          </w:p>
        </w:tc>
        <w:tc>
          <w:tcPr>
            <w:tcW w:w="2128" w:type="dxa"/>
            <w:vAlign w:val="center"/>
          </w:tcPr>
          <w:p>
            <w:pPr>
              <w:ind w:left="0" w:leftChars="0" w:firstLine="0" w:firstLineChars="0"/>
              <w:jc w:val="center"/>
              <w:rPr>
                <w:rFonts w:hint="eastAsia" w:ascii="仿宋_GB2312" w:hAnsi="仿宋_GB2312" w:eastAsia="仿宋_GB2312" w:cs="仿宋_GB2312"/>
                <w:color w:val="auto"/>
                <w:sz w:val="22"/>
                <w:szCs w:val="22"/>
                <w:highlight w:val="none"/>
                <w:lang w:eastAsia="zh-CN"/>
              </w:rPr>
            </w:pPr>
            <w:r>
              <w:rPr>
                <w:rFonts w:hint="eastAsia" w:ascii="仿宋_GB2312" w:hAnsi="仿宋_GB2312" w:eastAsia="仿宋_GB2312" w:cs="仿宋_GB2312"/>
                <w:color w:val="auto"/>
                <w:sz w:val="22"/>
                <w:szCs w:val="22"/>
                <w:highlight w:val="none"/>
              </w:rPr>
              <w:t>51</w:t>
            </w:r>
            <w:r>
              <w:rPr>
                <w:rFonts w:hint="eastAsia" w:ascii="仿宋_GB2312" w:hAnsi="仿宋_GB2312" w:eastAsia="仿宋_GB2312" w:cs="仿宋_GB2312"/>
                <w:color w:val="auto"/>
                <w:sz w:val="22"/>
                <w:szCs w:val="22"/>
                <w:highlight w:val="none"/>
                <w:lang w:val="en-US" w:eastAsia="zh-CN"/>
              </w:rPr>
              <w:t>5</w:t>
            </w:r>
          </w:p>
        </w:tc>
        <w:tc>
          <w:tcPr>
            <w:tcW w:w="934" w:type="dxa"/>
            <w:vAlign w:val="center"/>
          </w:tcPr>
          <w:p>
            <w:pPr>
              <w:spacing w:line="300" w:lineRule="exact"/>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1283"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80</w:t>
            </w:r>
          </w:p>
        </w:tc>
        <w:tc>
          <w:tcPr>
            <w:tcW w:w="950" w:type="dxa"/>
            <w:vAlign w:val="center"/>
          </w:tcPr>
          <w:p>
            <w:pPr>
              <w:ind w:left="0" w:leftChars="0" w:firstLine="0" w:firstLineChars="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89</w:t>
            </w:r>
          </w:p>
        </w:tc>
        <w:tc>
          <w:tcPr>
            <w:tcW w:w="2048" w:type="dxa"/>
            <w:vAlign w:val="center"/>
          </w:tcPr>
          <w:p>
            <w:pPr>
              <w:snapToGrid w:val="0"/>
              <w:spacing w:line="300" w:lineRule="exact"/>
              <w:jc w:val="center"/>
              <w:rPr>
                <w:rFonts w:hint="eastAsia" w:ascii="仿宋_GB2312" w:hAnsi="仿宋_GB2312" w:eastAsia="仿宋_GB2312" w:cs="仿宋_GB2312"/>
                <w:color w:val="auto"/>
                <w:sz w:val="24"/>
                <w:highlight w:val="none"/>
              </w:rPr>
            </w:pPr>
          </w:p>
        </w:tc>
      </w:tr>
    </w:tbl>
    <w:p>
      <w:pPr>
        <w:spacing w:line="560" w:lineRule="exact"/>
        <w:ind w:left="0" w:leftChars="0" w:firstLine="640" w:firstLineChars="200"/>
        <w:rPr>
          <w:rFonts w:hint="eastAsia" w:ascii="仿宋_GB2312" w:hAnsi="仿宋_GB2312" w:eastAsia="仿宋_GB2312" w:cs="仿宋_GB2312"/>
          <w:snapToGrid w:val="0"/>
          <w:color w:val="auto"/>
          <w:sz w:val="32"/>
          <w:szCs w:val="32"/>
          <w:highlight w:val="none"/>
          <w:lang w:val="en-US" w:eastAsia="zh-CN"/>
        </w:rPr>
      </w:pPr>
      <w:r>
        <w:rPr>
          <w:rFonts w:hint="eastAsia" w:ascii="仿宋_GB2312" w:hAnsi="仿宋_GB2312" w:eastAsia="仿宋_GB2312" w:cs="仿宋_GB2312"/>
          <w:snapToGrid w:val="0"/>
          <w:color w:val="auto"/>
          <w:sz w:val="32"/>
          <w:szCs w:val="32"/>
          <w:highlight w:val="none"/>
        </w:rPr>
        <w:t>根据本辖区草地类型及利用情况，布控检测区域和检测数量，在前期工作基础上，继续完善检测方案，继续组织实施草地生产力检测工作。县林业和草原局负责全县草原资源检测方案，并负责技术指导，统计汇总检测数据，并测算提供各乡镇场不同草场理论载畜量。</w:t>
      </w:r>
      <w:r>
        <w:rPr>
          <w:rFonts w:hint="eastAsia" w:ascii="仿宋_GB2312" w:hAnsi="仿宋_GB2312" w:eastAsia="仿宋_GB2312" w:cs="仿宋_GB2312"/>
          <w:snapToGrid w:val="0"/>
          <w:color w:val="auto"/>
          <w:sz w:val="32"/>
          <w:szCs w:val="32"/>
          <w:highlight w:val="none"/>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atLeast"/>
        <w:ind w:leftChars="200"/>
        <w:jc w:val="left"/>
        <w:textAlignment w:val="auto"/>
        <w:rPr>
          <w:rFonts w:hint="eastAsia" w:ascii="楷体_GB2312" w:hAnsi="楷体_GB2312" w:eastAsia="楷体_GB2312" w:cs="楷体_GB2312"/>
          <w:b w:val="0"/>
          <w:bCs w:val="0"/>
          <w:color w:val="auto"/>
          <w:kern w:val="0"/>
          <w:sz w:val="31"/>
          <w:szCs w:val="31"/>
          <w:highlight w:val="none"/>
          <w:lang w:val="en-US" w:eastAsia="zh-CN" w:bidi="ar"/>
        </w:rPr>
      </w:pPr>
      <w:bookmarkStart w:id="23" w:name="_Toc10488_WPSOffice_Level2"/>
      <w:r>
        <w:rPr>
          <w:rFonts w:hint="eastAsia" w:ascii="楷体_GB2312" w:hAnsi="楷体_GB2312" w:eastAsia="楷体_GB2312" w:cs="楷体_GB2312"/>
          <w:b w:val="0"/>
          <w:bCs w:val="0"/>
          <w:color w:val="auto"/>
          <w:kern w:val="0"/>
          <w:sz w:val="31"/>
          <w:szCs w:val="31"/>
          <w:highlight w:val="none"/>
          <w:lang w:val="en-US" w:eastAsia="zh-CN" w:bidi="ar"/>
        </w:rPr>
        <w:t>（六）补助奖励资金发放对象约束方案</w:t>
      </w:r>
      <w:bookmarkEnd w:id="23"/>
      <w:r>
        <w:rPr>
          <w:rFonts w:hint="eastAsia" w:ascii="楷体_GB2312" w:hAnsi="楷体_GB2312" w:eastAsia="楷体_GB2312" w:cs="楷体_GB2312"/>
          <w:b w:val="0"/>
          <w:bCs w:val="0"/>
          <w:color w:val="auto"/>
          <w:kern w:val="0"/>
          <w:sz w:val="31"/>
          <w:szCs w:val="3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22"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b/>
          <w:bCs/>
          <w:color w:val="auto"/>
          <w:kern w:val="0"/>
          <w:sz w:val="31"/>
          <w:szCs w:val="31"/>
          <w:highlight w:val="none"/>
          <w:lang w:val="en-US" w:eastAsia="zh-CN" w:bidi="ar"/>
        </w:rPr>
        <w:t>1.</w:t>
      </w:r>
      <w:r>
        <w:rPr>
          <w:rFonts w:hint="default" w:ascii="Times New Roman" w:hAnsi="Times New Roman" w:eastAsia="仿宋_GB2312" w:cs="Times New Roman"/>
          <w:b/>
          <w:bCs/>
          <w:color w:val="auto"/>
          <w:kern w:val="0"/>
          <w:sz w:val="31"/>
          <w:szCs w:val="31"/>
          <w:highlight w:val="none"/>
          <w:lang w:val="en-US" w:eastAsia="zh-CN" w:bidi="ar"/>
        </w:rPr>
        <w:t>终止或变更享受草原补奖政策的条件</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20" w:firstLineChars="200"/>
        <w:jc w:val="left"/>
        <w:textAlignment w:val="auto"/>
        <w:rPr>
          <w:rFonts w:hint="default" w:ascii="Times New Roman" w:hAnsi="Times New Roman" w:cs="Times New Roman"/>
          <w:color w:val="auto"/>
          <w:highlight w:val="none"/>
        </w:rPr>
      </w:pPr>
      <w:r>
        <w:rPr>
          <w:rFonts w:hint="default" w:ascii="Times New Roman" w:hAnsi="Times New Roman" w:eastAsia="仿宋_GB2312" w:cs="Times New Roman"/>
          <w:color w:val="auto"/>
          <w:kern w:val="0"/>
          <w:sz w:val="31"/>
          <w:szCs w:val="31"/>
          <w:highlight w:val="none"/>
          <w:lang w:val="en-US" w:eastAsia="zh-CN" w:bidi="ar"/>
        </w:rPr>
        <w:t>（</w:t>
      </w:r>
      <w:r>
        <w:rPr>
          <w:rFonts w:hint="default" w:ascii="Times New Roman" w:hAnsi="Times New Roman" w:eastAsia="宋体" w:cs="Times New Roman"/>
          <w:color w:val="auto"/>
          <w:kern w:val="0"/>
          <w:sz w:val="31"/>
          <w:szCs w:val="31"/>
          <w:highlight w:val="none"/>
          <w:lang w:val="en-US" w:eastAsia="zh-CN" w:bidi="ar"/>
        </w:rPr>
        <w:t>1</w:t>
      </w:r>
      <w:r>
        <w:rPr>
          <w:rFonts w:hint="default" w:ascii="Times New Roman" w:hAnsi="Times New Roman" w:eastAsia="仿宋_GB2312" w:cs="Times New Roman"/>
          <w:color w:val="auto"/>
          <w:kern w:val="0"/>
          <w:sz w:val="31"/>
          <w:szCs w:val="31"/>
          <w:highlight w:val="none"/>
          <w:lang w:val="en-US" w:eastAsia="zh-CN" w:bidi="ar"/>
        </w:rPr>
        <w:t xml:space="preserve">）夫妻双方是国家公职人员承包草原且已办理草原有偿承包证的，必须将承包草场交回发包方或由发包方收回，不得享受补助奖励资金。 </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20" w:firstLineChars="200"/>
        <w:jc w:val="left"/>
        <w:textAlignment w:val="auto"/>
        <w:rPr>
          <w:rFonts w:hint="default" w:ascii="Times New Roman" w:hAnsi="Times New Roman" w:eastAsia="仿宋_GB2312" w:cs="Times New Roman"/>
          <w:color w:val="auto"/>
          <w:kern w:val="0"/>
          <w:sz w:val="31"/>
          <w:szCs w:val="31"/>
          <w:highlight w:val="none"/>
          <w:lang w:val="en-US" w:eastAsia="zh-CN" w:bidi="ar"/>
        </w:rPr>
      </w:pPr>
      <w:r>
        <w:rPr>
          <w:rFonts w:hint="default" w:ascii="Times New Roman" w:hAnsi="Times New Roman" w:eastAsia="仿宋_GB2312" w:cs="Times New Roman"/>
          <w:color w:val="auto"/>
          <w:kern w:val="0"/>
          <w:sz w:val="31"/>
          <w:szCs w:val="31"/>
          <w:highlight w:val="none"/>
          <w:lang w:val="en-US" w:eastAsia="zh-CN" w:bidi="ar"/>
        </w:rPr>
        <w:t>（</w:t>
      </w:r>
      <w:r>
        <w:rPr>
          <w:rFonts w:hint="default" w:ascii="Times New Roman" w:hAnsi="Times New Roman" w:eastAsia="宋体" w:cs="Times New Roman"/>
          <w:color w:val="auto"/>
          <w:kern w:val="0"/>
          <w:sz w:val="31"/>
          <w:szCs w:val="31"/>
          <w:highlight w:val="none"/>
          <w:lang w:val="en-US" w:eastAsia="zh-CN" w:bidi="ar"/>
        </w:rPr>
        <w:t>2</w:t>
      </w:r>
      <w:r>
        <w:rPr>
          <w:rFonts w:hint="default" w:ascii="Times New Roman" w:hAnsi="Times New Roman" w:eastAsia="仿宋_GB2312" w:cs="Times New Roman"/>
          <w:color w:val="auto"/>
          <w:kern w:val="0"/>
          <w:sz w:val="31"/>
          <w:szCs w:val="31"/>
          <w:highlight w:val="none"/>
          <w:lang w:val="en-US" w:eastAsia="zh-CN" w:bidi="ar"/>
        </w:rPr>
        <w:t>）如果早期在办理草原有偿承包证时，双方或者一方是牧民身份，后期身份发生变化，都转变成国家公职人员的，在承包期内，能履行相应的义务，则可以正常享受草原补奖政策，但必须将草原承包信息进行变更，变更到身份是牧民的家庭成员。</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20" w:firstLineChars="200"/>
        <w:jc w:val="left"/>
        <w:textAlignment w:val="auto"/>
        <w:rPr>
          <w:rFonts w:hint="default" w:ascii="Times New Roman" w:hAnsi="Times New Roman" w:cs="Times New Roman"/>
          <w:color w:val="auto"/>
          <w:highlight w:val="none"/>
        </w:rPr>
      </w:pPr>
      <w:r>
        <w:rPr>
          <w:rFonts w:hint="default" w:ascii="Times New Roman" w:hAnsi="Times New Roman" w:eastAsia="仿宋_GB2312" w:cs="Times New Roman"/>
          <w:color w:val="auto"/>
          <w:kern w:val="0"/>
          <w:sz w:val="31"/>
          <w:szCs w:val="31"/>
          <w:highlight w:val="none"/>
          <w:lang w:val="en-US" w:eastAsia="zh-CN" w:bidi="ar"/>
        </w:rPr>
        <w:t>（</w:t>
      </w:r>
      <w:r>
        <w:rPr>
          <w:rFonts w:hint="default" w:ascii="Times New Roman" w:hAnsi="Times New Roman" w:eastAsia="宋体" w:cs="Times New Roman"/>
          <w:color w:val="auto"/>
          <w:kern w:val="0"/>
          <w:sz w:val="31"/>
          <w:szCs w:val="31"/>
          <w:highlight w:val="none"/>
          <w:lang w:val="en-US" w:eastAsia="zh-CN" w:bidi="ar"/>
        </w:rPr>
        <w:t>3</w:t>
      </w:r>
      <w:r>
        <w:rPr>
          <w:rFonts w:hint="default" w:ascii="Times New Roman" w:hAnsi="Times New Roman" w:eastAsia="仿宋_GB2312" w:cs="Times New Roman"/>
          <w:color w:val="auto"/>
          <w:kern w:val="0"/>
          <w:sz w:val="31"/>
          <w:szCs w:val="31"/>
          <w:highlight w:val="none"/>
          <w:lang w:val="en-US" w:eastAsia="zh-CN" w:bidi="ar"/>
        </w:rPr>
        <w:t xml:space="preserve">）承包方夫妻一方是国家公职人员，其配偶和子女是牧民身份，并且履行了草原禁牧或草畜平衡相应义务的，则可正常享受草原补奖政策，但必须将草原承包信息进行变更，变更到身份是牧民的配偶或子女。 </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20" w:firstLineChars="200"/>
        <w:jc w:val="left"/>
        <w:textAlignment w:val="auto"/>
        <w:rPr>
          <w:rFonts w:hint="default" w:ascii="Times New Roman" w:hAnsi="Times New Roman" w:cs="Times New Roman"/>
          <w:color w:val="auto"/>
          <w:highlight w:val="none"/>
        </w:rPr>
      </w:pPr>
      <w:r>
        <w:rPr>
          <w:rFonts w:hint="default" w:ascii="Times New Roman" w:hAnsi="Times New Roman" w:eastAsia="仿宋_GB2312" w:cs="Times New Roman"/>
          <w:color w:val="auto"/>
          <w:kern w:val="0"/>
          <w:sz w:val="31"/>
          <w:szCs w:val="31"/>
          <w:highlight w:val="none"/>
          <w:lang w:val="en-US" w:eastAsia="zh-CN" w:bidi="ar"/>
        </w:rPr>
        <w:t>（</w:t>
      </w:r>
      <w:r>
        <w:rPr>
          <w:rFonts w:hint="default" w:ascii="Times New Roman" w:hAnsi="Times New Roman" w:eastAsia="宋体" w:cs="Times New Roman"/>
          <w:color w:val="auto"/>
          <w:kern w:val="0"/>
          <w:sz w:val="31"/>
          <w:szCs w:val="31"/>
          <w:highlight w:val="none"/>
          <w:lang w:val="en-US" w:eastAsia="zh-CN" w:bidi="ar"/>
        </w:rPr>
        <w:t>4</w:t>
      </w:r>
      <w:r>
        <w:rPr>
          <w:rFonts w:hint="default" w:ascii="Times New Roman" w:hAnsi="Times New Roman" w:eastAsia="仿宋_GB2312" w:cs="Times New Roman"/>
          <w:color w:val="auto"/>
          <w:kern w:val="0"/>
          <w:sz w:val="31"/>
          <w:szCs w:val="31"/>
          <w:highlight w:val="none"/>
          <w:lang w:val="en-US" w:eastAsia="zh-CN" w:bidi="ar"/>
        </w:rPr>
        <w:t xml:space="preserve">）承包方去世后，符合相关规定的继承人继续受益。根据《新疆维吾尔自治区草场承包管理办法》第二十条规定：承包草场的集体和个人有依法使用草场从事畜牧业生产的经营自主权，有接收国家资助、按规定投资建设草场的权利。经营权可以依法继承。《中华人民共和国农村土地承包法》第三十一条规定：承包人应得的承包受益，依照继承法的规定继承。因此，在落实草原补奖政策时，在继承人继承承包人应得的承包权益时，要明确继承人的身份，即继承人必须是牧民或者继承人家属中有牧民身份的成员，履行禁牧或草畜平衡义务，根据相关规定程序，依法变更草原承包相关手续后，原承包人的合法继承人方可享受草原补奖政策。 </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20" w:firstLineChars="200"/>
        <w:jc w:val="left"/>
        <w:textAlignment w:val="auto"/>
        <w:rPr>
          <w:rFonts w:hint="default" w:ascii="Times New Roman" w:hAnsi="Times New Roman" w:eastAsia="仿宋_GB2312" w:cs="Times New Roman"/>
          <w:color w:val="auto"/>
          <w:kern w:val="0"/>
          <w:sz w:val="31"/>
          <w:szCs w:val="31"/>
          <w:highlight w:val="none"/>
          <w:lang w:val="en-US" w:eastAsia="zh-CN" w:bidi="ar"/>
        </w:rPr>
      </w:pPr>
      <w:r>
        <w:rPr>
          <w:rFonts w:hint="default" w:ascii="Times New Roman" w:hAnsi="Times New Roman" w:eastAsia="仿宋_GB2312" w:cs="Times New Roman"/>
          <w:color w:val="auto"/>
          <w:kern w:val="0"/>
          <w:sz w:val="31"/>
          <w:szCs w:val="31"/>
          <w:highlight w:val="none"/>
          <w:lang w:val="en-US" w:eastAsia="zh-CN" w:bidi="ar"/>
        </w:rPr>
        <w:t>（</w:t>
      </w:r>
      <w:r>
        <w:rPr>
          <w:rFonts w:hint="default" w:ascii="Times New Roman" w:hAnsi="Times New Roman" w:eastAsia="宋体" w:cs="Times New Roman"/>
          <w:color w:val="auto"/>
          <w:kern w:val="0"/>
          <w:sz w:val="31"/>
          <w:szCs w:val="31"/>
          <w:highlight w:val="none"/>
          <w:lang w:val="en-US" w:eastAsia="zh-CN" w:bidi="ar"/>
        </w:rPr>
        <w:t>5</w:t>
      </w:r>
      <w:r>
        <w:rPr>
          <w:rFonts w:hint="default" w:ascii="Times New Roman" w:hAnsi="Times New Roman" w:eastAsia="仿宋_GB2312" w:cs="Times New Roman"/>
          <w:color w:val="auto"/>
          <w:kern w:val="0"/>
          <w:sz w:val="31"/>
          <w:szCs w:val="31"/>
          <w:highlight w:val="none"/>
          <w:lang w:val="en-US" w:eastAsia="zh-CN" w:bidi="ar"/>
        </w:rPr>
        <w:t>）承包方是村干部、协警、临时聘用工（合同工）、公益性岗位职员、村级防疫员等承包草原的牧民，能够认真履行相应的禁牧或草畜平衡义务，在承包期内，则可正常享受补助奖励政策，发包方不得调整承包草原。</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22"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b/>
          <w:bCs/>
          <w:color w:val="auto"/>
          <w:kern w:val="0"/>
          <w:sz w:val="31"/>
          <w:szCs w:val="31"/>
          <w:highlight w:val="none"/>
          <w:lang w:val="en-US" w:eastAsia="zh-CN" w:bidi="ar"/>
        </w:rPr>
        <w:t>2.</w:t>
      </w:r>
      <w:r>
        <w:rPr>
          <w:rFonts w:hint="default" w:ascii="Times New Roman" w:hAnsi="Times New Roman" w:eastAsia="仿宋_GB2312" w:cs="Times New Roman"/>
          <w:b/>
          <w:bCs/>
          <w:color w:val="auto"/>
          <w:kern w:val="0"/>
          <w:sz w:val="31"/>
          <w:szCs w:val="31"/>
          <w:highlight w:val="none"/>
          <w:lang w:val="en-US" w:eastAsia="zh-CN" w:bidi="ar"/>
        </w:rPr>
        <w:t xml:space="preserve">集体草原补奖资金发放方式 </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20" w:firstLineChars="200"/>
        <w:jc w:val="left"/>
        <w:textAlignment w:val="auto"/>
        <w:rPr>
          <w:rFonts w:hint="default" w:ascii="Times New Roman" w:hAnsi="Times New Roman" w:cs="Times New Roman"/>
          <w:color w:val="auto"/>
          <w:highlight w:val="none"/>
        </w:rPr>
      </w:pPr>
      <w:r>
        <w:rPr>
          <w:rFonts w:hint="default" w:ascii="Times New Roman" w:hAnsi="Times New Roman" w:eastAsia="仿宋_GB2312" w:cs="Times New Roman"/>
          <w:color w:val="auto"/>
          <w:kern w:val="0"/>
          <w:sz w:val="31"/>
          <w:szCs w:val="31"/>
          <w:highlight w:val="none"/>
          <w:lang w:val="en-US" w:eastAsia="zh-CN" w:bidi="ar"/>
        </w:rPr>
        <w:t>（</w:t>
      </w:r>
      <w:r>
        <w:rPr>
          <w:rFonts w:hint="default" w:ascii="Times New Roman" w:hAnsi="Times New Roman" w:eastAsia="宋体" w:cs="Times New Roman"/>
          <w:color w:val="auto"/>
          <w:kern w:val="0"/>
          <w:sz w:val="31"/>
          <w:szCs w:val="31"/>
          <w:highlight w:val="none"/>
          <w:lang w:val="en-US" w:eastAsia="zh-CN" w:bidi="ar"/>
        </w:rPr>
        <w:t>1</w:t>
      </w:r>
      <w:r>
        <w:rPr>
          <w:rFonts w:hint="default" w:ascii="Times New Roman" w:hAnsi="Times New Roman" w:eastAsia="仿宋_GB2312" w:cs="Times New Roman"/>
          <w:color w:val="auto"/>
          <w:kern w:val="0"/>
          <w:sz w:val="31"/>
          <w:szCs w:val="31"/>
          <w:highlight w:val="none"/>
          <w:lang w:val="en-US" w:eastAsia="zh-CN" w:bidi="ar"/>
        </w:rPr>
        <w:t xml:space="preserve">）按照“谁承包、谁保护、谁受益”的原则，集体草原可采取联户承包或继续实行集体承包，且集体成员共同履行了草原禁牧或草畜平衡义务后，所有成员共同享受补助与奖励。集体草原必须由村“两委”通过“七步议事”群众工作法对外进行发包，发包草原所得的收益必须用于草原的保护和建设。 </w:t>
      </w:r>
    </w:p>
    <w:p>
      <w:pPr>
        <w:keepNext w:val="0"/>
        <w:keepLines w:val="0"/>
        <w:pageBreakBefore w:val="0"/>
        <w:widowControl/>
        <w:suppressLineNumbers w:val="0"/>
        <w:kinsoku/>
        <w:wordWrap/>
        <w:overflowPunct/>
        <w:topLinePunct w:val="0"/>
        <w:autoSpaceDE/>
        <w:autoSpaceDN/>
        <w:bidi w:val="0"/>
        <w:adjustRightInd/>
        <w:snapToGrid/>
        <w:spacing w:line="560" w:lineRule="atLeast"/>
        <w:ind w:firstLine="620" w:firstLineChars="200"/>
        <w:jc w:val="left"/>
        <w:textAlignment w:val="auto"/>
        <w:rPr>
          <w:rFonts w:hint="default" w:ascii="Times New Roman" w:hAnsi="Times New Roman" w:cs="Times New Roman"/>
          <w:color w:val="auto"/>
          <w:highlight w:val="none"/>
        </w:rPr>
      </w:pPr>
      <w:r>
        <w:rPr>
          <w:rFonts w:hint="default" w:ascii="Times New Roman" w:hAnsi="Times New Roman" w:eastAsia="仿宋_GB2312" w:cs="Times New Roman"/>
          <w:color w:val="auto"/>
          <w:kern w:val="0"/>
          <w:sz w:val="31"/>
          <w:szCs w:val="31"/>
          <w:highlight w:val="none"/>
          <w:lang w:val="en-US" w:eastAsia="zh-CN" w:bidi="ar"/>
        </w:rPr>
        <w:t>（</w:t>
      </w:r>
      <w:r>
        <w:rPr>
          <w:rFonts w:hint="default" w:ascii="Times New Roman" w:hAnsi="Times New Roman" w:eastAsia="宋体" w:cs="Times New Roman"/>
          <w:color w:val="auto"/>
          <w:kern w:val="0"/>
          <w:sz w:val="31"/>
          <w:szCs w:val="31"/>
          <w:highlight w:val="none"/>
          <w:lang w:val="en-US" w:eastAsia="zh-CN" w:bidi="ar"/>
        </w:rPr>
        <w:t>2</w:t>
      </w:r>
      <w:r>
        <w:rPr>
          <w:rFonts w:hint="default" w:ascii="Times New Roman" w:hAnsi="Times New Roman" w:eastAsia="仿宋_GB2312" w:cs="Times New Roman"/>
          <w:color w:val="auto"/>
          <w:kern w:val="0"/>
          <w:sz w:val="31"/>
          <w:szCs w:val="31"/>
          <w:highlight w:val="none"/>
          <w:lang w:val="en-US" w:eastAsia="zh-CN" w:bidi="ar"/>
        </w:rPr>
        <w:t xml:space="preserve">）无法承包到户的集体草原，由乡镇人民政府制定方案，报县市相关部门审批，在集体草原所属的村“两委”履行了禁牧或草畜平衡义务后，村“两委”按照方案，通过“七步议事”群众工作法，将集体草原所得的补助与奖励资金平均发放给本村（队）有草原经营权并履行草原保护义务的所有牧户。 </w:t>
      </w:r>
    </w:p>
    <w:p>
      <w:pPr>
        <w:keepNext w:val="0"/>
        <w:keepLines w:val="0"/>
        <w:pageBreakBefore w:val="0"/>
        <w:kinsoku/>
        <w:wordWrap/>
        <w:overflowPunct/>
        <w:topLinePunct w:val="0"/>
        <w:autoSpaceDE/>
        <w:autoSpaceDN/>
        <w:bidi w:val="0"/>
        <w:adjustRightInd/>
        <w:snapToGrid/>
        <w:spacing w:line="560" w:lineRule="atLeast"/>
        <w:ind w:left="0" w:leftChars="0" w:firstLine="640" w:firstLineChars="200"/>
        <w:textAlignment w:val="auto"/>
        <w:rPr>
          <w:rFonts w:hint="eastAsia" w:ascii="黑体" w:hAnsi="黑体" w:eastAsia="黑体" w:cs="黑体"/>
          <w:b w:val="0"/>
          <w:bCs w:val="0"/>
          <w:color w:val="auto"/>
          <w:sz w:val="32"/>
          <w:szCs w:val="32"/>
          <w:highlight w:val="none"/>
        </w:rPr>
      </w:pPr>
      <w:bookmarkStart w:id="24" w:name="_Toc30822_WPSOffice_Level1"/>
      <w:r>
        <w:rPr>
          <w:rFonts w:hint="eastAsia" w:ascii="黑体" w:hAnsi="黑体" w:eastAsia="黑体" w:cs="黑体"/>
          <w:b w:val="0"/>
          <w:bCs w:val="0"/>
          <w:color w:val="auto"/>
          <w:sz w:val="32"/>
          <w:szCs w:val="32"/>
          <w:highlight w:val="none"/>
          <w:lang w:eastAsia="zh-CN"/>
        </w:rPr>
        <w:t>五</w:t>
      </w:r>
      <w:r>
        <w:rPr>
          <w:rFonts w:hint="eastAsia" w:ascii="黑体" w:hAnsi="黑体" w:eastAsia="黑体" w:cs="黑体"/>
          <w:b w:val="0"/>
          <w:bCs w:val="0"/>
          <w:color w:val="auto"/>
          <w:sz w:val="32"/>
          <w:szCs w:val="32"/>
          <w:highlight w:val="none"/>
        </w:rPr>
        <w:t>、保障措施</w:t>
      </w:r>
      <w:bookmarkEnd w:id="24"/>
    </w:p>
    <w:p>
      <w:pPr>
        <w:spacing w:line="560" w:lineRule="exact"/>
        <w:ind w:firstLine="470" w:firstLineChars="147"/>
        <w:rPr>
          <w:rFonts w:hint="eastAsia" w:ascii="楷体_GB2312" w:hAnsi="楷体_GB2312" w:eastAsia="楷体_GB2312" w:cs="楷体_GB2312"/>
          <w:b w:val="0"/>
          <w:bCs/>
          <w:color w:val="auto"/>
          <w:sz w:val="32"/>
          <w:szCs w:val="32"/>
          <w:highlight w:val="none"/>
        </w:rPr>
      </w:pPr>
      <w:bookmarkStart w:id="25" w:name="_Toc22963_WPSOffice_Level2"/>
      <w:r>
        <w:rPr>
          <w:rFonts w:hint="eastAsia" w:ascii="楷体_GB2312" w:hAnsi="楷体_GB2312" w:eastAsia="楷体_GB2312" w:cs="楷体_GB2312"/>
          <w:b w:val="0"/>
          <w:bCs/>
          <w:color w:val="auto"/>
          <w:sz w:val="32"/>
          <w:szCs w:val="32"/>
          <w:highlight w:val="none"/>
        </w:rPr>
        <w:t>（一）</w:t>
      </w:r>
      <w:r>
        <w:rPr>
          <w:rFonts w:hint="eastAsia" w:ascii="楷体_GB2312" w:hAnsi="楷体_GB2312" w:eastAsia="楷体_GB2312" w:cs="楷体_GB2312"/>
          <w:b w:val="0"/>
          <w:bCs/>
          <w:snapToGrid w:val="0"/>
          <w:color w:val="auto"/>
          <w:sz w:val="32"/>
          <w:szCs w:val="32"/>
          <w:highlight w:val="none"/>
        </w:rPr>
        <w:t>加强领导，明确职责</w:t>
      </w:r>
      <w:bookmarkEnd w:id="25"/>
    </w:p>
    <w:p>
      <w:pPr>
        <w:spacing w:line="560" w:lineRule="exact"/>
        <w:ind w:firstLine="640" w:firstLineChars="200"/>
        <w:rPr>
          <w:rFonts w:hint="default" w:ascii="Times New Roman" w:hAnsi="Times New Roman" w:eastAsia="仿宋" w:cs="Times New Roman"/>
          <w:snapToGrid w:val="0"/>
          <w:color w:val="auto"/>
          <w:sz w:val="32"/>
          <w:szCs w:val="32"/>
          <w:highlight w:val="none"/>
        </w:rPr>
      </w:pPr>
      <w:r>
        <w:rPr>
          <w:rFonts w:hint="default" w:ascii="Times New Roman" w:hAnsi="Times New Roman" w:eastAsia="仿宋" w:cs="Times New Roman"/>
          <w:snapToGrid w:val="0"/>
          <w:color w:val="auto"/>
          <w:sz w:val="32"/>
          <w:szCs w:val="32"/>
          <w:highlight w:val="none"/>
        </w:rPr>
        <w:t>特克斯县以“</w:t>
      </w:r>
      <w:r>
        <w:rPr>
          <w:rFonts w:hint="default" w:ascii="Times New Roman" w:hAnsi="Times New Roman" w:eastAsia="仿宋" w:cs="Times New Roman"/>
          <w:snapToGrid w:val="0"/>
          <w:color w:val="auto"/>
          <w:sz w:val="32"/>
          <w:szCs w:val="32"/>
          <w:highlight w:val="none"/>
          <w:lang w:eastAsia="zh-CN"/>
        </w:rPr>
        <w:t>党史学习</w:t>
      </w:r>
      <w:r>
        <w:rPr>
          <w:rFonts w:hint="default" w:ascii="Times New Roman" w:hAnsi="Times New Roman" w:eastAsia="仿宋" w:cs="Times New Roman"/>
          <w:snapToGrid w:val="0"/>
          <w:color w:val="auto"/>
          <w:sz w:val="32"/>
          <w:szCs w:val="32"/>
          <w:highlight w:val="none"/>
        </w:rPr>
        <w:t>”主题教育活动为契机，抓好政策落实，成立以县人民政府县长为组长和分管领导为副组长，财政、农业农村局、林草局、发改、水利、交通、卫生、扶贫、文化、审计、纪检（监察）、民政、人事与劳动保障等部门主要领导为成员的</w:t>
      </w:r>
      <w:r>
        <w:rPr>
          <w:rFonts w:hint="default" w:ascii="Times New Roman" w:hAnsi="Times New Roman" w:eastAsia="仿宋" w:cs="Times New Roman"/>
          <w:snapToGrid w:val="0"/>
          <w:color w:val="auto"/>
          <w:sz w:val="32"/>
          <w:szCs w:val="32"/>
          <w:highlight w:val="none"/>
          <w:lang w:eastAsia="zh-CN"/>
        </w:rPr>
        <w:t>草原生态保护</w:t>
      </w:r>
      <w:r>
        <w:rPr>
          <w:rFonts w:hint="default" w:ascii="Times New Roman" w:hAnsi="Times New Roman" w:eastAsia="仿宋" w:cs="Times New Roman"/>
          <w:snapToGrid w:val="0"/>
          <w:color w:val="auto"/>
          <w:sz w:val="32"/>
          <w:szCs w:val="32"/>
          <w:highlight w:val="none"/>
        </w:rPr>
        <w:t>补助奖励政策领导小组，</w:t>
      </w:r>
      <w:r>
        <w:rPr>
          <w:rFonts w:hint="default" w:ascii="Times New Roman" w:hAnsi="Times New Roman" w:eastAsia="仿宋" w:cs="Times New Roman"/>
          <w:color w:val="auto"/>
          <w:sz w:val="32"/>
          <w:szCs w:val="32"/>
          <w:highlight w:val="none"/>
        </w:rPr>
        <w:t>领导小组下设办公室，办公室主任由巩乃斯拜同志担任，工作人员从相关单位抽调，从事</w:t>
      </w:r>
      <w:r>
        <w:rPr>
          <w:rFonts w:hint="default" w:ascii="Times New Roman" w:hAnsi="Times New Roman" w:eastAsia="仿宋" w:cs="Times New Roman"/>
          <w:color w:val="auto"/>
          <w:sz w:val="32"/>
          <w:szCs w:val="32"/>
          <w:highlight w:val="none"/>
          <w:lang w:eastAsia="zh-CN"/>
        </w:rPr>
        <w:t>草原生态保护</w:t>
      </w:r>
      <w:r>
        <w:rPr>
          <w:rFonts w:hint="default" w:ascii="Times New Roman" w:hAnsi="Times New Roman" w:eastAsia="仿宋" w:cs="Times New Roman"/>
          <w:color w:val="auto"/>
          <w:sz w:val="32"/>
          <w:szCs w:val="32"/>
          <w:highlight w:val="none"/>
        </w:rPr>
        <w:t>补助奖励政策工作。</w:t>
      </w:r>
      <w:r>
        <w:rPr>
          <w:rFonts w:hint="default" w:ascii="Times New Roman" w:hAnsi="Times New Roman" w:eastAsia="仿宋" w:cs="Times New Roman"/>
          <w:color w:val="auto"/>
          <w:sz w:val="32"/>
          <w:szCs w:val="32"/>
          <w:highlight w:val="none"/>
          <w:lang w:eastAsia="zh-CN"/>
        </w:rPr>
        <w:t>草原生态保护</w:t>
      </w:r>
      <w:r>
        <w:rPr>
          <w:rFonts w:hint="default" w:ascii="Times New Roman" w:hAnsi="Times New Roman" w:eastAsia="仿宋" w:cs="Times New Roman"/>
          <w:snapToGrid w:val="0"/>
          <w:color w:val="auto"/>
          <w:sz w:val="32"/>
          <w:szCs w:val="32"/>
          <w:highlight w:val="none"/>
        </w:rPr>
        <w:t>补助奖励政策主要领导责任制，由县人民政府、乡镇（</w:t>
      </w:r>
      <w:r>
        <w:rPr>
          <w:rFonts w:hint="default" w:ascii="Times New Roman" w:hAnsi="Times New Roman" w:eastAsia="仿宋" w:cs="Times New Roman"/>
          <w:snapToGrid w:val="0"/>
          <w:color w:val="auto"/>
          <w:sz w:val="32"/>
          <w:szCs w:val="32"/>
          <w:highlight w:val="none"/>
          <w:lang w:eastAsia="zh-CN"/>
        </w:rPr>
        <w:t>场</w:t>
      </w:r>
      <w:r>
        <w:rPr>
          <w:rFonts w:hint="default" w:ascii="Times New Roman" w:hAnsi="Times New Roman" w:eastAsia="仿宋" w:cs="Times New Roman"/>
          <w:snapToGrid w:val="0"/>
          <w:color w:val="auto"/>
          <w:sz w:val="32"/>
          <w:szCs w:val="32"/>
          <w:highlight w:val="none"/>
        </w:rPr>
        <w:t>）层层签订责任书，一级抓一级，层层抓落实。把</w:t>
      </w:r>
      <w:r>
        <w:rPr>
          <w:rFonts w:hint="default" w:ascii="Times New Roman" w:hAnsi="Times New Roman" w:eastAsia="仿宋" w:cs="Times New Roman"/>
          <w:color w:val="auto"/>
          <w:sz w:val="32"/>
          <w:szCs w:val="32"/>
          <w:highlight w:val="none"/>
          <w:lang w:eastAsia="zh-CN"/>
        </w:rPr>
        <w:t>草原生态保护</w:t>
      </w:r>
      <w:r>
        <w:rPr>
          <w:rFonts w:hint="default" w:ascii="Times New Roman" w:hAnsi="Times New Roman" w:eastAsia="仿宋" w:cs="Times New Roman"/>
          <w:snapToGrid w:val="0"/>
          <w:color w:val="auto"/>
          <w:sz w:val="32"/>
          <w:szCs w:val="32"/>
          <w:highlight w:val="none"/>
        </w:rPr>
        <w:t>补助奖励政策的落实纳入各乡镇政府年度综合目标考核范围，切实加强各乡镇政府对</w:t>
      </w:r>
      <w:r>
        <w:rPr>
          <w:rFonts w:hint="default" w:ascii="Times New Roman" w:hAnsi="Times New Roman" w:eastAsia="仿宋" w:cs="Times New Roman"/>
          <w:color w:val="auto"/>
          <w:sz w:val="32"/>
          <w:szCs w:val="32"/>
          <w:highlight w:val="none"/>
          <w:lang w:eastAsia="zh-CN"/>
        </w:rPr>
        <w:t>草原生态保护</w:t>
      </w:r>
      <w:r>
        <w:rPr>
          <w:rFonts w:hint="default" w:ascii="Times New Roman" w:hAnsi="Times New Roman" w:eastAsia="仿宋" w:cs="Times New Roman"/>
          <w:snapToGrid w:val="0"/>
          <w:color w:val="auto"/>
          <w:sz w:val="32"/>
          <w:szCs w:val="32"/>
          <w:highlight w:val="none"/>
        </w:rPr>
        <w:t>补助奖励政策工作的领导。</w:t>
      </w:r>
    </w:p>
    <w:p>
      <w:pPr>
        <w:spacing w:line="560" w:lineRule="exact"/>
        <w:ind w:firstLine="470" w:firstLineChars="147"/>
        <w:rPr>
          <w:rFonts w:hint="default" w:ascii="楷体_GB2312" w:hAnsi="楷体_GB2312" w:eastAsia="楷体_GB2312" w:cs="楷体_GB2312"/>
          <w:b w:val="0"/>
          <w:bCs/>
          <w:color w:val="auto"/>
          <w:sz w:val="32"/>
          <w:szCs w:val="32"/>
          <w:highlight w:val="none"/>
        </w:rPr>
      </w:pPr>
      <w:bookmarkStart w:id="26" w:name="_Toc257_WPSOffice_Level2"/>
      <w:bookmarkStart w:id="27" w:name="_Toc303842181"/>
      <w:bookmarkStart w:id="28" w:name="_Toc303843148"/>
      <w:r>
        <w:rPr>
          <w:rFonts w:hint="default" w:ascii="楷体_GB2312" w:hAnsi="楷体_GB2312" w:eastAsia="楷体_GB2312" w:cs="楷体_GB2312"/>
          <w:b w:val="0"/>
          <w:bCs/>
          <w:color w:val="auto"/>
          <w:sz w:val="32"/>
          <w:szCs w:val="32"/>
          <w:highlight w:val="none"/>
        </w:rPr>
        <w:t>（二）加大宣传，正确引导</w:t>
      </w:r>
      <w:bookmarkEnd w:id="26"/>
      <w:bookmarkEnd w:id="27"/>
      <w:bookmarkEnd w:id="28"/>
      <w:bookmarkStart w:id="29" w:name="_Toc303843149"/>
    </w:p>
    <w:p>
      <w:pPr>
        <w:spacing w:line="560" w:lineRule="exact"/>
        <w:ind w:firstLine="470" w:firstLineChars="147"/>
        <w:rPr>
          <w:rFonts w:hint="default" w:ascii="Times New Roman" w:hAnsi="Times New Roman" w:eastAsia="仿宋" w:cs="Times New Roman"/>
          <w:snapToGrid w:val="0"/>
          <w:color w:val="auto"/>
          <w:sz w:val="32"/>
          <w:szCs w:val="32"/>
          <w:highlight w:val="none"/>
        </w:rPr>
      </w:pPr>
      <w:r>
        <w:rPr>
          <w:rFonts w:hint="default" w:ascii="Times New Roman" w:hAnsi="Times New Roman" w:eastAsia="仿宋" w:cs="Times New Roman"/>
          <w:snapToGrid w:val="0"/>
          <w:color w:val="auto"/>
          <w:sz w:val="32"/>
          <w:szCs w:val="32"/>
          <w:highlight w:val="none"/>
        </w:rPr>
        <w:t>充分利用新闻、广播、电视、网络等媒体加大宣传力度，采取阿肯弹唱、印发宣传单、宣传册，设立咨询台、张贴标语、布设宣传展板、车载广播等多种形式开展广泛宣传，为落实补助奖励政策营造良好的舆论氛围。通过培养和塑造典型，发挥榜样的示范带动作用。还要培养牧民正确的消费观、积极引导牧民将每年得到的保护补助奖励资金重点用于畜牧业生产上，发挥好补助奖励资金在生产中的作用。以多种方式引导广大牧民思想上认识、态度上接受、行动上配合草原禁牧和草畜平衡工作的开展，变被实行草原禁牧和草畜平衡为主动自觉行为。</w:t>
      </w:r>
      <w:bookmarkEnd w:id="29"/>
    </w:p>
    <w:p>
      <w:pPr>
        <w:spacing w:line="560" w:lineRule="exact"/>
        <w:ind w:firstLine="470" w:firstLineChars="147"/>
        <w:rPr>
          <w:rFonts w:hint="default" w:ascii="楷体_GB2312" w:hAnsi="楷体_GB2312" w:eastAsia="楷体_GB2312" w:cs="楷体_GB2312"/>
          <w:b w:val="0"/>
          <w:bCs/>
          <w:color w:val="auto"/>
          <w:sz w:val="32"/>
          <w:szCs w:val="32"/>
          <w:highlight w:val="none"/>
        </w:rPr>
      </w:pPr>
      <w:bookmarkStart w:id="30" w:name="_Toc303842182"/>
      <w:bookmarkStart w:id="31" w:name="_Toc303843150"/>
      <w:bookmarkStart w:id="32" w:name="_Toc5452_WPSOffice_Level2"/>
      <w:r>
        <w:rPr>
          <w:rFonts w:hint="default" w:ascii="楷体_GB2312" w:hAnsi="楷体_GB2312" w:eastAsia="楷体_GB2312" w:cs="楷体_GB2312"/>
          <w:b w:val="0"/>
          <w:bCs/>
          <w:color w:val="auto"/>
          <w:sz w:val="32"/>
          <w:szCs w:val="32"/>
          <w:highlight w:val="none"/>
        </w:rPr>
        <w:t>（三）加强监督，</w:t>
      </w:r>
      <w:bookmarkEnd w:id="30"/>
      <w:bookmarkEnd w:id="31"/>
      <w:r>
        <w:rPr>
          <w:rFonts w:hint="default" w:ascii="楷体_GB2312" w:hAnsi="楷体_GB2312" w:eastAsia="楷体_GB2312" w:cs="楷体_GB2312"/>
          <w:b w:val="0"/>
          <w:bCs/>
          <w:color w:val="auto"/>
          <w:sz w:val="32"/>
          <w:szCs w:val="32"/>
          <w:highlight w:val="none"/>
        </w:rPr>
        <w:t>抓好落实</w:t>
      </w:r>
      <w:bookmarkEnd w:id="32"/>
    </w:p>
    <w:p>
      <w:pPr>
        <w:numPr>
          <w:ilvl w:val="0"/>
          <w:numId w:val="0"/>
        </w:numPr>
        <w:spacing w:line="560" w:lineRule="exact"/>
        <w:ind w:firstLine="672" w:firstLineChars="200"/>
        <w:rPr>
          <w:rFonts w:hint="default" w:ascii="Times New Roman" w:hAnsi="Times New Roman" w:eastAsia="仿宋" w:cs="Times New Roman"/>
          <w:snapToGrid w:val="0"/>
          <w:color w:val="auto"/>
          <w:sz w:val="32"/>
          <w:szCs w:val="32"/>
          <w:highlight w:val="none"/>
        </w:rPr>
      </w:pPr>
      <w:bookmarkStart w:id="33" w:name="_Toc303843151"/>
      <w:r>
        <w:rPr>
          <w:rFonts w:hint="default" w:ascii="Times New Roman" w:hAnsi="Times New Roman" w:eastAsia="仿宋" w:cs="Times New Roman"/>
          <w:color w:val="auto"/>
          <w:spacing w:val="8"/>
          <w:sz w:val="32"/>
          <w:szCs w:val="32"/>
          <w:highlight w:val="none"/>
        </w:rPr>
        <w:t>加大对草原禁牧、草畜平衡制度落实情况的监督检查力度和对偷牧、过牧行为的执法力度，保护和巩固政策的实施成效。在农业农村局设立</w:t>
      </w:r>
      <w:r>
        <w:rPr>
          <w:rFonts w:hint="default" w:ascii="Times New Roman" w:hAnsi="Times New Roman" w:eastAsia="仿宋" w:cs="Times New Roman"/>
          <w:color w:val="auto"/>
          <w:spacing w:val="8"/>
          <w:sz w:val="32"/>
          <w:szCs w:val="32"/>
          <w:highlight w:val="none"/>
          <w:lang w:eastAsia="zh-CN"/>
        </w:rPr>
        <w:t>草原生态保护</w:t>
      </w:r>
      <w:r>
        <w:rPr>
          <w:rFonts w:hint="default" w:ascii="Times New Roman" w:hAnsi="Times New Roman" w:eastAsia="仿宋" w:cs="Times New Roman"/>
          <w:color w:val="auto"/>
          <w:spacing w:val="8"/>
          <w:sz w:val="32"/>
          <w:szCs w:val="32"/>
          <w:highlight w:val="none"/>
        </w:rPr>
        <w:t>补助奖励政策的监督电话，接受政策咨询，查证举报事项。农业农村局（畜牧兽医</w:t>
      </w:r>
      <w:r>
        <w:rPr>
          <w:rFonts w:hint="default" w:ascii="Times New Roman" w:hAnsi="Times New Roman" w:eastAsia="仿宋" w:cs="Times New Roman"/>
          <w:color w:val="auto"/>
          <w:spacing w:val="8"/>
          <w:sz w:val="32"/>
          <w:szCs w:val="32"/>
          <w:highlight w:val="none"/>
          <w:lang w:eastAsia="zh-CN"/>
        </w:rPr>
        <w:t>发展中心</w:t>
      </w:r>
      <w:r>
        <w:rPr>
          <w:rFonts w:hint="default" w:ascii="Times New Roman" w:hAnsi="Times New Roman" w:eastAsia="仿宋" w:cs="Times New Roman"/>
          <w:color w:val="auto"/>
          <w:spacing w:val="8"/>
          <w:sz w:val="32"/>
          <w:szCs w:val="32"/>
          <w:highlight w:val="none"/>
        </w:rPr>
        <w:t>）、财政、林业和草原局会同纪委监委、审计等部门，加强对政策任务和资金落实情况的监督检查。</w:t>
      </w:r>
      <w:bookmarkEnd w:id="33"/>
      <w:r>
        <w:rPr>
          <w:rFonts w:hint="default" w:ascii="Times New Roman" w:hAnsi="Times New Roman" w:eastAsia="仿宋" w:cs="Times New Roman"/>
          <w:b w:val="0"/>
          <w:bCs w:val="0"/>
          <w:snapToGrid w:val="0"/>
          <w:color w:val="auto"/>
          <w:sz w:val="32"/>
          <w:szCs w:val="32"/>
          <w:highlight w:val="none"/>
        </w:rPr>
        <w:t>建立监督检查机制</w:t>
      </w:r>
      <w:r>
        <w:rPr>
          <w:rFonts w:hint="default" w:ascii="Times New Roman" w:hAnsi="Times New Roman" w:eastAsia="仿宋" w:cs="Times New Roman"/>
          <w:b w:val="0"/>
          <w:bCs w:val="0"/>
          <w:snapToGrid w:val="0"/>
          <w:color w:val="auto"/>
          <w:sz w:val="32"/>
          <w:szCs w:val="32"/>
          <w:highlight w:val="none"/>
          <w:lang w:eastAsia="zh-CN"/>
        </w:rPr>
        <w:t>，</w:t>
      </w:r>
      <w:r>
        <w:rPr>
          <w:rFonts w:hint="default" w:ascii="Times New Roman" w:hAnsi="Times New Roman" w:eastAsia="仿宋" w:cs="Times New Roman"/>
          <w:snapToGrid w:val="0"/>
          <w:color w:val="auto"/>
          <w:sz w:val="32"/>
          <w:szCs w:val="32"/>
          <w:highlight w:val="none"/>
        </w:rPr>
        <w:t>制定督查检查办法，细化督查内容，严格督查标准，规范督查程序，强化督查效果。同时加强资金管理，设立专户、专帐，专款专用，并建立责任追究制，对工作不落实、措施不得力、职责内存在的问题不解决、不纠正的，追究有关领导和责任人的责任。</w:t>
      </w:r>
    </w:p>
    <w:p>
      <w:pPr>
        <w:spacing w:line="560" w:lineRule="exact"/>
        <w:ind w:firstLine="470" w:firstLineChars="147"/>
        <w:rPr>
          <w:rFonts w:hint="default" w:ascii="楷体_GB2312" w:hAnsi="楷体_GB2312" w:eastAsia="楷体_GB2312" w:cs="楷体_GB2312"/>
          <w:b w:val="0"/>
          <w:bCs/>
          <w:color w:val="auto"/>
          <w:sz w:val="32"/>
          <w:szCs w:val="32"/>
          <w:highlight w:val="none"/>
        </w:rPr>
      </w:pPr>
      <w:bookmarkStart w:id="34" w:name="_Toc21943_WPSOffice_Level2"/>
      <w:bookmarkStart w:id="35" w:name="_Toc303843154"/>
      <w:bookmarkStart w:id="36" w:name="_Toc303842183"/>
      <w:bookmarkStart w:id="37" w:name="_Toc288754837"/>
      <w:r>
        <w:rPr>
          <w:rFonts w:hint="default" w:ascii="楷体_GB2312" w:hAnsi="楷体_GB2312" w:eastAsia="楷体_GB2312" w:cs="楷体_GB2312"/>
          <w:b w:val="0"/>
          <w:bCs/>
          <w:color w:val="auto"/>
          <w:sz w:val="32"/>
          <w:szCs w:val="32"/>
          <w:highlight w:val="none"/>
        </w:rPr>
        <w:t>（</w:t>
      </w:r>
      <w:r>
        <w:rPr>
          <w:rFonts w:hint="default" w:ascii="楷体_GB2312" w:hAnsi="楷体_GB2312" w:eastAsia="楷体_GB2312" w:cs="楷体_GB2312"/>
          <w:b w:val="0"/>
          <w:bCs/>
          <w:color w:val="auto"/>
          <w:sz w:val="32"/>
          <w:szCs w:val="32"/>
          <w:highlight w:val="none"/>
          <w:lang w:eastAsia="zh-CN"/>
        </w:rPr>
        <w:t>四</w:t>
      </w:r>
      <w:r>
        <w:rPr>
          <w:rFonts w:hint="default" w:ascii="楷体_GB2312" w:hAnsi="楷体_GB2312" w:eastAsia="楷体_GB2312" w:cs="楷体_GB2312"/>
          <w:b w:val="0"/>
          <w:bCs/>
          <w:color w:val="auto"/>
          <w:sz w:val="32"/>
          <w:szCs w:val="32"/>
          <w:highlight w:val="none"/>
        </w:rPr>
        <w:t>）</w:t>
      </w:r>
      <w:r>
        <w:rPr>
          <w:rFonts w:hint="default" w:ascii="楷体_GB2312" w:hAnsi="楷体_GB2312" w:eastAsia="楷体_GB2312" w:cs="楷体_GB2312"/>
          <w:b w:val="0"/>
          <w:bCs/>
          <w:color w:val="auto"/>
          <w:sz w:val="32"/>
          <w:szCs w:val="32"/>
          <w:highlight w:val="none"/>
          <w:lang w:eastAsia="zh-CN"/>
        </w:rPr>
        <w:t>草原生态保护</w:t>
      </w:r>
      <w:r>
        <w:rPr>
          <w:rFonts w:hint="default" w:ascii="楷体_GB2312" w:hAnsi="楷体_GB2312" w:eastAsia="楷体_GB2312" w:cs="楷体_GB2312"/>
          <w:b w:val="0"/>
          <w:bCs/>
          <w:color w:val="auto"/>
          <w:sz w:val="32"/>
          <w:szCs w:val="32"/>
          <w:highlight w:val="none"/>
        </w:rPr>
        <w:t>补助奖励政策资金发放方案</w:t>
      </w:r>
      <w:bookmarkEnd w:id="34"/>
    </w:p>
    <w:p>
      <w:pPr>
        <w:spacing w:line="560" w:lineRule="exact"/>
        <w:ind w:firstLine="640"/>
        <w:rPr>
          <w:rFonts w:hint="default" w:ascii="Times New Roman" w:hAnsi="Times New Roman" w:eastAsia="仿宋" w:cs="Times New Roman"/>
          <w:snapToGrid w:val="0"/>
          <w:color w:val="auto"/>
          <w:sz w:val="32"/>
          <w:szCs w:val="32"/>
          <w:highlight w:val="none"/>
        </w:rPr>
      </w:pPr>
      <w:r>
        <w:rPr>
          <w:rFonts w:hint="default" w:ascii="Times New Roman" w:hAnsi="Times New Roman" w:eastAsia="仿宋" w:cs="Times New Roman"/>
          <w:snapToGrid w:val="0"/>
          <w:color w:val="auto"/>
          <w:sz w:val="32"/>
          <w:szCs w:val="32"/>
          <w:highlight w:val="none"/>
        </w:rPr>
        <w:t>发放原则：按照谁使用谁受益的总体原则，草原承包面积以户为单位予以核定登记，分户以及发生流转租赁的草原以承包确权户为准</w:t>
      </w:r>
      <w:r>
        <w:rPr>
          <w:rFonts w:hint="default" w:ascii="Times New Roman" w:hAnsi="Times New Roman" w:eastAsia="仿宋" w:cs="Times New Roman"/>
          <w:snapToGrid w:val="0"/>
          <w:color w:val="auto"/>
          <w:sz w:val="32"/>
          <w:szCs w:val="32"/>
          <w:highlight w:val="none"/>
          <w:lang w:eastAsia="zh-CN"/>
        </w:rPr>
        <w:t>。</w:t>
      </w:r>
      <w:r>
        <w:rPr>
          <w:rFonts w:hint="default" w:ascii="Times New Roman" w:hAnsi="Times New Roman" w:eastAsia="仿宋" w:cs="Times New Roman"/>
          <w:snapToGrid w:val="0"/>
          <w:color w:val="auto"/>
          <w:sz w:val="32"/>
          <w:szCs w:val="32"/>
          <w:highlight w:val="none"/>
        </w:rPr>
        <w:t>发放依据：以草原承包证书的持有人为对象，以承包人承包草原核定的禁牧面积为依据，作为核发补助的依据。</w:t>
      </w:r>
    </w:p>
    <w:p>
      <w:pPr>
        <w:spacing w:line="56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snapToGrid w:val="0"/>
          <w:color w:val="auto"/>
          <w:sz w:val="32"/>
          <w:szCs w:val="32"/>
          <w:highlight w:val="none"/>
        </w:rPr>
        <w:t>发放标准：一是对重要水源地和保护区</w:t>
      </w:r>
      <w:r>
        <w:rPr>
          <w:rFonts w:hint="eastAsia" w:eastAsia="仿宋" w:cs="Times New Roman"/>
          <w:snapToGrid w:val="0"/>
          <w:color w:val="auto"/>
          <w:sz w:val="32"/>
          <w:szCs w:val="32"/>
          <w:highlight w:val="none"/>
          <w:lang w:eastAsia="zh-CN"/>
        </w:rPr>
        <w:t>禁牧面积</w:t>
      </w:r>
      <w:r>
        <w:rPr>
          <w:rFonts w:hint="eastAsia" w:eastAsia="仿宋" w:cs="Times New Roman"/>
          <w:snapToGrid w:val="0"/>
          <w:color w:val="auto"/>
          <w:sz w:val="32"/>
          <w:szCs w:val="32"/>
          <w:highlight w:val="none"/>
          <w:lang w:val="en-US" w:eastAsia="zh-CN"/>
        </w:rPr>
        <w:t>37.1430167</w:t>
      </w:r>
      <w:r>
        <w:rPr>
          <w:rFonts w:hint="default" w:ascii="Times New Roman" w:hAnsi="Times New Roman" w:eastAsia="仿宋" w:cs="Times New Roman"/>
          <w:snapToGrid w:val="0"/>
          <w:color w:val="auto"/>
          <w:sz w:val="32"/>
          <w:szCs w:val="32"/>
          <w:highlight w:val="none"/>
        </w:rPr>
        <w:t>万亩，按50元/亩发放，发放补助</w:t>
      </w:r>
      <w:r>
        <w:rPr>
          <w:rFonts w:hint="eastAsia" w:eastAsia="仿宋" w:cs="Times New Roman"/>
          <w:snapToGrid w:val="0"/>
          <w:color w:val="auto"/>
          <w:sz w:val="32"/>
          <w:szCs w:val="32"/>
          <w:highlight w:val="none"/>
          <w:lang w:val="en-US" w:eastAsia="zh-CN"/>
        </w:rPr>
        <w:t>1857.150835</w:t>
      </w:r>
      <w:r>
        <w:rPr>
          <w:rFonts w:hint="default" w:ascii="Times New Roman" w:hAnsi="Times New Roman" w:eastAsia="仿宋" w:cs="Times New Roman"/>
          <w:snapToGrid w:val="0"/>
          <w:color w:val="auto"/>
          <w:sz w:val="32"/>
          <w:szCs w:val="32"/>
          <w:highlight w:val="none"/>
        </w:rPr>
        <w:t>万元，二是严重退化区和风沙源区禁牧</w:t>
      </w:r>
      <w:r>
        <w:rPr>
          <w:rFonts w:hint="eastAsia" w:eastAsia="仿宋" w:cs="Times New Roman"/>
          <w:snapToGrid w:val="0"/>
          <w:color w:val="auto"/>
          <w:sz w:val="32"/>
          <w:szCs w:val="32"/>
          <w:highlight w:val="none"/>
          <w:lang w:eastAsia="zh-CN"/>
        </w:rPr>
        <w:t>面积</w:t>
      </w:r>
      <w:r>
        <w:rPr>
          <w:rFonts w:hint="eastAsia" w:ascii="Times New Roman" w:hAnsi="Times New Roman" w:eastAsia="仿宋" w:cs="Times New Roman"/>
          <w:snapToGrid w:val="0"/>
          <w:color w:val="auto"/>
          <w:sz w:val="32"/>
          <w:szCs w:val="32"/>
          <w:highlight w:val="none"/>
          <w:lang w:val="en-US" w:eastAsia="zh-CN"/>
        </w:rPr>
        <w:t>23.7286</w:t>
      </w:r>
      <w:r>
        <w:rPr>
          <w:rFonts w:hint="default" w:ascii="Times New Roman" w:hAnsi="Times New Roman" w:eastAsia="仿宋" w:cs="Times New Roman"/>
          <w:snapToGrid w:val="0"/>
          <w:color w:val="auto"/>
          <w:sz w:val="32"/>
          <w:szCs w:val="32"/>
          <w:highlight w:val="none"/>
        </w:rPr>
        <w:t>万亩，按6元/亩发放，发放补助142.3716 万元，三是草畜平衡奖励</w:t>
      </w:r>
      <w:r>
        <w:rPr>
          <w:rFonts w:hint="eastAsia" w:eastAsia="仿宋" w:cs="Times New Roman"/>
          <w:snapToGrid w:val="0"/>
          <w:color w:val="auto"/>
          <w:sz w:val="32"/>
          <w:szCs w:val="32"/>
          <w:highlight w:val="none"/>
          <w:lang w:eastAsia="zh-CN"/>
        </w:rPr>
        <w:t>面积</w:t>
      </w:r>
      <w:r>
        <w:rPr>
          <w:rFonts w:hint="eastAsia" w:eastAsia="仿宋" w:cs="Times New Roman"/>
          <w:snapToGrid w:val="0"/>
          <w:color w:val="auto"/>
          <w:sz w:val="32"/>
          <w:szCs w:val="32"/>
          <w:highlight w:val="none"/>
          <w:lang w:val="en-US" w:eastAsia="zh-CN"/>
        </w:rPr>
        <w:t>461.877652</w:t>
      </w:r>
      <w:r>
        <w:rPr>
          <w:rFonts w:hint="default" w:ascii="Times New Roman" w:hAnsi="Times New Roman" w:eastAsia="仿宋" w:cs="Times New Roman"/>
          <w:snapToGrid w:val="0"/>
          <w:color w:val="auto"/>
          <w:sz w:val="32"/>
          <w:szCs w:val="32"/>
          <w:highlight w:val="none"/>
        </w:rPr>
        <w:t>万亩，按2.5元/亩，发放奖励1154.69413万元，共发放3154.221315万元。</w:t>
      </w:r>
    </w:p>
    <w:p>
      <w:pPr>
        <w:spacing w:line="560" w:lineRule="exact"/>
        <w:ind w:firstLine="64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snapToGrid w:val="0"/>
          <w:color w:val="auto"/>
          <w:sz w:val="32"/>
          <w:szCs w:val="32"/>
          <w:highlight w:val="none"/>
        </w:rPr>
        <w:t>发放程序：（1）</w:t>
      </w:r>
      <w:r>
        <w:rPr>
          <w:rFonts w:hint="default" w:ascii="Times New Roman" w:hAnsi="Times New Roman" w:eastAsia="仿宋" w:cs="Times New Roman"/>
          <w:color w:val="auto"/>
          <w:sz w:val="32"/>
          <w:szCs w:val="32"/>
          <w:highlight w:val="none"/>
        </w:rPr>
        <w:t>当年年底前乡级人民政府将牧民补奖名单在相关村委会公示；公示时间不少于</w:t>
      </w:r>
      <w:r>
        <w:rPr>
          <w:rFonts w:hint="default" w:ascii="Times New Roman" w:hAnsi="Times New Roman" w:eastAsia="仿宋" w:cs="Times New Roman"/>
          <w:color w:val="auto"/>
          <w:sz w:val="32"/>
          <w:szCs w:val="32"/>
          <w:highlight w:val="none"/>
          <w:lang w:val="en-US" w:eastAsia="zh-CN"/>
        </w:rPr>
        <w:t>7</w:t>
      </w:r>
      <w:r>
        <w:rPr>
          <w:rFonts w:hint="default" w:ascii="Times New Roman" w:hAnsi="Times New Roman" w:eastAsia="仿宋" w:cs="Times New Roman"/>
          <w:color w:val="auto"/>
          <w:sz w:val="32"/>
          <w:szCs w:val="32"/>
          <w:highlight w:val="none"/>
        </w:rPr>
        <w:t>天，公示结束后</w:t>
      </w:r>
      <w:r>
        <w:rPr>
          <w:rFonts w:hint="default" w:ascii="Times New Roman" w:hAnsi="Times New Roman" w:eastAsia="仿宋" w:cs="Times New Roman"/>
          <w:snapToGrid w:val="0"/>
          <w:color w:val="auto"/>
          <w:sz w:val="32"/>
          <w:szCs w:val="32"/>
          <w:highlight w:val="none"/>
        </w:rPr>
        <w:t>由各乡镇向县农业农村局上报禁牧和草畜平衡工作进度，县农业农村局汇总审核后，上报县财政局，实行逐级上报制。</w:t>
      </w:r>
      <w:r>
        <w:rPr>
          <w:rFonts w:hint="default" w:ascii="Times New Roman" w:hAnsi="Times New Roman" w:eastAsia="仿宋" w:cs="Times New Roman"/>
          <w:color w:val="auto"/>
          <w:sz w:val="32"/>
          <w:szCs w:val="32"/>
          <w:highlight w:val="none"/>
        </w:rPr>
        <w:t>县级人民政府与乡镇签订责任书，组织落实禁牧及草畜平衡制度；县农业农村局将资料提供给同级财政局；县财政局将资金下拨乡镇财政所，由财政所采取一卡通方式下拨。</w:t>
      </w:r>
    </w:p>
    <w:p>
      <w:pPr>
        <w:spacing w:line="560" w:lineRule="exact"/>
        <w:ind w:firstLine="470" w:firstLineChars="147"/>
        <w:rPr>
          <w:rFonts w:hint="default" w:ascii="楷体_GB2312" w:hAnsi="楷体_GB2312" w:eastAsia="楷体_GB2312" w:cs="楷体_GB2312"/>
          <w:b w:val="0"/>
          <w:bCs/>
          <w:color w:val="auto"/>
          <w:sz w:val="32"/>
          <w:szCs w:val="32"/>
          <w:highlight w:val="none"/>
        </w:rPr>
      </w:pPr>
      <w:bookmarkStart w:id="38" w:name="_Toc2239_WPSOffice_Level2"/>
      <w:r>
        <w:rPr>
          <w:rFonts w:hint="default" w:ascii="楷体_GB2312" w:hAnsi="楷体_GB2312" w:eastAsia="楷体_GB2312" w:cs="楷体_GB2312"/>
          <w:b w:val="0"/>
          <w:bCs/>
          <w:color w:val="auto"/>
          <w:sz w:val="32"/>
          <w:szCs w:val="32"/>
          <w:highlight w:val="none"/>
        </w:rPr>
        <w:t>（五）建立健全全民参与社会监督机制</w:t>
      </w:r>
      <w:bookmarkEnd w:id="35"/>
      <w:bookmarkEnd w:id="36"/>
      <w:bookmarkEnd w:id="37"/>
      <w:bookmarkEnd w:id="38"/>
    </w:p>
    <w:p>
      <w:pPr>
        <w:spacing w:line="560" w:lineRule="exact"/>
        <w:ind w:firstLine="640"/>
        <w:outlineLvl w:val="1"/>
        <w:rPr>
          <w:rFonts w:hint="default" w:ascii="Times New Roman" w:hAnsi="Times New Roman" w:eastAsia="仿宋" w:cs="Times New Roman"/>
          <w:snapToGrid w:val="0"/>
          <w:color w:val="auto"/>
          <w:sz w:val="32"/>
          <w:szCs w:val="32"/>
          <w:highlight w:val="none"/>
        </w:rPr>
      </w:pPr>
      <w:bookmarkStart w:id="39" w:name="_Toc303843155"/>
      <w:r>
        <w:rPr>
          <w:rFonts w:hint="default" w:ascii="Times New Roman" w:hAnsi="Times New Roman" w:eastAsia="仿宋" w:cs="Times New Roman"/>
          <w:snapToGrid w:val="0"/>
          <w:color w:val="auto"/>
          <w:sz w:val="32"/>
          <w:szCs w:val="32"/>
          <w:highlight w:val="none"/>
        </w:rPr>
        <w:t>建立</w:t>
      </w:r>
      <w:r>
        <w:rPr>
          <w:rFonts w:hint="default" w:ascii="Times New Roman" w:hAnsi="Times New Roman" w:eastAsia="仿宋" w:cs="Times New Roman"/>
          <w:color w:val="auto"/>
          <w:sz w:val="32"/>
          <w:szCs w:val="32"/>
          <w:highlight w:val="none"/>
          <w:lang w:eastAsia="zh-CN"/>
        </w:rPr>
        <w:t>草原生态保护</w:t>
      </w:r>
      <w:r>
        <w:rPr>
          <w:rFonts w:hint="default" w:ascii="Times New Roman" w:hAnsi="Times New Roman" w:eastAsia="仿宋" w:cs="Times New Roman"/>
          <w:snapToGrid w:val="0"/>
          <w:color w:val="auto"/>
          <w:sz w:val="32"/>
          <w:szCs w:val="32"/>
          <w:highlight w:val="none"/>
        </w:rPr>
        <w:t>补助奖励政策信息公示复审制度，做到资金兑现公开、公正、透明，接受社会各界的监督，鼓励牧户之间的相互监督，对牧民检举冒领、挪用补助奖励资金和超载过牧、破坏草畜平衡的行为进行奖励。</w:t>
      </w:r>
      <w:bookmarkEnd w:id="39"/>
      <w:bookmarkStart w:id="40" w:name="_Toc288754839"/>
    </w:p>
    <w:p>
      <w:pPr>
        <w:spacing w:line="560" w:lineRule="exact"/>
        <w:ind w:firstLine="470" w:firstLineChars="147"/>
        <w:rPr>
          <w:rFonts w:hint="default" w:ascii="楷体_GB2312" w:hAnsi="楷体_GB2312" w:eastAsia="楷体_GB2312" w:cs="楷体_GB2312"/>
          <w:b w:val="0"/>
          <w:bCs/>
          <w:color w:val="auto"/>
          <w:sz w:val="32"/>
          <w:szCs w:val="32"/>
          <w:highlight w:val="none"/>
        </w:rPr>
      </w:pPr>
      <w:bookmarkStart w:id="41" w:name="_Toc303843156"/>
      <w:bookmarkStart w:id="42" w:name="_Toc3648_WPSOffice_Level2"/>
      <w:r>
        <w:rPr>
          <w:rFonts w:hint="default" w:ascii="楷体_GB2312" w:hAnsi="楷体_GB2312" w:eastAsia="楷体_GB2312" w:cs="楷体_GB2312"/>
          <w:b w:val="0"/>
          <w:bCs/>
          <w:color w:val="auto"/>
          <w:sz w:val="32"/>
          <w:szCs w:val="32"/>
          <w:highlight w:val="none"/>
        </w:rPr>
        <w:t>（六）加强草原执法，</w:t>
      </w:r>
      <w:bookmarkEnd w:id="41"/>
      <w:r>
        <w:rPr>
          <w:rFonts w:hint="default" w:ascii="楷体_GB2312" w:hAnsi="楷体_GB2312" w:eastAsia="楷体_GB2312" w:cs="楷体_GB2312"/>
          <w:b w:val="0"/>
          <w:bCs/>
          <w:color w:val="auto"/>
          <w:sz w:val="32"/>
          <w:szCs w:val="32"/>
          <w:highlight w:val="none"/>
        </w:rPr>
        <w:t>有效实施补助奖励政策</w:t>
      </w:r>
      <w:bookmarkEnd w:id="42"/>
    </w:p>
    <w:p>
      <w:pPr>
        <w:spacing w:line="560" w:lineRule="exact"/>
        <w:ind w:firstLine="640"/>
        <w:outlineLvl w:val="1"/>
        <w:rPr>
          <w:rFonts w:hint="default" w:ascii="Times New Roman" w:hAnsi="Times New Roman" w:eastAsia="仿宋" w:cs="Times New Roman"/>
          <w:snapToGrid w:val="0"/>
          <w:color w:val="auto"/>
          <w:sz w:val="32"/>
          <w:szCs w:val="32"/>
          <w:highlight w:val="none"/>
        </w:rPr>
      </w:pPr>
      <w:bookmarkStart w:id="43" w:name="_Toc303843157"/>
      <w:r>
        <w:rPr>
          <w:rFonts w:hint="default" w:ascii="Times New Roman" w:hAnsi="Times New Roman" w:eastAsia="仿宋" w:cs="Times New Roman"/>
          <w:snapToGrid w:val="0"/>
          <w:color w:val="auto"/>
          <w:sz w:val="32"/>
          <w:szCs w:val="32"/>
          <w:highlight w:val="none"/>
        </w:rPr>
        <w:t>严格落实《草原法》、《草畜平衡管理办法》及国家、自治区、</w:t>
      </w:r>
      <w:r>
        <w:rPr>
          <w:rFonts w:hint="default" w:ascii="Times New Roman" w:hAnsi="Times New Roman" w:eastAsia="仿宋" w:cs="Times New Roman"/>
          <w:snapToGrid w:val="0"/>
          <w:color w:val="auto"/>
          <w:sz w:val="32"/>
          <w:szCs w:val="32"/>
          <w:highlight w:val="none"/>
          <w:lang w:eastAsia="zh-CN"/>
        </w:rPr>
        <w:t>自治</w:t>
      </w:r>
      <w:r>
        <w:rPr>
          <w:rFonts w:hint="default" w:ascii="Times New Roman" w:hAnsi="Times New Roman" w:eastAsia="仿宋" w:cs="Times New Roman"/>
          <w:snapToGrid w:val="0"/>
          <w:color w:val="auto"/>
          <w:sz w:val="32"/>
          <w:szCs w:val="32"/>
          <w:highlight w:val="none"/>
        </w:rPr>
        <w:t>州出台的相关法律法规、规章，加强对开垦草原、滥采滥挖、征占用管理、草原矿产开发、旅游开发、探矿、修路、采石取砂、非牧设施建设等活动的监管，切实落实草原生态补偿机制。</w:t>
      </w:r>
      <w:bookmarkEnd w:id="40"/>
      <w:bookmarkEnd w:id="43"/>
    </w:p>
    <w:p>
      <w:pPr>
        <w:spacing w:line="600" w:lineRule="exact"/>
        <w:jc w:val="left"/>
        <w:outlineLvl w:val="0"/>
        <w:rPr>
          <w:rFonts w:hint="eastAsia" w:ascii="黑体" w:hAnsi="黑体" w:eastAsia="黑体" w:cs="黑体"/>
          <w:b w:val="0"/>
          <w:bCs/>
          <w:snapToGrid w:val="0"/>
          <w:color w:val="auto"/>
          <w:sz w:val="32"/>
          <w:szCs w:val="32"/>
          <w:highlight w:val="none"/>
          <w:lang w:eastAsia="zh-CN"/>
        </w:rPr>
      </w:pPr>
      <w:bookmarkStart w:id="44" w:name="_Toc10635_WPSOffice_Level1"/>
      <w:r>
        <w:rPr>
          <w:rFonts w:hint="eastAsia" w:ascii="黑体" w:hAnsi="黑体" w:eastAsia="黑体" w:cs="黑体"/>
          <w:b w:val="0"/>
          <w:bCs/>
          <w:snapToGrid w:val="0"/>
          <w:color w:val="auto"/>
          <w:sz w:val="32"/>
          <w:szCs w:val="32"/>
          <w:highlight w:val="none"/>
          <w:lang w:eastAsia="zh-CN"/>
        </w:rPr>
        <w:t>六、</w:t>
      </w:r>
      <w:r>
        <w:rPr>
          <w:rFonts w:hint="eastAsia" w:ascii="黑体" w:hAnsi="黑体" w:eastAsia="黑体" w:cs="黑体"/>
          <w:b w:val="0"/>
          <w:bCs/>
          <w:color w:val="auto"/>
          <w:sz w:val="30"/>
          <w:szCs w:val="30"/>
          <w:highlight w:val="none"/>
          <w:lang w:eastAsia="zh-CN"/>
        </w:rPr>
        <w:t>禁牧区示意图</w:t>
      </w:r>
      <w:bookmarkEnd w:id="44"/>
    </w:p>
    <w:p>
      <w:pPr>
        <w:spacing w:line="600" w:lineRule="exact"/>
        <w:jc w:val="center"/>
        <w:outlineLvl w:val="0"/>
        <w:rPr>
          <w:rFonts w:hint="eastAsia" w:ascii="方正仿宋_GBK" w:hAnsi="方正仿宋_GBK" w:eastAsia="方正仿宋_GBK" w:cs="方正仿宋_GBK"/>
          <w:b/>
          <w:bCs w:val="0"/>
          <w:snapToGrid w:val="0"/>
          <w:color w:val="auto"/>
          <w:sz w:val="32"/>
          <w:szCs w:val="32"/>
          <w:highlight w:val="none"/>
        </w:rPr>
      </w:pPr>
      <w:bookmarkStart w:id="45" w:name="_Toc32396_WPSOffice_Level1"/>
      <w:r>
        <w:rPr>
          <w:rFonts w:hint="eastAsia" w:ascii="方正仿宋_GBK" w:hAnsi="方正仿宋_GBK" w:eastAsia="方正仿宋_GBK" w:cs="方正仿宋_GBK"/>
          <w:b/>
          <w:bCs w:val="0"/>
          <w:snapToGrid w:val="0"/>
          <w:color w:val="auto"/>
          <w:sz w:val="32"/>
          <w:szCs w:val="32"/>
          <w:highlight w:val="none"/>
          <w:lang w:eastAsia="zh-CN"/>
        </w:rPr>
        <w:t>图一</w:t>
      </w:r>
      <w:r>
        <w:rPr>
          <w:rFonts w:hint="eastAsia" w:ascii="方正仿宋_GBK" w:hAnsi="方正仿宋_GBK" w:eastAsia="方正仿宋_GBK" w:cs="方正仿宋_GBK"/>
          <w:b/>
          <w:bCs w:val="0"/>
          <w:snapToGrid w:val="0"/>
          <w:color w:val="auto"/>
          <w:sz w:val="32"/>
          <w:szCs w:val="32"/>
          <w:highlight w:val="none"/>
          <w:lang w:val="en-US" w:eastAsia="zh-CN"/>
        </w:rPr>
        <w:t xml:space="preserve">  </w:t>
      </w:r>
      <w:r>
        <w:rPr>
          <w:rFonts w:hint="eastAsia" w:ascii="方正仿宋_GBK" w:hAnsi="方正仿宋_GBK" w:eastAsia="方正仿宋_GBK" w:cs="方正仿宋_GBK"/>
          <w:b/>
          <w:bCs w:val="0"/>
          <w:snapToGrid w:val="0"/>
          <w:color w:val="auto"/>
          <w:sz w:val="32"/>
          <w:szCs w:val="32"/>
          <w:highlight w:val="none"/>
        </w:rPr>
        <w:t>喀拉达拉镇喀因德禁牧区示意图</w:t>
      </w:r>
      <w:bookmarkEnd w:id="45"/>
    </w:p>
    <w:p>
      <w:pPr>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drawing>
          <wp:inline distT="0" distB="0" distL="0" distR="0">
            <wp:extent cx="4679950" cy="2914015"/>
            <wp:effectExtent l="0" t="0" r="6350" b="635"/>
            <wp:docPr id="1" name="图片 1" descr="伊犁哈萨克自治州特克斯县喀拉达拉镇哈因德禁牧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伊犁哈萨克自治州特克斯县喀拉达拉镇哈因德禁牧区"/>
                    <pic:cNvPicPr>
                      <a:picLocks noChangeAspect="1" noChangeArrowheads="1"/>
                    </pic:cNvPicPr>
                  </pic:nvPicPr>
                  <pic:blipFill>
                    <a:blip r:embed="rId8" cstate="print"/>
                    <a:srcRect/>
                    <a:stretch>
                      <a:fillRect/>
                    </a:stretch>
                  </pic:blipFill>
                  <pic:spPr>
                    <a:xfrm>
                      <a:off x="0" y="0"/>
                      <a:ext cx="4679950" cy="2914015"/>
                    </a:xfrm>
                    <a:prstGeom prst="rect">
                      <a:avLst/>
                    </a:prstGeom>
                    <a:noFill/>
                    <a:ln w="9525">
                      <a:noFill/>
                      <a:miter lim="800000"/>
                      <a:headEnd/>
                      <a:tailEnd/>
                    </a:ln>
                    <a:effectLst/>
                  </pic:spPr>
                </pic:pic>
              </a:graphicData>
            </a:graphic>
          </wp:inline>
        </w:drawing>
      </w:r>
    </w:p>
    <w:p>
      <w:pPr>
        <w:jc w:val="center"/>
        <w:rPr>
          <w:rFonts w:hint="eastAsia" w:eastAsia="仿宋" w:cs="Times New Roman"/>
          <w:b/>
          <w:color w:val="auto"/>
          <w:sz w:val="32"/>
          <w:szCs w:val="32"/>
          <w:highlight w:val="none"/>
          <w:lang w:eastAsia="zh-CN"/>
        </w:rPr>
      </w:pPr>
      <w:bookmarkStart w:id="46" w:name="_Toc24302_WPSOffice_Level1"/>
    </w:p>
    <w:p>
      <w:pPr>
        <w:jc w:val="center"/>
        <w:rPr>
          <w:rFonts w:hint="eastAsia" w:eastAsia="仿宋" w:cs="Times New Roman"/>
          <w:b/>
          <w:color w:val="auto"/>
          <w:sz w:val="32"/>
          <w:szCs w:val="32"/>
          <w:highlight w:val="none"/>
          <w:lang w:eastAsia="zh-CN"/>
        </w:rPr>
      </w:pPr>
      <w:r>
        <w:rPr>
          <w:rFonts w:hint="default" w:ascii="Times New Roman" w:hAnsi="Times New Roman" w:eastAsia="仿宋" w:cs="Times New Roman"/>
          <w:b/>
          <w:color w:val="auto"/>
          <w:sz w:val="32"/>
          <w:szCs w:val="32"/>
          <w:highlight w:val="none"/>
        </w:rPr>
        <w:drawing>
          <wp:anchor distT="0" distB="0" distL="114300" distR="114300" simplePos="0" relativeHeight="251661312" behindDoc="0" locked="0" layoutInCell="1" allowOverlap="1">
            <wp:simplePos x="0" y="0"/>
            <wp:positionH relativeFrom="column">
              <wp:posOffset>309880</wp:posOffset>
            </wp:positionH>
            <wp:positionV relativeFrom="paragraph">
              <wp:posOffset>893445</wp:posOffset>
            </wp:positionV>
            <wp:extent cx="4787265" cy="3108325"/>
            <wp:effectExtent l="0" t="0" r="13335" b="15875"/>
            <wp:wrapTopAndBottom/>
            <wp:docPr id="4" name="图片 1" descr="H:\喀拉峻禁牧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H:\喀拉峻禁牧区.png"/>
                    <pic:cNvPicPr>
                      <a:picLocks noChangeAspect="1" noChangeArrowheads="1"/>
                    </pic:cNvPicPr>
                  </pic:nvPicPr>
                  <pic:blipFill>
                    <a:blip r:embed="rId9" cstate="print"/>
                    <a:srcRect/>
                    <a:stretch>
                      <a:fillRect/>
                    </a:stretch>
                  </pic:blipFill>
                  <pic:spPr>
                    <a:xfrm>
                      <a:off x="0" y="0"/>
                      <a:ext cx="4787265" cy="3108325"/>
                    </a:xfrm>
                    <a:prstGeom prst="rect">
                      <a:avLst/>
                    </a:prstGeom>
                    <a:noFill/>
                    <a:ln w="9525">
                      <a:noFill/>
                      <a:miter lim="800000"/>
                      <a:headEnd/>
                      <a:tailEnd/>
                    </a:ln>
                  </pic:spPr>
                </pic:pic>
              </a:graphicData>
            </a:graphic>
          </wp:anchor>
        </w:drawing>
      </w:r>
      <w:r>
        <w:rPr>
          <w:rFonts w:hint="eastAsia" w:eastAsia="仿宋" w:cs="Times New Roman"/>
          <w:b/>
          <w:color w:val="auto"/>
          <w:sz w:val="32"/>
          <w:szCs w:val="32"/>
          <w:highlight w:val="none"/>
          <w:lang w:eastAsia="zh-CN"/>
        </w:rPr>
        <w:t>图二</w:t>
      </w:r>
      <w:r>
        <w:rPr>
          <w:rFonts w:hint="eastAsia" w:eastAsia="仿宋" w:cs="Times New Roman"/>
          <w:b/>
          <w:color w:val="auto"/>
          <w:sz w:val="32"/>
          <w:szCs w:val="32"/>
          <w:highlight w:val="none"/>
          <w:lang w:val="en-US" w:eastAsia="zh-CN"/>
        </w:rPr>
        <w:t xml:space="preserve">  </w:t>
      </w:r>
      <w:r>
        <w:rPr>
          <w:rFonts w:hint="default" w:ascii="Times New Roman" w:hAnsi="Times New Roman" w:eastAsia="仿宋" w:cs="Times New Roman"/>
          <w:b/>
          <w:color w:val="auto"/>
          <w:sz w:val="32"/>
          <w:szCs w:val="32"/>
          <w:highlight w:val="none"/>
        </w:rPr>
        <w:t>喀拉峻禁牧区示意图</w:t>
      </w:r>
      <w:bookmarkEnd w:id="46"/>
    </w:p>
    <w:p>
      <w:pPr>
        <w:rPr>
          <w:rFonts w:hint="eastAsia" w:eastAsia="仿宋" w:cs="Times New Roman"/>
          <w:b/>
          <w:color w:val="auto"/>
          <w:sz w:val="32"/>
          <w:szCs w:val="32"/>
          <w:highlight w:val="none"/>
          <w:lang w:eastAsia="zh-CN"/>
        </w:rPr>
      </w:pPr>
    </w:p>
    <w:p>
      <w:pPr>
        <w:jc w:val="center"/>
        <w:rPr>
          <w:rFonts w:hint="default" w:ascii="Times New Roman" w:hAnsi="Times New Roman" w:eastAsia="仿宋" w:cs="Times New Roman"/>
          <w:b/>
          <w:color w:val="auto"/>
          <w:sz w:val="32"/>
          <w:szCs w:val="32"/>
          <w:highlight w:val="none"/>
        </w:rPr>
      </w:pPr>
      <w:bookmarkStart w:id="47" w:name="_Toc5512_WPSOffice_Level1"/>
      <w:r>
        <w:rPr>
          <w:rFonts w:hint="eastAsia" w:eastAsia="仿宋" w:cs="Times New Roman"/>
          <w:b/>
          <w:color w:val="auto"/>
          <w:sz w:val="32"/>
          <w:szCs w:val="32"/>
          <w:highlight w:val="none"/>
          <w:lang w:eastAsia="zh-CN"/>
        </w:rPr>
        <w:t>图三</w:t>
      </w:r>
      <w:r>
        <w:rPr>
          <w:rFonts w:hint="eastAsia" w:eastAsia="仿宋" w:cs="Times New Roman"/>
          <w:b/>
          <w:color w:val="auto"/>
          <w:sz w:val="32"/>
          <w:szCs w:val="32"/>
          <w:highlight w:val="none"/>
          <w:lang w:val="en-US" w:eastAsia="zh-CN"/>
        </w:rPr>
        <w:t xml:space="preserve">  </w:t>
      </w:r>
      <w:r>
        <w:rPr>
          <w:rFonts w:hint="default" w:ascii="Times New Roman" w:hAnsi="Times New Roman" w:eastAsia="仿宋" w:cs="Times New Roman"/>
          <w:b/>
          <w:color w:val="auto"/>
          <w:sz w:val="32"/>
          <w:szCs w:val="32"/>
          <w:highlight w:val="none"/>
        </w:rPr>
        <w:t>阿腾套禁牧区示意图</w:t>
      </w:r>
      <w:bookmarkEnd w:id="47"/>
    </w:p>
    <w:p>
      <w:pPr>
        <w:jc w:val="center"/>
        <w:rPr>
          <w:rFonts w:hint="default" w:ascii="Times New Roman" w:hAnsi="Times New Roman" w:eastAsia="仿宋" w:cs="Times New Roman"/>
          <w:b/>
          <w:color w:val="auto"/>
          <w:sz w:val="32"/>
          <w:szCs w:val="32"/>
          <w:highlight w:val="none"/>
        </w:rPr>
      </w:pPr>
      <w:r>
        <w:rPr>
          <w:rFonts w:hint="default" w:ascii="Times New Roman" w:hAnsi="Times New Roman" w:eastAsia="仿宋" w:cs="Times New Roman"/>
          <w:b/>
          <w:color w:val="auto"/>
          <w:sz w:val="32"/>
          <w:szCs w:val="32"/>
          <w:highlight w:val="none"/>
        </w:rPr>
        <w:drawing>
          <wp:inline distT="0" distB="0" distL="0" distR="0">
            <wp:extent cx="4679950" cy="3237865"/>
            <wp:effectExtent l="0" t="0" r="6350" b="635"/>
            <wp:docPr id="3" name="图片 3" descr="伊犁哈萨克自治州特克斯县阿腾套禁牧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伊犁哈萨克自治州特克斯县阿腾套禁牧区"/>
                    <pic:cNvPicPr>
                      <a:picLocks noChangeAspect="1" noChangeArrowheads="1"/>
                    </pic:cNvPicPr>
                  </pic:nvPicPr>
                  <pic:blipFill>
                    <a:blip r:embed="rId10" cstate="print"/>
                    <a:srcRect/>
                    <a:stretch>
                      <a:fillRect/>
                    </a:stretch>
                  </pic:blipFill>
                  <pic:spPr>
                    <a:xfrm>
                      <a:off x="0" y="0"/>
                      <a:ext cx="4679950" cy="3237865"/>
                    </a:xfrm>
                    <a:prstGeom prst="rect">
                      <a:avLst/>
                    </a:prstGeom>
                    <a:noFill/>
                    <a:ln w="9525">
                      <a:noFill/>
                      <a:miter lim="800000"/>
                      <a:headEnd/>
                      <a:tailEnd/>
                    </a:ln>
                    <a:effectLst/>
                  </pic:spPr>
                </pic:pic>
              </a:graphicData>
            </a:graphic>
          </wp:inline>
        </w:drawing>
      </w:r>
    </w:p>
    <w:p>
      <w:pPr>
        <w:ind w:left="0" w:leftChars="0" w:firstLine="0" w:firstLineChars="0"/>
        <w:jc w:val="both"/>
        <w:rPr>
          <w:rFonts w:hint="default" w:ascii="Times New Roman" w:hAnsi="Times New Roman" w:eastAsia="仿宋" w:cs="Times New Roman"/>
          <w:b/>
          <w:color w:val="auto"/>
          <w:sz w:val="32"/>
          <w:szCs w:val="32"/>
          <w:highlight w:val="none"/>
        </w:rPr>
      </w:pPr>
    </w:p>
    <w:p>
      <w:pPr>
        <w:ind w:left="0" w:leftChars="0" w:firstLine="0" w:firstLineChars="0"/>
        <w:jc w:val="center"/>
        <w:rPr>
          <w:rFonts w:hint="default" w:ascii="Times New Roman" w:hAnsi="Times New Roman" w:eastAsia="仿宋" w:cs="Times New Roman"/>
          <w:b/>
          <w:bCs/>
          <w:color w:val="auto"/>
          <w:sz w:val="32"/>
          <w:szCs w:val="32"/>
          <w:highlight w:val="none"/>
        </w:rPr>
      </w:pPr>
      <w:bookmarkStart w:id="48" w:name="_Toc18597_WPSOffice_Level1"/>
      <w:r>
        <w:rPr>
          <w:rFonts w:hint="eastAsia" w:eastAsia="仿宋" w:cs="Times New Roman"/>
          <w:b/>
          <w:bCs/>
          <w:color w:val="auto"/>
          <w:sz w:val="32"/>
          <w:szCs w:val="32"/>
          <w:highlight w:val="none"/>
          <w:lang w:eastAsia="zh-CN"/>
        </w:rPr>
        <w:t>图四</w:t>
      </w:r>
      <w:r>
        <w:rPr>
          <w:rFonts w:hint="eastAsia" w:eastAsia="仿宋" w:cs="Times New Roman"/>
          <w:b/>
          <w:bCs/>
          <w:color w:val="auto"/>
          <w:sz w:val="32"/>
          <w:szCs w:val="32"/>
          <w:highlight w:val="none"/>
          <w:lang w:val="en-US" w:eastAsia="zh-CN"/>
        </w:rPr>
        <w:t xml:space="preserve">  </w:t>
      </w:r>
      <w:r>
        <w:rPr>
          <w:rFonts w:hint="default" w:ascii="Times New Roman" w:hAnsi="Times New Roman" w:eastAsia="仿宋" w:cs="Times New Roman"/>
          <w:b/>
          <w:bCs/>
          <w:color w:val="auto"/>
          <w:sz w:val="32"/>
          <w:szCs w:val="32"/>
          <w:highlight w:val="none"/>
        </w:rPr>
        <w:t>乔拉克铁热克镇克孜勒阔拉村人体草原禁牧区</w:t>
      </w:r>
      <w:bookmarkEnd w:id="48"/>
    </w:p>
    <w:p>
      <w:pPr>
        <w:ind w:left="0" w:leftChars="0" w:firstLine="0" w:firstLineChars="0"/>
        <w:jc w:val="center"/>
        <w:rPr>
          <w:rFonts w:hint="default" w:ascii="Times New Roman" w:hAnsi="Times New Roman" w:eastAsia="仿宋" w:cs="Times New Roman"/>
          <w:color w:val="auto"/>
          <w:sz w:val="32"/>
          <w:szCs w:val="32"/>
          <w:highlight w:val="none"/>
        </w:rPr>
      </w:pPr>
      <w:bookmarkStart w:id="49" w:name="_Toc20480_WPSOffice_Level1"/>
      <w:r>
        <w:rPr>
          <w:rFonts w:hint="default" w:ascii="Times New Roman" w:hAnsi="Times New Roman" w:eastAsia="仿宋" w:cs="Times New Roman"/>
          <w:b/>
          <w:bCs/>
          <w:color w:val="auto"/>
          <w:sz w:val="32"/>
          <w:szCs w:val="32"/>
          <w:highlight w:val="none"/>
        </w:rPr>
        <w:t>示意图</w:t>
      </w:r>
      <w:bookmarkEnd w:id="49"/>
    </w:p>
    <w:p>
      <w:pPr>
        <w:spacing w:line="240" w:lineRule="auto"/>
        <w:ind w:firstLine="640"/>
        <w:jc w:val="center"/>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lang w:eastAsia="zh-CN"/>
        </w:rPr>
        <w:drawing>
          <wp:inline distT="0" distB="0" distL="114300" distR="114300">
            <wp:extent cx="4679950" cy="3255645"/>
            <wp:effectExtent l="0" t="0" r="6350" b="1905"/>
            <wp:docPr id="5" name="图片 5" descr="1631372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1372721(1)"/>
                    <pic:cNvPicPr>
                      <a:picLocks noChangeAspect="1"/>
                    </pic:cNvPicPr>
                  </pic:nvPicPr>
                  <pic:blipFill>
                    <a:blip r:embed="rId11"/>
                    <a:stretch>
                      <a:fillRect/>
                    </a:stretch>
                  </pic:blipFill>
                  <pic:spPr>
                    <a:xfrm>
                      <a:off x="0" y="0"/>
                      <a:ext cx="4679950" cy="3255645"/>
                    </a:xfrm>
                    <a:prstGeom prst="rect">
                      <a:avLst/>
                    </a:prstGeom>
                  </pic:spPr>
                </pic:pic>
              </a:graphicData>
            </a:graphic>
          </wp:inline>
        </w:drawing>
      </w:r>
    </w:p>
    <w:p>
      <w:pPr>
        <w:pStyle w:val="2"/>
        <w:rPr>
          <w:rFonts w:hint="default"/>
          <w:lang w:eastAsia="zh-CN"/>
        </w:rPr>
        <w:sectPr>
          <w:headerReference r:id="rId5" w:type="default"/>
          <w:footerReference r:id="rId6" w:type="default"/>
          <w:pgSz w:w="11906" w:h="16838"/>
          <w:pgMar w:top="1440" w:right="1800" w:bottom="1440" w:left="1800" w:header="851" w:footer="992" w:gutter="0"/>
          <w:pgNumType w:fmt="numberInDash" w:start="4"/>
          <w:cols w:space="425" w:num="1"/>
          <w:docGrid w:type="lines" w:linePitch="312" w:charSpace="0"/>
        </w:sectPr>
      </w:pPr>
    </w:p>
    <w:p>
      <w:pPr>
        <w:pStyle w:val="2"/>
        <w:ind w:left="-320" w:leftChars="-100" w:firstLine="320" w:firstLineChars="100"/>
        <w:rPr>
          <w:rFonts w:hint="default"/>
          <w:color w:val="auto"/>
          <w:highlight w:val="none"/>
          <w:lang w:eastAsia="zh-CN"/>
        </w:rPr>
      </w:pPr>
      <w:r>
        <w:drawing>
          <wp:inline distT="0" distB="0" distL="114300" distR="114300">
            <wp:extent cx="8451850" cy="5054600"/>
            <wp:effectExtent l="0" t="0" r="6350" b="1270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8451850" cy="5054600"/>
                    </a:xfrm>
                    <a:prstGeom prst="rect">
                      <a:avLst/>
                    </a:prstGeom>
                    <a:noFill/>
                    <a:ln>
                      <a:noFill/>
                    </a:ln>
                  </pic:spPr>
                </pic:pic>
              </a:graphicData>
            </a:graphic>
          </wp:inline>
        </w:drawing>
      </w:r>
      <w:bookmarkStart w:id="50" w:name="_GoBack"/>
      <w:bookmarkEnd w:id="50"/>
    </w:p>
    <w:sectPr>
      <w:pgSz w:w="16838" w:h="11906" w:orient="landscape"/>
      <w:pgMar w:top="1800" w:right="1440" w:bottom="1800" w:left="208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方正仿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仿宋_GB2312"/>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仿宋_GB2312"/>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- 4 -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- 4 -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3YjA4YTgyNzgyYjE5Y2VlMmUwYjI4MzdhZWIwNTQifQ=="/>
  </w:docVars>
  <w:rsids>
    <w:rsidRoot w:val="2D5B5DE3"/>
    <w:rsid w:val="002A6691"/>
    <w:rsid w:val="004C7302"/>
    <w:rsid w:val="01892CE8"/>
    <w:rsid w:val="029408E8"/>
    <w:rsid w:val="03064DD9"/>
    <w:rsid w:val="033A6AFF"/>
    <w:rsid w:val="039751FE"/>
    <w:rsid w:val="03C72CED"/>
    <w:rsid w:val="04E84898"/>
    <w:rsid w:val="06452FC0"/>
    <w:rsid w:val="06EB445B"/>
    <w:rsid w:val="07752BD0"/>
    <w:rsid w:val="083F52D6"/>
    <w:rsid w:val="0A3E6DFF"/>
    <w:rsid w:val="0BBA4FFF"/>
    <w:rsid w:val="0BE00F06"/>
    <w:rsid w:val="0C117BA0"/>
    <w:rsid w:val="0D2E3E26"/>
    <w:rsid w:val="0D550A6A"/>
    <w:rsid w:val="0EB715A1"/>
    <w:rsid w:val="0EE77A81"/>
    <w:rsid w:val="0FF0433C"/>
    <w:rsid w:val="106A4D20"/>
    <w:rsid w:val="10C8773E"/>
    <w:rsid w:val="113176BA"/>
    <w:rsid w:val="11666119"/>
    <w:rsid w:val="11810D3D"/>
    <w:rsid w:val="11835F63"/>
    <w:rsid w:val="127E3DE4"/>
    <w:rsid w:val="130C07C6"/>
    <w:rsid w:val="136906E4"/>
    <w:rsid w:val="14424818"/>
    <w:rsid w:val="14B0757C"/>
    <w:rsid w:val="14B43D7B"/>
    <w:rsid w:val="1537655C"/>
    <w:rsid w:val="15D364B8"/>
    <w:rsid w:val="165D633E"/>
    <w:rsid w:val="16856F7A"/>
    <w:rsid w:val="16880531"/>
    <w:rsid w:val="16A53F46"/>
    <w:rsid w:val="17376E0E"/>
    <w:rsid w:val="17600C36"/>
    <w:rsid w:val="17941D0A"/>
    <w:rsid w:val="188619C8"/>
    <w:rsid w:val="1913386C"/>
    <w:rsid w:val="192F6809"/>
    <w:rsid w:val="1A104831"/>
    <w:rsid w:val="1AB23A71"/>
    <w:rsid w:val="1AE3218A"/>
    <w:rsid w:val="1B5E09FD"/>
    <w:rsid w:val="1BBC6FD4"/>
    <w:rsid w:val="1C12067E"/>
    <w:rsid w:val="1CA2053E"/>
    <w:rsid w:val="1CDD552E"/>
    <w:rsid w:val="1D517BBF"/>
    <w:rsid w:val="1D703287"/>
    <w:rsid w:val="1E162272"/>
    <w:rsid w:val="1E765A03"/>
    <w:rsid w:val="1EA303E1"/>
    <w:rsid w:val="1EA9574C"/>
    <w:rsid w:val="1FB22A78"/>
    <w:rsid w:val="21027A15"/>
    <w:rsid w:val="210641D3"/>
    <w:rsid w:val="215740AA"/>
    <w:rsid w:val="22254113"/>
    <w:rsid w:val="22A91418"/>
    <w:rsid w:val="22E12C08"/>
    <w:rsid w:val="23DC2A67"/>
    <w:rsid w:val="23E70772"/>
    <w:rsid w:val="263E20EC"/>
    <w:rsid w:val="26B61111"/>
    <w:rsid w:val="26FE0E27"/>
    <w:rsid w:val="2707563B"/>
    <w:rsid w:val="280306BA"/>
    <w:rsid w:val="286C0F25"/>
    <w:rsid w:val="28B96084"/>
    <w:rsid w:val="28D351E4"/>
    <w:rsid w:val="2A3018D0"/>
    <w:rsid w:val="2A6278C3"/>
    <w:rsid w:val="2B2C70CA"/>
    <w:rsid w:val="2B364BF8"/>
    <w:rsid w:val="2B98770C"/>
    <w:rsid w:val="2D2407AD"/>
    <w:rsid w:val="2D5B5DE3"/>
    <w:rsid w:val="2DBB2506"/>
    <w:rsid w:val="2E372043"/>
    <w:rsid w:val="2F6E4EF1"/>
    <w:rsid w:val="2FB40F84"/>
    <w:rsid w:val="30106FD4"/>
    <w:rsid w:val="304C66E9"/>
    <w:rsid w:val="30B431A4"/>
    <w:rsid w:val="30F342E0"/>
    <w:rsid w:val="31B11A92"/>
    <w:rsid w:val="31B47F6E"/>
    <w:rsid w:val="31DE2F46"/>
    <w:rsid w:val="324C54C0"/>
    <w:rsid w:val="33C10F41"/>
    <w:rsid w:val="34755920"/>
    <w:rsid w:val="35DF218F"/>
    <w:rsid w:val="360511FE"/>
    <w:rsid w:val="36FE12EB"/>
    <w:rsid w:val="37067FAD"/>
    <w:rsid w:val="37C26453"/>
    <w:rsid w:val="38431D54"/>
    <w:rsid w:val="385F1DE2"/>
    <w:rsid w:val="386E6410"/>
    <w:rsid w:val="38D5662D"/>
    <w:rsid w:val="39145E2F"/>
    <w:rsid w:val="394C5257"/>
    <w:rsid w:val="395D0BCF"/>
    <w:rsid w:val="3A674FFD"/>
    <w:rsid w:val="3A6F46D4"/>
    <w:rsid w:val="3AC3348D"/>
    <w:rsid w:val="3B276D3E"/>
    <w:rsid w:val="3B7F2323"/>
    <w:rsid w:val="3B8C4528"/>
    <w:rsid w:val="3BF26F72"/>
    <w:rsid w:val="3C7C2980"/>
    <w:rsid w:val="3C962EE4"/>
    <w:rsid w:val="3C9E4FB8"/>
    <w:rsid w:val="3DD62DB3"/>
    <w:rsid w:val="3F0F2078"/>
    <w:rsid w:val="401E7040"/>
    <w:rsid w:val="409F786E"/>
    <w:rsid w:val="4117551E"/>
    <w:rsid w:val="42BC3C43"/>
    <w:rsid w:val="42EA1D3D"/>
    <w:rsid w:val="43522A84"/>
    <w:rsid w:val="43F42615"/>
    <w:rsid w:val="441C5FC4"/>
    <w:rsid w:val="447827F6"/>
    <w:rsid w:val="450723F7"/>
    <w:rsid w:val="45334AF3"/>
    <w:rsid w:val="466653D0"/>
    <w:rsid w:val="47050061"/>
    <w:rsid w:val="47AA6F68"/>
    <w:rsid w:val="47BB7BA9"/>
    <w:rsid w:val="48856439"/>
    <w:rsid w:val="4899304F"/>
    <w:rsid w:val="492156FC"/>
    <w:rsid w:val="4970356F"/>
    <w:rsid w:val="49B8795C"/>
    <w:rsid w:val="4A0D3992"/>
    <w:rsid w:val="4A846BFC"/>
    <w:rsid w:val="4B9D55E2"/>
    <w:rsid w:val="4BE722FE"/>
    <w:rsid w:val="4CAC5D2B"/>
    <w:rsid w:val="4CCA35C5"/>
    <w:rsid w:val="4D2A0100"/>
    <w:rsid w:val="4D876CDC"/>
    <w:rsid w:val="4DE57788"/>
    <w:rsid w:val="4E2E65D0"/>
    <w:rsid w:val="4E817A86"/>
    <w:rsid w:val="4EB36DE8"/>
    <w:rsid w:val="4F6C0316"/>
    <w:rsid w:val="4F9E3537"/>
    <w:rsid w:val="501E5146"/>
    <w:rsid w:val="503D4658"/>
    <w:rsid w:val="50526C25"/>
    <w:rsid w:val="50D625A9"/>
    <w:rsid w:val="5246418B"/>
    <w:rsid w:val="527E5076"/>
    <w:rsid w:val="541C332C"/>
    <w:rsid w:val="54795AA8"/>
    <w:rsid w:val="5576004A"/>
    <w:rsid w:val="55D079FE"/>
    <w:rsid w:val="55ED4EF0"/>
    <w:rsid w:val="565A7A1D"/>
    <w:rsid w:val="57C80895"/>
    <w:rsid w:val="57E12B83"/>
    <w:rsid w:val="588F54CE"/>
    <w:rsid w:val="58A473C3"/>
    <w:rsid w:val="58AE03E1"/>
    <w:rsid w:val="58DD6C0A"/>
    <w:rsid w:val="5915557B"/>
    <w:rsid w:val="59163B78"/>
    <w:rsid w:val="593347CB"/>
    <w:rsid w:val="59553FA3"/>
    <w:rsid w:val="5A376F91"/>
    <w:rsid w:val="5A44347C"/>
    <w:rsid w:val="5BE16952"/>
    <w:rsid w:val="5C133708"/>
    <w:rsid w:val="5E757F4B"/>
    <w:rsid w:val="5EB12088"/>
    <w:rsid w:val="5FB37FC3"/>
    <w:rsid w:val="60870FCF"/>
    <w:rsid w:val="60DC2F78"/>
    <w:rsid w:val="61286032"/>
    <w:rsid w:val="620A0067"/>
    <w:rsid w:val="6238783E"/>
    <w:rsid w:val="63C12F09"/>
    <w:rsid w:val="63C766CD"/>
    <w:rsid w:val="63E92540"/>
    <w:rsid w:val="6455410C"/>
    <w:rsid w:val="645C454C"/>
    <w:rsid w:val="652854A4"/>
    <w:rsid w:val="65356375"/>
    <w:rsid w:val="65A257BE"/>
    <w:rsid w:val="65C24778"/>
    <w:rsid w:val="661A05F6"/>
    <w:rsid w:val="66452228"/>
    <w:rsid w:val="666F1367"/>
    <w:rsid w:val="66A82C20"/>
    <w:rsid w:val="678512FA"/>
    <w:rsid w:val="683974C9"/>
    <w:rsid w:val="686222D2"/>
    <w:rsid w:val="68AC0E55"/>
    <w:rsid w:val="68DC0AAA"/>
    <w:rsid w:val="691C54AC"/>
    <w:rsid w:val="69B22048"/>
    <w:rsid w:val="69F97D51"/>
    <w:rsid w:val="6A391E58"/>
    <w:rsid w:val="6A6A1353"/>
    <w:rsid w:val="6A997B78"/>
    <w:rsid w:val="6B8D3435"/>
    <w:rsid w:val="6B9C17E1"/>
    <w:rsid w:val="6C026111"/>
    <w:rsid w:val="6C350034"/>
    <w:rsid w:val="6CD70030"/>
    <w:rsid w:val="6D3625D3"/>
    <w:rsid w:val="6E102403"/>
    <w:rsid w:val="6ECB267D"/>
    <w:rsid w:val="6F616AAF"/>
    <w:rsid w:val="6F973E6D"/>
    <w:rsid w:val="70204FE7"/>
    <w:rsid w:val="704C2E26"/>
    <w:rsid w:val="70856A70"/>
    <w:rsid w:val="72247BD2"/>
    <w:rsid w:val="727D0087"/>
    <w:rsid w:val="72B741A0"/>
    <w:rsid w:val="73914F5A"/>
    <w:rsid w:val="73AC7790"/>
    <w:rsid w:val="73BF38A4"/>
    <w:rsid w:val="74070D55"/>
    <w:rsid w:val="74755C3C"/>
    <w:rsid w:val="747F769C"/>
    <w:rsid w:val="74A45266"/>
    <w:rsid w:val="759F67B2"/>
    <w:rsid w:val="760E269D"/>
    <w:rsid w:val="76A530DD"/>
    <w:rsid w:val="7746751B"/>
    <w:rsid w:val="787850B3"/>
    <w:rsid w:val="78F519CE"/>
    <w:rsid w:val="797B3B2B"/>
    <w:rsid w:val="7A206BDD"/>
    <w:rsid w:val="7AC02F05"/>
    <w:rsid w:val="7B7A1570"/>
    <w:rsid w:val="7BDB7A04"/>
    <w:rsid w:val="7C155482"/>
    <w:rsid w:val="7C784755"/>
    <w:rsid w:val="7CD82D86"/>
    <w:rsid w:val="7DAF56E9"/>
    <w:rsid w:val="7E5E0CB5"/>
    <w:rsid w:val="7ED9775E"/>
    <w:rsid w:val="7F0E4E88"/>
    <w:rsid w:val="7F6E2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200" w:firstLineChars="200"/>
      <w:jc w:val="both"/>
    </w:pPr>
    <w:rPr>
      <w:rFonts w:ascii="Times New Roman" w:hAnsi="Times New Roman" w:eastAsia="仿宋_GB2312" w:cs="Times New Roman"/>
      <w:kern w:val="2"/>
      <w:sz w:val="32"/>
      <w:szCs w:val="24"/>
      <w:lang w:val="en-US" w:eastAsia="zh-CN" w:bidi="ar-SA"/>
    </w:rPr>
  </w:style>
  <w:style w:type="paragraph" w:styleId="4">
    <w:name w:val="heading 1"/>
    <w:basedOn w:val="1"/>
    <w:next w:val="1"/>
    <w:qFormat/>
    <w:uiPriority w:val="0"/>
    <w:pPr>
      <w:keepNext/>
      <w:keepLines/>
      <w:widowControl/>
      <w:spacing w:before="240" w:after="240" w:line="578" w:lineRule="auto"/>
      <w:jc w:val="left"/>
      <w:outlineLvl w:val="0"/>
    </w:pPr>
    <w:rPr>
      <w:rFonts w:eastAsia="黑体"/>
      <w:b/>
      <w:bCs/>
      <w:kern w:val="44"/>
      <w:szCs w:val="44"/>
      <w:lang w:eastAsia="en-US" w:bidi="he-IL"/>
    </w:rPr>
  </w:style>
  <w:style w:type="paragraph" w:styleId="5">
    <w:name w:val="heading 2"/>
    <w:basedOn w:val="1"/>
    <w:next w:val="1"/>
    <w:link w:val="15"/>
    <w:qFormat/>
    <w:uiPriority w:val="0"/>
    <w:pPr>
      <w:keepNext/>
      <w:keepLines/>
      <w:spacing w:before="120" w:after="120" w:line="600" w:lineRule="exact"/>
      <w:outlineLvl w:val="1"/>
    </w:pPr>
    <w:rPr>
      <w:rFonts w:ascii="Arial" w:hAnsi="Arial" w:eastAsia="楷体_GB2312"/>
      <w:b/>
      <w:bCs/>
      <w:szCs w:val="32"/>
    </w:rPr>
  </w:style>
  <w:style w:type="character" w:default="1" w:styleId="10">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6">
    <w:name w:val="Body Text"/>
    <w:basedOn w:val="1"/>
    <w:qFormat/>
    <w:uiPriority w:val="0"/>
    <w:pPr>
      <w:spacing w:after="120" w:afterLines="0" w:afterAutospacing="0"/>
    </w:p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11">
    <w:name w:val="page number"/>
    <w:basedOn w:val="10"/>
    <w:qFormat/>
    <w:uiPriority w:val="0"/>
  </w:style>
  <w:style w:type="character" w:customStyle="1" w:styleId="12">
    <w:name w:val="font21"/>
    <w:qFormat/>
    <w:uiPriority w:val="0"/>
    <w:rPr>
      <w:rFonts w:hint="default" w:ascii="仿宋" w:hAnsi="仿宋" w:eastAsia="仿宋" w:cs="仿宋"/>
      <w:b/>
      <w:color w:val="000000"/>
      <w:sz w:val="20"/>
      <w:szCs w:val="20"/>
      <w:u w:val="none"/>
    </w:rPr>
  </w:style>
  <w:style w:type="paragraph" w:customStyle="1" w:styleId="13">
    <w:name w:val="WPSOffice手动目录 1"/>
    <w:qFormat/>
    <w:uiPriority w:val="0"/>
    <w:rPr>
      <w:rFonts w:ascii="Times New Roman" w:hAnsi="Times New Roman" w:eastAsia="宋体" w:cs="Times New Roman"/>
      <w:lang w:val="en-US" w:eastAsia="zh-CN" w:bidi="ar-SA"/>
    </w:rPr>
  </w:style>
  <w:style w:type="paragraph" w:customStyle="1" w:styleId="14">
    <w:name w:val="WPSOffice手动目录 2"/>
    <w:qFormat/>
    <w:uiPriority w:val="0"/>
    <w:pPr>
      <w:ind w:leftChars="200"/>
    </w:pPr>
    <w:rPr>
      <w:rFonts w:ascii="Times New Roman" w:hAnsi="Times New Roman" w:eastAsia="宋体" w:cs="Times New Roman"/>
      <w:lang w:val="en-US" w:eastAsia="zh-CN" w:bidi="ar-SA"/>
    </w:rPr>
  </w:style>
  <w:style w:type="character" w:customStyle="1" w:styleId="15">
    <w:name w:val="标题 2 Char"/>
    <w:basedOn w:val="10"/>
    <w:link w:val="5"/>
    <w:qFormat/>
    <w:uiPriority w:val="9"/>
    <w:rPr>
      <w:rFonts w:ascii="Arial" w:hAnsi="Arial" w:eastAsia="楷体_GB2312"/>
      <w:b/>
      <w:bCs/>
      <w:szCs w:val="32"/>
    </w:rPr>
  </w:style>
  <w:style w:type="paragraph" w:customStyle="1" w:styleId="16">
    <w:name w:val="Default"/>
    <w:next w:val="1"/>
    <w:qFormat/>
    <w:uiPriority w:val="0"/>
    <w:pPr>
      <w:widowControl w:val="0"/>
      <w:autoSpaceDE w:val="0"/>
      <w:autoSpaceDN w:val="0"/>
      <w:adjustRightInd w:val="0"/>
    </w:pPr>
    <w:rPr>
      <w:rFonts w:ascii="隶书" w:hAnsi="Calibri" w:eastAsia="隶书" w:cs="隶书"/>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glossaryDocument" Target="glossary/document.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4830e07-e127-4982-be17-312c1be1f351}"/>
        <w:style w:val=""/>
        <w:category>
          <w:name w:val="常规"/>
          <w:gallery w:val="placeholder"/>
        </w:category>
        <w:types>
          <w:type w:val="bbPlcHdr"/>
        </w:types>
        <w:behaviors>
          <w:behavior w:val="content"/>
        </w:behaviors>
        <w:description w:val=""/>
        <w:guid w:val="{14830e07-e127-4982-be17-312c1be1f351}"/>
      </w:docPartPr>
      <w:docPartBody>
        <w:p>
          <w:r>
            <w:rPr>
              <w:color w:val="808080"/>
            </w:rPr>
            <w:t>单击此处输入文字。</w:t>
          </w:r>
        </w:p>
      </w:docPartBody>
    </w:docPart>
    <w:docPart>
      <w:docPartPr>
        <w:name w:val="{6f7ed588-af67-48f2-b103-75c9b0b03d09}"/>
        <w:style w:val=""/>
        <w:category>
          <w:name w:val="常规"/>
          <w:gallery w:val="placeholder"/>
        </w:category>
        <w:types>
          <w:type w:val="bbPlcHdr"/>
        </w:types>
        <w:behaviors>
          <w:behavior w:val="content"/>
        </w:behaviors>
        <w:description w:val=""/>
        <w:guid w:val="{6f7ed588-af67-48f2-b103-75c9b0b03d09}"/>
      </w:docPartPr>
      <w:docPartBody>
        <w:p>
          <w:r>
            <w:rPr>
              <w:color w:val="808080"/>
            </w:rPr>
            <w:t>单击此处输入文字。</w:t>
          </w:r>
        </w:p>
      </w:docPartBody>
    </w:docPart>
    <w:docPart>
      <w:docPartPr>
        <w:name w:val="{c628a46e-63fd-434e-9c4c-f8d78b5f8f28}"/>
        <w:style w:val=""/>
        <w:category>
          <w:name w:val="常规"/>
          <w:gallery w:val="placeholder"/>
        </w:category>
        <w:types>
          <w:type w:val="bbPlcHdr"/>
        </w:types>
        <w:behaviors>
          <w:behavior w:val="content"/>
        </w:behaviors>
        <w:description w:val=""/>
        <w:guid w:val="{c628a46e-63fd-434e-9c4c-f8d78b5f8f28}"/>
      </w:docPartPr>
      <w:docPartBody>
        <w:p>
          <w:r>
            <w:rPr>
              <w:color w:val="808080"/>
            </w:rPr>
            <w:t>单击此处输入文字。</w:t>
          </w:r>
        </w:p>
      </w:docPartBody>
    </w:docPart>
    <w:docPart>
      <w:docPartPr>
        <w:name w:val="{e661ba1a-acaf-40b5-9122-81850ebb215c}"/>
        <w:style w:val=""/>
        <w:category>
          <w:name w:val="常规"/>
          <w:gallery w:val="placeholder"/>
        </w:category>
        <w:types>
          <w:type w:val="bbPlcHdr"/>
        </w:types>
        <w:behaviors>
          <w:behavior w:val="content"/>
        </w:behaviors>
        <w:description w:val=""/>
        <w:guid w:val="{e661ba1a-acaf-40b5-9122-81850ebb215c}"/>
      </w:docPartPr>
      <w:docPartBody>
        <w:p>
          <w:r>
            <w:rPr>
              <w:color w:val="808080"/>
            </w:rPr>
            <w:t>单击此处输入文字。</w:t>
          </w:r>
        </w:p>
      </w:docPartBody>
    </w:docPart>
    <w:docPart>
      <w:docPartPr>
        <w:name w:val="{88436cc7-3883-4c48-b89c-60b4d9c847e0}"/>
        <w:style w:val=""/>
        <w:category>
          <w:name w:val="常规"/>
          <w:gallery w:val="placeholder"/>
        </w:category>
        <w:types>
          <w:type w:val="bbPlcHdr"/>
        </w:types>
        <w:behaviors>
          <w:behavior w:val="content"/>
        </w:behaviors>
        <w:description w:val=""/>
        <w:guid w:val="{88436cc7-3883-4c48-b89c-60b4d9c847e0}"/>
      </w:docPartPr>
      <w:docPartBody>
        <w:p>
          <w:r>
            <w:rPr>
              <w:color w:val="808080"/>
            </w:rPr>
            <w:t>单击此处输入文字。</w:t>
          </w:r>
        </w:p>
      </w:docPartBody>
    </w:docPart>
    <w:docPart>
      <w:docPartPr>
        <w:name w:val="{939736d3-9838-4472-846e-5b43faacced4}"/>
        <w:style w:val=""/>
        <w:category>
          <w:name w:val="常规"/>
          <w:gallery w:val="placeholder"/>
        </w:category>
        <w:types>
          <w:type w:val="bbPlcHdr"/>
        </w:types>
        <w:behaviors>
          <w:behavior w:val="content"/>
        </w:behaviors>
        <w:description w:val=""/>
        <w:guid w:val="{939736d3-9838-4472-846e-5b43faacced4}"/>
      </w:docPartPr>
      <w:docPartBody>
        <w:p>
          <w:r>
            <w:rPr>
              <w:color w:val="808080"/>
            </w:rPr>
            <w:t>单击此处输入文字。</w:t>
          </w:r>
        </w:p>
      </w:docPartBody>
    </w:docPart>
    <w:docPart>
      <w:docPartPr>
        <w:name w:val="{632c0c90-4c38-49ca-a52d-3fe29bb9d2d6}"/>
        <w:style w:val=""/>
        <w:category>
          <w:name w:val="常规"/>
          <w:gallery w:val="placeholder"/>
        </w:category>
        <w:types>
          <w:type w:val="bbPlcHdr"/>
        </w:types>
        <w:behaviors>
          <w:behavior w:val="content"/>
        </w:behaviors>
        <w:description w:val=""/>
        <w:guid w:val="{632c0c90-4c38-49ca-a52d-3fe29bb9d2d6}"/>
      </w:docPartPr>
      <w:docPartBody>
        <w:p>
          <w:r>
            <w:rPr>
              <w:color w:val="808080"/>
            </w:rPr>
            <w:t>单击此处输入文字。</w:t>
          </w:r>
        </w:p>
      </w:docPartBody>
    </w:docPart>
    <w:docPart>
      <w:docPartPr>
        <w:name w:val="{78443cad-c007-4b62-9784-960174ce9025}"/>
        <w:style w:val=""/>
        <w:category>
          <w:name w:val="常规"/>
          <w:gallery w:val="placeholder"/>
        </w:category>
        <w:types>
          <w:type w:val="bbPlcHdr"/>
        </w:types>
        <w:behaviors>
          <w:behavior w:val="content"/>
        </w:behaviors>
        <w:description w:val=""/>
        <w:guid w:val="{78443cad-c007-4b62-9784-960174ce9025}"/>
      </w:docPartPr>
      <w:docPartBody>
        <w:p>
          <w:r>
            <w:rPr>
              <w:color w:val="808080"/>
            </w:rPr>
            <w:t>单击此处输入文字。</w:t>
          </w:r>
        </w:p>
      </w:docPartBody>
    </w:docPart>
    <w:docPart>
      <w:docPartPr>
        <w:name w:val="{7e11425e-d95b-44e3-b128-011063c86e8f}"/>
        <w:style w:val=""/>
        <w:category>
          <w:name w:val="常规"/>
          <w:gallery w:val="placeholder"/>
        </w:category>
        <w:types>
          <w:type w:val="bbPlcHdr"/>
        </w:types>
        <w:behaviors>
          <w:behavior w:val="content"/>
        </w:behaviors>
        <w:description w:val=""/>
        <w:guid w:val="{7e11425e-d95b-44e3-b128-011063c86e8f}"/>
      </w:docPartPr>
      <w:docPartBody>
        <w:p>
          <w:r>
            <w:rPr>
              <w:color w:val="808080"/>
            </w:rPr>
            <w:t>单击此处输入文字。</w:t>
          </w:r>
        </w:p>
      </w:docPartBody>
    </w:docPart>
    <w:docPart>
      <w:docPartPr>
        <w:name w:val="{cafa8b3f-2a60-4245-91cd-efbc7f0b8425}"/>
        <w:style w:val=""/>
        <w:category>
          <w:name w:val="常规"/>
          <w:gallery w:val="placeholder"/>
        </w:category>
        <w:types>
          <w:type w:val="bbPlcHdr"/>
        </w:types>
        <w:behaviors>
          <w:behavior w:val="content"/>
        </w:behaviors>
        <w:description w:val=""/>
        <w:guid w:val="{cafa8b3f-2a60-4245-91cd-efbc7f0b8425}"/>
      </w:docPartPr>
      <w:docPartBody>
        <w:p>
          <w:r>
            <w:rPr>
              <w:color w:val="808080"/>
            </w:rPr>
            <w:t>单击此处输入文字。</w:t>
          </w:r>
        </w:p>
      </w:docPartBody>
    </w:docPart>
    <w:docPart>
      <w:docPartPr>
        <w:name w:val="{ae74d8e1-6010-42ed-8e32-63dfe3af16d6}"/>
        <w:style w:val=""/>
        <w:category>
          <w:name w:val="常规"/>
          <w:gallery w:val="placeholder"/>
        </w:category>
        <w:types>
          <w:type w:val="bbPlcHdr"/>
        </w:types>
        <w:behaviors>
          <w:behavior w:val="content"/>
        </w:behaviors>
        <w:description w:val=""/>
        <w:guid w:val="{ae74d8e1-6010-42ed-8e32-63dfe3af16d6}"/>
      </w:docPartPr>
      <w:docPartBody>
        <w:p>
          <w:r>
            <w:rPr>
              <w:color w:val="808080"/>
            </w:rPr>
            <w:t>单击此处输入文字。</w:t>
          </w:r>
        </w:p>
      </w:docPartBody>
    </w:docPart>
    <w:docPart>
      <w:docPartPr>
        <w:name w:val="{81fe6ab6-9468-4e41-8cb0-ce0708125a1d}"/>
        <w:style w:val=""/>
        <w:category>
          <w:name w:val="常规"/>
          <w:gallery w:val="placeholder"/>
        </w:category>
        <w:types>
          <w:type w:val="bbPlcHdr"/>
        </w:types>
        <w:behaviors>
          <w:behavior w:val="content"/>
        </w:behaviors>
        <w:description w:val=""/>
        <w:guid w:val="{81fe6ab6-9468-4e41-8cb0-ce0708125a1d}"/>
      </w:docPartPr>
      <w:docPartBody>
        <w:p>
          <w:r>
            <w:rPr>
              <w:color w:val="808080"/>
            </w:rPr>
            <w:t>单击此处输入文字。</w:t>
          </w:r>
        </w:p>
      </w:docPartBody>
    </w:docPart>
    <w:docPart>
      <w:docPartPr>
        <w:name w:val="{f197d9d5-5213-4633-91c8-6fb8f0aa8603}"/>
        <w:style w:val=""/>
        <w:category>
          <w:name w:val="常规"/>
          <w:gallery w:val="placeholder"/>
        </w:category>
        <w:types>
          <w:type w:val="bbPlcHdr"/>
        </w:types>
        <w:behaviors>
          <w:behavior w:val="content"/>
        </w:behaviors>
        <w:description w:val=""/>
        <w:guid w:val="{f197d9d5-5213-4633-91c8-6fb8f0aa8603}"/>
      </w:docPartPr>
      <w:docPartBody>
        <w:p>
          <w:r>
            <w:rPr>
              <w:color w:val="808080"/>
            </w:rPr>
            <w:t>单击此处输入文字。</w:t>
          </w:r>
        </w:p>
      </w:docPartBody>
    </w:docPart>
    <w:docPart>
      <w:docPartPr>
        <w:name w:val="{22339228-2ef8-44be-9829-fbd9e91e4c7b}"/>
        <w:style w:val=""/>
        <w:category>
          <w:name w:val="常规"/>
          <w:gallery w:val="placeholder"/>
        </w:category>
        <w:types>
          <w:type w:val="bbPlcHdr"/>
        </w:types>
        <w:behaviors>
          <w:behavior w:val="content"/>
        </w:behaviors>
        <w:description w:val=""/>
        <w:guid w:val="{22339228-2ef8-44be-9829-fbd9e91e4c7b}"/>
      </w:docPartPr>
      <w:docPartBody>
        <w:p>
          <w:r>
            <w:rPr>
              <w:color w:val="808080"/>
            </w:rPr>
            <w:t>单击此处输入文字。</w:t>
          </w:r>
        </w:p>
      </w:docPartBody>
    </w:docPart>
    <w:docPart>
      <w:docPartPr>
        <w:name w:val="{6ed3f8df-0976-43f0-8966-414892c7da32}"/>
        <w:style w:val=""/>
        <w:category>
          <w:name w:val="常规"/>
          <w:gallery w:val="placeholder"/>
        </w:category>
        <w:types>
          <w:type w:val="bbPlcHdr"/>
        </w:types>
        <w:behaviors>
          <w:behavior w:val="content"/>
        </w:behaviors>
        <w:description w:val=""/>
        <w:guid w:val="{6ed3f8df-0976-43f0-8966-414892c7da32}"/>
      </w:docPartPr>
      <w:docPartBody>
        <w:p>
          <w:r>
            <w:rPr>
              <w:color w:val="808080"/>
            </w:rPr>
            <w:t>单击此处输入文字。</w:t>
          </w:r>
        </w:p>
      </w:docPartBody>
    </w:docPart>
    <w:docPart>
      <w:docPartPr>
        <w:name w:val="{145990f1-64e2-4dcf-8ebc-02bad4acd581}"/>
        <w:style w:val=""/>
        <w:category>
          <w:name w:val="常规"/>
          <w:gallery w:val="placeholder"/>
        </w:category>
        <w:types>
          <w:type w:val="bbPlcHdr"/>
        </w:types>
        <w:behaviors>
          <w:behavior w:val="content"/>
        </w:behaviors>
        <w:description w:val=""/>
        <w:guid w:val="{145990f1-64e2-4dcf-8ebc-02bad4acd581}"/>
      </w:docPartPr>
      <w:docPartBody>
        <w:p>
          <w:r>
            <w:rPr>
              <w:color w:val="808080"/>
            </w:rPr>
            <w:t>单击此处输入文字。</w:t>
          </w:r>
        </w:p>
      </w:docPartBody>
    </w:docPart>
    <w:docPart>
      <w:docPartPr>
        <w:name w:val="{c4fdb95f-4d70-4c90-92c6-295444a5cb3a}"/>
        <w:style w:val=""/>
        <w:category>
          <w:name w:val="常规"/>
          <w:gallery w:val="placeholder"/>
        </w:category>
        <w:types>
          <w:type w:val="bbPlcHdr"/>
        </w:types>
        <w:behaviors>
          <w:behavior w:val="content"/>
        </w:behaviors>
        <w:description w:val=""/>
        <w:guid w:val="{c4fdb95f-4d70-4c90-92c6-295444a5cb3a}"/>
      </w:docPartPr>
      <w:docPartBody>
        <w:p>
          <w:r>
            <w:rPr>
              <w:color w:val="808080"/>
            </w:rPr>
            <w:t>单击此处输入文字。</w:t>
          </w:r>
        </w:p>
      </w:docPartBody>
    </w:docPart>
    <w:docPart>
      <w:docPartPr>
        <w:name w:val="{ca8381b7-8eab-46a4-ac85-7a5b4c002443}"/>
        <w:style w:val=""/>
        <w:category>
          <w:name w:val="常规"/>
          <w:gallery w:val="placeholder"/>
        </w:category>
        <w:types>
          <w:type w:val="bbPlcHdr"/>
        </w:types>
        <w:behaviors>
          <w:behavior w:val="content"/>
        </w:behaviors>
        <w:description w:val=""/>
        <w:guid w:val="{ca8381b7-8eab-46a4-ac85-7a5b4c002443}"/>
      </w:docPartPr>
      <w:docPartBody>
        <w:p>
          <w:r>
            <w:rPr>
              <w:color w:val="808080"/>
            </w:rPr>
            <w:t>单击此处输入文字。</w:t>
          </w:r>
        </w:p>
      </w:docPartBody>
    </w:docPart>
    <w:docPart>
      <w:docPartPr>
        <w:name w:val="{dc6de940-fdc7-442a-a693-8c535f13837f}"/>
        <w:style w:val=""/>
        <w:category>
          <w:name w:val="常规"/>
          <w:gallery w:val="placeholder"/>
        </w:category>
        <w:types>
          <w:type w:val="bbPlcHdr"/>
        </w:types>
        <w:behaviors>
          <w:behavior w:val="content"/>
        </w:behaviors>
        <w:description w:val=""/>
        <w:guid w:val="{dc6de940-fdc7-442a-a693-8c535f13837f}"/>
      </w:docPartPr>
      <w:docPartBody>
        <w:p>
          <w:r>
            <w:rPr>
              <w:color w:val="808080"/>
            </w:rPr>
            <w:t>单击此处输入文字。</w:t>
          </w:r>
        </w:p>
      </w:docPartBody>
    </w:docPart>
    <w:docPart>
      <w:docPartPr>
        <w:name w:val="{57c8a965-744d-40ef-8904-c9872af79ca6}"/>
        <w:style w:val=""/>
        <w:category>
          <w:name w:val="常规"/>
          <w:gallery w:val="placeholder"/>
        </w:category>
        <w:types>
          <w:type w:val="bbPlcHdr"/>
        </w:types>
        <w:behaviors>
          <w:behavior w:val="content"/>
        </w:behaviors>
        <w:description w:val=""/>
        <w:guid w:val="{57c8a965-744d-40ef-8904-c9872af79ca6}"/>
      </w:docPartPr>
      <w:docPartBody>
        <w:p>
          <w:r>
            <w:rPr>
              <w:color w:val="808080"/>
            </w:rPr>
            <w:t>单击此处输入文字。</w:t>
          </w:r>
        </w:p>
      </w:docPartBody>
    </w:docPart>
    <w:docPart>
      <w:docPartPr>
        <w:name w:val="{d31e5e88-14b2-4593-9109-21bf3782cc45}"/>
        <w:style w:val=""/>
        <w:category>
          <w:name w:val="常规"/>
          <w:gallery w:val="placeholder"/>
        </w:category>
        <w:types>
          <w:type w:val="bbPlcHdr"/>
        </w:types>
        <w:behaviors>
          <w:behavior w:val="content"/>
        </w:behaviors>
        <w:description w:val=""/>
        <w:guid w:val="{d31e5e88-14b2-4593-9109-21bf3782cc45}"/>
      </w:docPartPr>
      <w:docPartBody>
        <w:p>
          <w:r>
            <w:rPr>
              <w:color w:val="808080"/>
            </w:rPr>
            <w:t>单击此处输入文字。</w:t>
          </w:r>
        </w:p>
      </w:docPartBody>
    </w:docPart>
    <w:docPart>
      <w:docPartPr>
        <w:name w:val="{f78df3ec-df6a-441a-b195-75836aa89a54}"/>
        <w:style w:val=""/>
        <w:category>
          <w:name w:val="常规"/>
          <w:gallery w:val="placeholder"/>
        </w:category>
        <w:types>
          <w:type w:val="bbPlcHdr"/>
        </w:types>
        <w:behaviors>
          <w:behavior w:val="content"/>
        </w:behaviors>
        <w:description w:val=""/>
        <w:guid w:val="{f78df3ec-df6a-441a-b195-75836aa89a54}"/>
      </w:docPartPr>
      <w:docPartBody>
        <w:p>
          <w:r>
            <w:rPr>
              <w:color w:val="808080"/>
            </w:rPr>
            <w:t>单击此处输入文字。</w:t>
          </w:r>
        </w:p>
      </w:docPartBody>
    </w:docPart>
    <w:docPart>
      <w:docPartPr>
        <w:name w:val="{2147bac1-0398-4371-9345-69c9aed594d5}"/>
        <w:style w:val=""/>
        <w:category>
          <w:name w:val="常规"/>
          <w:gallery w:val="placeholder"/>
        </w:category>
        <w:types>
          <w:type w:val="bbPlcHdr"/>
        </w:types>
        <w:behaviors>
          <w:behavior w:val="content"/>
        </w:behaviors>
        <w:description w:val=""/>
        <w:guid w:val="{2147bac1-0398-4371-9345-69c9aed594d5}"/>
      </w:docPartPr>
      <w:docPartBody>
        <w:p>
          <w:r>
            <w:rPr>
              <w:color w:val="808080"/>
            </w:rPr>
            <w:t>单击此处输入文字。</w:t>
          </w:r>
        </w:p>
      </w:docPartBody>
    </w:docPart>
    <w:docPart>
      <w:docPartPr>
        <w:name w:val="{f99294ba-9055-4146-8176-ea6483851ed1}"/>
        <w:style w:val=""/>
        <w:category>
          <w:name w:val="常规"/>
          <w:gallery w:val="placeholder"/>
        </w:category>
        <w:types>
          <w:type w:val="bbPlcHdr"/>
        </w:types>
        <w:behaviors>
          <w:behavior w:val="content"/>
        </w:behaviors>
        <w:description w:val=""/>
        <w:guid w:val="{f99294ba-9055-4146-8176-ea6483851ed1}"/>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8275</Words>
  <Characters>9054</Characters>
  <Lines>0</Lines>
  <Paragraphs>0</Paragraphs>
  <TotalTime>8</TotalTime>
  <ScaleCrop>false</ScaleCrop>
  <LinksUpToDate>false</LinksUpToDate>
  <CharactersWithSpaces>9237</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2021-09-11T04:53:00Z</dcterms:created>
  <dc:creator>Administrator</dc:creator>
  <cp:lastModifiedBy>Administrator</cp:lastModifiedBy>
  <cp:lastPrinted>2024-04-26T11:25:00Z</cp:lastPrinted>
  <dcterms:modified xsi:type="dcterms:W3CDTF">2024-05-10T03:14:30Z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AF826FDCB87247D3A35916D7B593689C</vt:lpwstr>
  </property>
</Properties>
</file>