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小标宋简体"/>
          <w:color w:val="auto"/>
          <w:sz w:val="44"/>
          <w:szCs w:val="44"/>
        </w:rPr>
      </w:pPr>
      <w:r>
        <w:rPr>
          <w:rFonts w:eastAsia="方正小标宋简体"/>
          <w:color w:val="auto"/>
          <w:sz w:val="44"/>
          <w:szCs w:val="44"/>
        </w:rPr>
        <w:t>特克斯县</w:t>
      </w:r>
      <w:r>
        <w:rPr>
          <w:rFonts w:hint="eastAsia" w:eastAsia="方正小标宋简体"/>
          <w:color w:val="auto"/>
          <w:sz w:val="44"/>
          <w:szCs w:val="44"/>
          <w:lang w:eastAsia="zh-CN"/>
        </w:rPr>
        <w:t>人民政府关于</w:t>
      </w:r>
      <w:r>
        <w:rPr>
          <w:rFonts w:eastAsia="方正小标宋简体"/>
          <w:color w:val="auto"/>
          <w:sz w:val="44"/>
          <w:szCs w:val="44"/>
        </w:rPr>
        <w:t>义务教育</w:t>
      </w:r>
      <w:r>
        <w:rPr>
          <w:rFonts w:hint="eastAsia" w:eastAsia="方正小标宋简体"/>
          <w:color w:val="auto"/>
          <w:sz w:val="44"/>
          <w:szCs w:val="44"/>
          <w:lang w:eastAsia="zh-CN"/>
        </w:rPr>
        <w:t>基本</w:t>
      </w:r>
      <w:r>
        <w:rPr>
          <w:rFonts w:eastAsia="方正小标宋简体"/>
          <w:color w:val="auto"/>
          <w:sz w:val="44"/>
          <w:szCs w:val="44"/>
        </w:rPr>
        <w:t>均衡发展</w:t>
      </w:r>
      <w:r>
        <w:rPr>
          <w:rFonts w:hint="eastAsia" w:eastAsia="方正小标宋简体"/>
          <w:color w:val="auto"/>
          <w:sz w:val="44"/>
          <w:szCs w:val="44"/>
          <w:lang w:eastAsia="zh-CN"/>
        </w:rPr>
        <w:t>巩固提高工作</w:t>
      </w:r>
      <w:r>
        <w:rPr>
          <w:rFonts w:eastAsia="方正小标宋简体"/>
          <w:color w:val="auto"/>
          <w:sz w:val="44"/>
          <w:szCs w:val="44"/>
        </w:rPr>
        <w:t>自查自评报告</w:t>
      </w:r>
    </w:p>
    <w:p>
      <w:pPr>
        <w:spacing w:line="560" w:lineRule="exact"/>
        <w:ind w:firstLine="640" w:firstLineChars="200"/>
        <w:rPr>
          <w:rFonts w:eastAsia="仿宋_GB2312"/>
          <w:color w:val="auto"/>
          <w:sz w:val="32"/>
          <w:szCs w:val="32"/>
        </w:rPr>
      </w:pPr>
    </w:p>
    <w:p>
      <w:pPr>
        <w:spacing w:line="560" w:lineRule="exact"/>
        <w:ind w:firstLine="640" w:firstLineChars="200"/>
        <w:rPr>
          <w:rFonts w:eastAsia="仿宋_GB2312"/>
          <w:color w:val="auto"/>
          <w:sz w:val="32"/>
          <w:szCs w:val="32"/>
        </w:rPr>
      </w:pPr>
      <w:r>
        <w:rPr>
          <w:rFonts w:eastAsia="仿宋_GB2312"/>
          <w:color w:val="auto"/>
          <w:sz w:val="32"/>
          <w:szCs w:val="32"/>
        </w:rPr>
        <w:t>特克斯县认真贯彻落实新疆维吾尔自治区人民政府《关于推进义务教育均衡发展的指导意见》（新政发〔2011〕56号）等文件精神，扎实有效推进县域义务教育均衡发展，2020年6月以956.1分通过自治区义务教育均衡发展督导评估，2021年7月以98.47分通过国家义务教育均衡发展认定。近年来，特克斯县持续抓好义务教育内涵式发展，进一步巩固义务教育均衡发展成果，根据《新疆维吾尔自治区县域义务教育均衡发展督导评估办法》要求，我县进行了自查自评，现将自查情况报告如下：</w:t>
      </w:r>
    </w:p>
    <w:p>
      <w:pPr>
        <w:spacing w:line="560" w:lineRule="exact"/>
        <w:ind w:firstLine="640" w:firstLineChars="200"/>
        <w:rPr>
          <w:rFonts w:eastAsia="黑体"/>
          <w:color w:val="auto"/>
          <w:sz w:val="32"/>
          <w:szCs w:val="32"/>
        </w:rPr>
      </w:pPr>
      <w:r>
        <w:rPr>
          <w:rFonts w:eastAsia="黑体"/>
          <w:color w:val="auto"/>
          <w:sz w:val="32"/>
          <w:szCs w:val="32"/>
        </w:rPr>
        <w:t>一、义务教育均衡发展巩固提升工作自查自评结果</w:t>
      </w:r>
    </w:p>
    <w:p>
      <w:pPr>
        <w:spacing w:line="560" w:lineRule="exact"/>
        <w:ind w:firstLine="640" w:firstLineChars="200"/>
        <w:rPr>
          <w:rFonts w:eastAsia="仿宋_GB2312"/>
          <w:color w:val="auto"/>
          <w:sz w:val="32"/>
          <w:szCs w:val="32"/>
        </w:rPr>
      </w:pPr>
      <w:r>
        <w:rPr>
          <w:rFonts w:eastAsia="仿宋_GB2312"/>
          <w:color w:val="auto"/>
          <w:sz w:val="32"/>
          <w:szCs w:val="32"/>
        </w:rPr>
        <w:t>特克斯县实施义务教育均衡发展督导评估44项C级指标自评总得分9</w:t>
      </w:r>
      <w:r>
        <w:rPr>
          <w:rFonts w:hint="eastAsia" w:eastAsia="仿宋_GB2312"/>
          <w:color w:val="auto"/>
          <w:sz w:val="32"/>
          <w:szCs w:val="32"/>
          <w:lang w:val="en-US" w:eastAsia="zh-CN"/>
        </w:rPr>
        <w:t>87.67</w:t>
      </w:r>
      <w:r>
        <w:rPr>
          <w:rFonts w:eastAsia="仿宋_GB2312"/>
          <w:color w:val="auto"/>
          <w:sz w:val="32"/>
          <w:szCs w:val="32"/>
        </w:rPr>
        <w:t>分，其中A1指标</w:t>
      </w:r>
      <w:r>
        <w:rPr>
          <w:rFonts w:hint="eastAsia" w:eastAsia="仿宋_GB2312"/>
          <w:color w:val="auto"/>
          <w:sz w:val="32"/>
          <w:szCs w:val="32"/>
          <w:lang w:val="en-US" w:eastAsia="zh-CN"/>
        </w:rPr>
        <w:t>149.99</w:t>
      </w:r>
      <w:r>
        <w:rPr>
          <w:rFonts w:eastAsia="仿宋_GB2312"/>
          <w:color w:val="auto"/>
          <w:sz w:val="32"/>
          <w:szCs w:val="32"/>
        </w:rPr>
        <w:t>分，A2指标</w:t>
      </w:r>
      <w:r>
        <w:rPr>
          <w:rFonts w:hint="eastAsia" w:eastAsia="仿宋_GB2312"/>
          <w:color w:val="auto"/>
          <w:sz w:val="32"/>
          <w:szCs w:val="32"/>
          <w:lang w:val="en-US" w:eastAsia="zh-CN"/>
        </w:rPr>
        <w:t>304</w:t>
      </w:r>
      <w:r>
        <w:rPr>
          <w:rFonts w:eastAsia="仿宋_GB2312"/>
          <w:color w:val="auto"/>
          <w:sz w:val="32"/>
          <w:szCs w:val="32"/>
        </w:rPr>
        <w:t>分，A3指标33</w:t>
      </w:r>
      <w:r>
        <w:rPr>
          <w:rFonts w:hint="eastAsia" w:eastAsia="仿宋_GB2312"/>
          <w:color w:val="auto"/>
          <w:sz w:val="32"/>
          <w:szCs w:val="32"/>
          <w:lang w:val="en-US" w:eastAsia="zh-CN"/>
        </w:rPr>
        <w:t>3.68</w:t>
      </w:r>
      <w:r>
        <w:rPr>
          <w:rFonts w:eastAsia="仿宋_GB2312"/>
          <w:color w:val="auto"/>
          <w:sz w:val="32"/>
          <w:szCs w:val="32"/>
        </w:rPr>
        <w:t>分，A4指标200分。A1-A3县级人民政府推进义务教育均衡发展督导评估指标赋分800分，自查自评得790.33分，其中：带*的17项国家指标赋分370分，自查自评得36</w:t>
      </w:r>
      <w:r>
        <w:rPr>
          <w:rFonts w:hint="eastAsia" w:eastAsia="仿宋_GB2312"/>
          <w:color w:val="auto"/>
          <w:sz w:val="32"/>
          <w:szCs w:val="32"/>
          <w:lang w:val="en-US" w:eastAsia="zh-CN"/>
        </w:rPr>
        <w:t>3.99</w:t>
      </w:r>
      <w:r>
        <w:rPr>
          <w:rFonts w:eastAsia="仿宋_GB2312"/>
          <w:color w:val="auto"/>
          <w:sz w:val="32"/>
          <w:szCs w:val="32"/>
        </w:rPr>
        <w:t>分，校级均衡得200分，自查自评得分与2020年自治区对我县义务教育均衡发展验收得分比较，持平</w:t>
      </w:r>
      <w:r>
        <w:rPr>
          <w:rFonts w:hint="eastAsia" w:eastAsia="仿宋_GB2312"/>
          <w:color w:val="auto"/>
          <w:sz w:val="32"/>
          <w:szCs w:val="32"/>
          <w:lang w:val="en-US" w:eastAsia="zh-CN"/>
        </w:rPr>
        <w:t>37</w:t>
      </w:r>
      <w:r>
        <w:rPr>
          <w:rFonts w:eastAsia="仿宋_GB2312"/>
          <w:color w:val="auto"/>
          <w:sz w:val="32"/>
          <w:szCs w:val="32"/>
        </w:rPr>
        <w:t>项，提高</w:t>
      </w:r>
      <w:r>
        <w:rPr>
          <w:rFonts w:hint="eastAsia" w:eastAsia="仿宋_GB2312"/>
          <w:color w:val="auto"/>
          <w:sz w:val="32"/>
          <w:szCs w:val="32"/>
          <w:lang w:val="en-US" w:eastAsia="zh-CN"/>
        </w:rPr>
        <w:t>6</w:t>
      </w:r>
      <w:r>
        <w:rPr>
          <w:rFonts w:eastAsia="仿宋_GB2312"/>
          <w:color w:val="auto"/>
          <w:sz w:val="32"/>
          <w:szCs w:val="32"/>
        </w:rPr>
        <w:t>项，降低1项。</w:t>
      </w:r>
    </w:p>
    <w:p>
      <w:pPr>
        <w:spacing w:line="560" w:lineRule="exact"/>
        <w:ind w:firstLine="640" w:firstLineChars="200"/>
        <w:rPr>
          <w:rFonts w:eastAsia="仿宋_GB2312"/>
          <w:color w:val="auto"/>
          <w:sz w:val="32"/>
          <w:szCs w:val="32"/>
        </w:rPr>
      </w:pPr>
      <w:r>
        <w:rPr>
          <w:rFonts w:hint="eastAsia" w:eastAsia="仿宋_GB2312"/>
          <w:color w:val="auto"/>
          <w:sz w:val="32"/>
          <w:szCs w:val="32"/>
          <w:lang w:eastAsia="zh-CN"/>
        </w:rPr>
        <w:t>根据《新疆维吾尔</w:t>
      </w:r>
      <w:r>
        <w:rPr>
          <w:rFonts w:eastAsia="仿宋_GB2312"/>
          <w:color w:val="auto"/>
          <w:sz w:val="32"/>
          <w:szCs w:val="32"/>
        </w:rPr>
        <w:t>自治区义务教育均衡发展督导评估</w:t>
      </w:r>
      <w:r>
        <w:rPr>
          <w:rFonts w:hint="eastAsia" w:eastAsia="仿宋_GB2312"/>
          <w:color w:val="auto"/>
          <w:sz w:val="32"/>
          <w:szCs w:val="32"/>
          <w:lang w:eastAsia="zh-CN"/>
        </w:rPr>
        <w:t>办法》中评估等级要求，</w:t>
      </w:r>
      <w:r>
        <w:rPr>
          <w:rFonts w:eastAsia="仿宋_GB2312"/>
          <w:color w:val="auto"/>
          <w:sz w:val="32"/>
          <w:szCs w:val="32"/>
        </w:rPr>
        <w:t>没有一票否决指标</w:t>
      </w:r>
      <w:r>
        <w:rPr>
          <w:rFonts w:hint="eastAsia" w:eastAsia="仿宋_GB2312"/>
          <w:color w:val="auto"/>
          <w:sz w:val="32"/>
          <w:szCs w:val="32"/>
          <w:lang w:eastAsia="zh-CN"/>
        </w:rPr>
        <w:t>，评定为优秀</w:t>
      </w:r>
      <w:r>
        <w:rPr>
          <w:rFonts w:eastAsia="仿宋_GB2312"/>
          <w:color w:val="auto"/>
          <w:sz w:val="32"/>
          <w:szCs w:val="32"/>
        </w:rPr>
        <w:t>。</w:t>
      </w:r>
    </w:p>
    <w:tbl>
      <w:tblPr>
        <w:tblStyle w:val="12"/>
        <w:tblpPr w:leftFromText="180" w:rightFromText="180" w:vertAnchor="text" w:horzAnchor="page" w:tblpXSpec="center" w:tblpY="337"/>
        <w:tblOverlap w:val="never"/>
        <w:tblW w:w="9024" w:type="dxa"/>
        <w:tblInd w:w="0" w:type="dxa"/>
        <w:tblLayout w:type="fixed"/>
        <w:tblCellMar>
          <w:top w:w="0" w:type="dxa"/>
          <w:left w:w="108" w:type="dxa"/>
          <w:bottom w:w="0" w:type="dxa"/>
          <w:right w:w="108" w:type="dxa"/>
        </w:tblCellMar>
      </w:tblPr>
      <w:tblGrid>
        <w:gridCol w:w="1131"/>
        <w:gridCol w:w="1549"/>
        <w:gridCol w:w="3099"/>
        <w:gridCol w:w="934"/>
        <w:gridCol w:w="1"/>
        <w:gridCol w:w="1161"/>
        <w:gridCol w:w="1"/>
        <w:gridCol w:w="1147"/>
        <w:gridCol w:w="1"/>
      </w:tblGrid>
      <w:tr>
        <w:tblPrEx>
          <w:tblLayout w:type="fixed"/>
          <w:tblCellMar>
            <w:top w:w="0" w:type="dxa"/>
            <w:left w:w="108" w:type="dxa"/>
            <w:bottom w:w="0" w:type="dxa"/>
            <w:right w:w="108" w:type="dxa"/>
          </w:tblCellMar>
        </w:tblPrEx>
        <w:trPr>
          <w:trHeight w:val="375" w:hRule="atLeast"/>
        </w:trPr>
        <w:tc>
          <w:tcPr>
            <w:tcW w:w="7876" w:type="dxa"/>
            <w:gridSpan w:val="7"/>
            <w:tcBorders>
              <w:top w:val="nil"/>
              <w:left w:val="nil"/>
              <w:bottom w:val="nil"/>
              <w:right w:val="nil"/>
            </w:tcBorders>
            <w:vAlign w:val="center"/>
          </w:tcPr>
          <w:p>
            <w:pPr>
              <w:spacing w:line="560" w:lineRule="exact"/>
              <w:jc w:val="center"/>
              <w:rPr>
                <w:rFonts w:eastAsia="仿宋_GB2312"/>
                <w:b/>
                <w:color w:val="auto"/>
                <w:sz w:val="32"/>
                <w:szCs w:val="32"/>
              </w:rPr>
            </w:pPr>
            <w:r>
              <w:rPr>
                <w:rFonts w:eastAsia="仿宋_GB2312"/>
                <w:b/>
                <w:color w:val="auto"/>
                <w:sz w:val="28"/>
                <w:szCs w:val="28"/>
              </w:rPr>
              <w:t>2023年义务教育均衡发展自查自评赋分表</w:t>
            </w:r>
          </w:p>
        </w:tc>
        <w:tc>
          <w:tcPr>
            <w:tcW w:w="1148" w:type="dxa"/>
            <w:gridSpan w:val="2"/>
            <w:tcBorders>
              <w:top w:val="nil"/>
              <w:left w:val="nil"/>
              <w:bottom w:val="nil"/>
              <w:right w:val="nil"/>
            </w:tcBorders>
            <w:vAlign w:val="center"/>
          </w:tcPr>
          <w:p>
            <w:pPr>
              <w:spacing w:line="560" w:lineRule="exact"/>
              <w:jc w:val="center"/>
              <w:rPr>
                <w:rFonts w:eastAsia="仿宋_GB2312"/>
                <w:b/>
                <w:color w:val="auto"/>
                <w:sz w:val="28"/>
                <w:szCs w:val="28"/>
              </w:rPr>
            </w:pPr>
          </w:p>
        </w:tc>
      </w:tr>
      <w:tr>
        <w:tblPrEx>
          <w:tblLayout w:type="fixed"/>
          <w:tblCellMar>
            <w:top w:w="0" w:type="dxa"/>
            <w:left w:w="108" w:type="dxa"/>
            <w:bottom w:w="0" w:type="dxa"/>
            <w:right w:w="108" w:type="dxa"/>
          </w:tblCellMar>
        </w:tblPrEx>
        <w:trPr>
          <w:trHeight w:val="454" w:hRule="atLeast"/>
        </w:trPr>
        <w:tc>
          <w:tcPr>
            <w:tcW w:w="6714"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评估指标体系</w:t>
            </w:r>
          </w:p>
        </w:tc>
        <w:tc>
          <w:tcPr>
            <w:tcW w:w="1162" w:type="dxa"/>
            <w:gridSpan w:val="2"/>
            <w:vMerge w:val="restart"/>
            <w:tcBorders>
              <w:top w:val="single" w:color="auto" w:sz="4" w:space="0"/>
              <w:left w:val="single" w:color="auto" w:sz="4" w:space="0"/>
              <w:bottom w:val="nil"/>
              <w:right w:val="single" w:color="auto" w:sz="4" w:space="0"/>
            </w:tcBorders>
            <w:vAlign w:val="center"/>
          </w:tcPr>
          <w:p>
            <w:pPr>
              <w:spacing w:line="360" w:lineRule="exact"/>
              <w:jc w:val="center"/>
              <w:rPr>
                <w:rFonts w:eastAsia="仿宋_GB2312"/>
                <w:color w:val="auto"/>
                <w:sz w:val="28"/>
                <w:szCs w:val="28"/>
              </w:rPr>
            </w:pPr>
            <w:r>
              <w:rPr>
                <w:rFonts w:hint="eastAsia" w:eastAsia="仿宋_GB2312"/>
                <w:color w:val="auto"/>
                <w:sz w:val="28"/>
                <w:szCs w:val="28"/>
                <w:lang w:eastAsia="zh-CN"/>
              </w:rPr>
              <w:t>扣</w:t>
            </w:r>
            <w:r>
              <w:rPr>
                <w:rFonts w:eastAsia="仿宋_GB2312"/>
                <w:color w:val="auto"/>
                <w:sz w:val="28"/>
                <w:szCs w:val="28"/>
              </w:rPr>
              <w:t>分</w:t>
            </w:r>
          </w:p>
        </w:tc>
        <w:tc>
          <w:tcPr>
            <w:tcW w:w="1148" w:type="dxa"/>
            <w:gridSpan w:val="2"/>
            <w:vMerge w:val="restart"/>
            <w:tcBorders>
              <w:top w:val="single" w:color="auto" w:sz="4" w:space="0"/>
              <w:left w:val="single" w:color="auto" w:sz="4" w:space="0"/>
              <w:right w:val="single" w:color="auto" w:sz="4" w:space="0"/>
            </w:tcBorders>
            <w:vAlign w:val="center"/>
          </w:tcPr>
          <w:p>
            <w:pPr>
              <w:spacing w:line="360" w:lineRule="exact"/>
              <w:jc w:val="center"/>
              <w:rPr>
                <w:rFonts w:hint="eastAsia" w:eastAsia="仿宋_GB2312"/>
                <w:color w:val="auto"/>
                <w:sz w:val="28"/>
                <w:szCs w:val="28"/>
                <w:lang w:eastAsia="zh-CN"/>
              </w:rPr>
            </w:pPr>
            <w:r>
              <w:rPr>
                <w:rFonts w:hint="eastAsia" w:eastAsia="仿宋_GB2312"/>
                <w:color w:val="auto"/>
                <w:sz w:val="28"/>
                <w:szCs w:val="28"/>
                <w:lang w:eastAsia="zh-CN"/>
              </w:rPr>
              <w:t>得分</w:t>
            </w:r>
          </w:p>
        </w:tc>
      </w:tr>
      <w:tr>
        <w:tblPrEx>
          <w:tblLayout w:type="fixed"/>
          <w:tblCellMar>
            <w:top w:w="0" w:type="dxa"/>
            <w:left w:w="108" w:type="dxa"/>
            <w:bottom w:w="0" w:type="dxa"/>
            <w:right w:w="108" w:type="dxa"/>
          </w:tblCellMar>
        </w:tblPrEx>
        <w:trPr>
          <w:gridAfter w:val="1"/>
          <w:wAfter w:w="1" w:type="dxa"/>
          <w:trHeight w:val="555" w:hRule="atLeast"/>
        </w:trPr>
        <w:tc>
          <w:tcPr>
            <w:tcW w:w="1131" w:type="dxa"/>
            <w:tcBorders>
              <w:top w:val="nil"/>
              <w:left w:val="single" w:color="auto" w:sz="8" w:space="0"/>
              <w:bottom w:val="nil"/>
              <w:right w:val="single" w:color="auto" w:sz="8" w:space="0"/>
            </w:tcBorders>
            <w:vAlign w:val="center"/>
          </w:tcPr>
          <w:p>
            <w:pPr>
              <w:spacing w:line="360" w:lineRule="exact"/>
              <w:jc w:val="center"/>
              <w:rPr>
                <w:rFonts w:eastAsia="仿宋_GB2312"/>
                <w:color w:val="auto"/>
                <w:sz w:val="24"/>
              </w:rPr>
            </w:pPr>
            <w:r>
              <w:rPr>
                <w:rFonts w:eastAsia="仿宋_GB2312"/>
                <w:color w:val="auto"/>
                <w:sz w:val="24"/>
              </w:rPr>
              <w:t>A级指标</w:t>
            </w:r>
          </w:p>
        </w:tc>
        <w:tc>
          <w:tcPr>
            <w:tcW w:w="1549" w:type="dxa"/>
            <w:tcBorders>
              <w:top w:val="nil"/>
              <w:left w:val="nil"/>
              <w:bottom w:val="nil"/>
              <w:right w:val="single" w:color="auto" w:sz="8" w:space="0"/>
            </w:tcBorders>
            <w:vAlign w:val="center"/>
          </w:tcPr>
          <w:p>
            <w:pPr>
              <w:spacing w:line="360" w:lineRule="exact"/>
              <w:jc w:val="center"/>
              <w:rPr>
                <w:rFonts w:eastAsia="仿宋_GB2312"/>
                <w:color w:val="auto"/>
                <w:sz w:val="24"/>
              </w:rPr>
            </w:pPr>
            <w:r>
              <w:rPr>
                <w:rFonts w:eastAsia="仿宋_GB2312"/>
                <w:color w:val="auto"/>
                <w:sz w:val="24"/>
              </w:rPr>
              <w:t>B级指标</w:t>
            </w:r>
          </w:p>
        </w:tc>
        <w:tc>
          <w:tcPr>
            <w:tcW w:w="3099" w:type="dxa"/>
            <w:tcBorders>
              <w:top w:val="nil"/>
              <w:left w:val="nil"/>
              <w:bottom w:val="nil"/>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C级指标</w:t>
            </w:r>
          </w:p>
        </w:tc>
        <w:tc>
          <w:tcPr>
            <w:tcW w:w="9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赋分</w:t>
            </w:r>
          </w:p>
        </w:tc>
        <w:tc>
          <w:tcPr>
            <w:tcW w:w="1162" w:type="dxa"/>
            <w:gridSpan w:val="2"/>
            <w:vMerge w:val="continue"/>
            <w:tcBorders>
              <w:top w:val="nil"/>
              <w:left w:val="single" w:color="auto" w:sz="4" w:space="0"/>
              <w:bottom w:val="nil"/>
              <w:right w:val="single" w:color="auto" w:sz="4" w:space="0"/>
            </w:tcBorders>
            <w:vAlign w:val="center"/>
          </w:tcPr>
          <w:p>
            <w:pPr>
              <w:spacing w:line="360" w:lineRule="exact"/>
              <w:jc w:val="center"/>
              <w:rPr>
                <w:rFonts w:eastAsia="仿宋_GB2312"/>
                <w:color w:val="auto"/>
                <w:sz w:val="28"/>
                <w:szCs w:val="28"/>
              </w:rPr>
            </w:pPr>
          </w:p>
        </w:tc>
        <w:tc>
          <w:tcPr>
            <w:tcW w:w="1148" w:type="dxa"/>
            <w:gridSpan w:val="2"/>
            <w:vMerge w:val="continue"/>
            <w:tcBorders>
              <w:left w:val="single" w:color="auto" w:sz="4" w:space="0"/>
              <w:bottom w:val="nil"/>
              <w:right w:val="single" w:color="auto" w:sz="4" w:space="0"/>
            </w:tcBorders>
            <w:vAlign w:val="center"/>
          </w:tcPr>
          <w:p>
            <w:pPr>
              <w:spacing w:line="360" w:lineRule="exact"/>
              <w:jc w:val="center"/>
              <w:rPr>
                <w:rFonts w:eastAsia="仿宋_GB2312"/>
                <w:color w:val="auto"/>
                <w:sz w:val="28"/>
                <w:szCs w:val="28"/>
              </w:rPr>
            </w:pPr>
          </w:p>
        </w:tc>
      </w:tr>
      <w:tr>
        <w:tblPrEx>
          <w:tblLayout w:type="fixed"/>
          <w:tblCellMar>
            <w:top w:w="0" w:type="dxa"/>
            <w:left w:w="108" w:type="dxa"/>
            <w:bottom w:w="0" w:type="dxa"/>
            <w:right w:w="108" w:type="dxa"/>
          </w:tblCellMar>
        </w:tblPrEx>
        <w:trPr>
          <w:gridAfter w:val="1"/>
          <w:wAfter w:w="1" w:type="dxa"/>
          <w:trHeight w:val="417" w:hRule="atLeast"/>
        </w:trPr>
        <w:tc>
          <w:tcPr>
            <w:tcW w:w="1131" w:type="dxa"/>
            <w:vMerge w:val="restart"/>
            <w:tcBorders>
              <w:top w:val="single" w:color="auto" w:sz="4" w:space="0"/>
              <w:left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A1组织领导（155分）</w:t>
            </w:r>
          </w:p>
        </w:tc>
        <w:tc>
          <w:tcPr>
            <w:tcW w:w="1549" w:type="dxa"/>
            <w:vMerge w:val="restart"/>
            <w:tcBorders>
              <w:top w:val="single" w:color="auto" w:sz="4" w:space="0"/>
              <w:left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B1领导职责</w:t>
            </w:r>
          </w:p>
          <w:p>
            <w:pPr>
              <w:spacing w:line="360" w:lineRule="exact"/>
              <w:jc w:val="center"/>
              <w:rPr>
                <w:rFonts w:eastAsia="仿宋_GB2312"/>
                <w:color w:val="auto"/>
                <w:sz w:val="24"/>
              </w:rPr>
            </w:pPr>
            <w:r>
              <w:rPr>
                <w:rFonts w:eastAsia="仿宋_GB2312"/>
                <w:color w:val="auto"/>
                <w:sz w:val="24"/>
              </w:rPr>
              <w:t>（50分）</w:t>
            </w:r>
          </w:p>
        </w:tc>
        <w:tc>
          <w:tcPr>
            <w:tcW w:w="3099" w:type="dxa"/>
            <w:tcBorders>
              <w:top w:val="single" w:color="auto" w:sz="4" w:space="0"/>
              <w:left w:val="nil"/>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C1党对教育工作的领导</w:t>
            </w:r>
          </w:p>
        </w:tc>
        <w:tc>
          <w:tcPr>
            <w:tcW w:w="934" w:type="dxa"/>
            <w:tcBorders>
              <w:top w:val="single" w:color="auto" w:sz="4" w:space="0"/>
              <w:left w:val="nil"/>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20</w:t>
            </w:r>
          </w:p>
        </w:tc>
        <w:tc>
          <w:tcPr>
            <w:tcW w:w="1162"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hint="eastAsia" w:eastAsia="仿宋_GB2312"/>
                <w:color w:val="auto"/>
                <w:sz w:val="28"/>
                <w:szCs w:val="28"/>
                <w:lang w:val="en-US" w:eastAsia="zh-CN"/>
              </w:rPr>
            </w:pPr>
            <w:r>
              <w:rPr>
                <w:rFonts w:hint="eastAsia" w:eastAsia="仿宋_GB2312"/>
                <w:color w:val="auto"/>
                <w:sz w:val="28"/>
                <w:szCs w:val="28"/>
                <w:lang w:val="en-US" w:eastAsia="zh-CN"/>
              </w:rPr>
              <w:t>0</w:t>
            </w:r>
          </w:p>
        </w:tc>
        <w:tc>
          <w:tcPr>
            <w:tcW w:w="1148"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eastAsia="仿宋_GB2312"/>
                <w:color w:val="auto"/>
                <w:sz w:val="28"/>
                <w:szCs w:val="28"/>
              </w:rPr>
            </w:pPr>
            <w:r>
              <w:rPr>
                <w:rFonts w:eastAsia="仿宋_GB2312"/>
                <w:color w:val="auto"/>
                <w:sz w:val="28"/>
                <w:szCs w:val="28"/>
              </w:rPr>
              <w:t>20</w:t>
            </w:r>
          </w:p>
        </w:tc>
      </w:tr>
      <w:tr>
        <w:tblPrEx>
          <w:tblLayout w:type="fixed"/>
          <w:tblCellMar>
            <w:top w:w="0" w:type="dxa"/>
            <w:left w:w="108" w:type="dxa"/>
            <w:bottom w:w="0" w:type="dxa"/>
            <w:right w:w="108" w:type="dxa"/>
          </w:tblCellMar>
        </w:tblPrEx>
        <w:trPr>
          <w:gridAfter w:val="1"/>
          <w:wAfter w:w="1" w:type="dxa"/>
          <w:trHeight w:val="454" w:hRule="atLeast"/>
        </w:trPr>
        <w:tc>
          <w:tcPr>
            <w:tcW w:w="1131" w:type="dxa"/>
            <w:vMerge w:val="continue"/>
            <w:tcBorders>
              <w:left w:val="single" w:color="auto" w:sz="4" w:space="0"/>
              <w:right w:val="single" w:color="auto" w:sz="4" w:space="0"/>
            </w:tcBorders>
            <w:vAlign w:val="center"/>
          </w:tcPr>
          <w:p>
            <w:pPr>
              <w:spacing w:line="360" w:lineRule="exact"/>
              <w:jc w:val="center"/>
              <w:rPr>
                <w:rFonts w:eastAsia="仿宋_GB2312"/>
                <w:color w:val="auto"/>
                <w:sz w:val="24"/>
              </w:rPr>
            </w:pPr>
          </w:p>
        </w:tc>
        <w:tc>
          <w:tcPr>
            <w:tcW w:w="1549" w:type="dxa"/>
            <w:vMerge w:val="continue"/>
            <w:tcBorders>
              <w:left w:val="single" w:color="auto" w:sz="4" w:space="0"/>
              <w:right w:val="single" w:color="auto" w:sz="4" w:space="0"/>
            </w:tcBorders>
            <w:vAlign w:val="center"/>
          </w:tcPr>
          <w:p>
            <w:pPr>
              <w:spacing w:line="360" w:lineRule="exact"/>
              <w:jc w:val="center"/>
              <w:rPr>
                <w:rFonts w:eastAsia="仿宋_GB2312"/>
                <w:color w:val="auto"/>
                <w:sz w:val="24"/>
              </w:rPr>
            </w:pPr>
          </w:p>
        </w:tc>
        <w:tc>
          <w:tcPr>
            <w:tcW w:w="3099" w:type="dxa"/>
            <w:tcBorders>
              <w:top w:val="single" w:color="auto" w:sz="4" w:space="0"/>
              <w:left w:val="nil"/>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C2优先发展</w:t>
            </w:r>
          </w:p>
        </w:tc>
        <w:tc>
          <w:tcPr>
            <w:tcW w:w="934" w:type="dxa"/>
            <w:tcBorders>
              <w:top w:val="single" w:color="auto" w:sz="4" w:space="0"/>
              <w:left w:val="nil"/>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10</w:t>
            </w:r>
          </w:p>
        </w:tc>
        <w:tc>
          <w:tcPr>
            <w:tcW w:w="1162"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hint="eastAsia" w:eastAsia="仿宋_GB2312"/>
                <w:color w:val="auto"/>
                <w:sz w:val="28"/>
                <w:szCs w:val="28"/>
                <w:lang w:val="en-US" w:eastAsia="zh-CN"/>
              </w:rPr>
            </w:pPr>
            <w:r>
              <w:rPr>
                <w:rFonts w:hint="eastAsia" w:eastAsia="仿宋_GB2312"/>
                <w:color w:val="auto"/>
                <w:sz w:val="28"/>
                <w:szCs w:val="28"/>
                <w:lang w:val="en-US" w:eastAsia="zh-CN"/>
              </w:rPr>
              <w:t>0</w:t>
            </w:r>
          </w:p>
        </w:tc>
        <w:tc>
          <w:tcPr>
            <w:tcW w:w="1148"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eastAsia="仿宋_GB2312"/>
                <w:color w:val="auto"/>
                <w:sz w:val="28"/>
                <w:szCs w:val="28"/>
              </w:rPr>
            </w:pPr>
            <w:r>
              <w:rPr>
                <w:rFonts w:eastAsia="仿宋_GB2312"/>
                <w:color w:val="auto"/>
                <w:sz w:val="28"/>
                <w:szCs w:val="28"/>
              </w:rPr>
              <w:t>10</w:t>
            </w:r>
          </w:p>
        </w:tc>
      </w:tr>
      <w:tr>
        <w:tblPrEx>
          <w:tblLayout w:type="fixed"/>
          <w:tblCellMar>
            <w:top w:w="0" w:type="dxa"/>
            <w:left w:w="108" w:type="dxa"/>
            <w:bottom w:w="0" w:type="dxa"/>
            <w:right w:w="108" w:type="dxa"/>
          </w:tblCellMar>
        </w:tblPrEx>
        <w:trPr>
          <w:gridAfter w:val="1"/>
          <w:wAfter w:w="1" w:type="dxa"/>
          <w:trHeight w:val="454" w:hRule="atLeast"/>
        </w:trPr>
        <w:tc>
          <w:tcPr>
            <w:tcW w:w="1131" w:type="dxa"/>
            <w:vMerge w:val="continue"/>
            <w:tcBorders>
              <w:left w:val="single" w:color="auto" w:sz="4" w:space="0"/>
              <w:right w:val="single" w:color="auto" w:sz="4" w:space="0"/>
            </w:tcBorders>
            <w:vAlign w:val="center"/>
          </w:tcPr>
          <w:p>
            <w:pPr>
              <w:spacing w:line="360" w:lineRule="exact"/>
              <w:jc w:val="center"/>
              <w:rPr>
                <w:rFonts w:eastAsia="仿宋_GB2312"/>
                <w:color w:val="auto"/>
                <w:sz w:val="24"/>
              </w:rPr>
            </w:pPr>
          </w:p>
        </w:tc>
        <w:tc>
          <w:tcPr>
            <w:tcW w:w="1549" w:type="dxa"/>
            <w:vMerge w:val="continue"/>
            <w:tcBorders>
              <w:left w:val="single" w:color="auto" w:sz="4" w:space="0"/>
              <w:bottom w:val="single" w:color="auto" w:sz="4" w:space="0"/>
              <w:right w:val="single" w:color="auto" w:sz="4" w:space="0"/>
            </w:tcBorders>
            <w:vAlign w:val="center"/>
          </w:tcPr>
          <w:p>
            <w:pPr>
              <w:spacing w:line="360" w:lineRule="exact"/>
              <w:jc w:val="center"/>
              <w:rPr>
                <w:rFonts w:eastAsia="仿宋_GB2312"/>
                <w:color w:val="auto"/>
                <w:sz w:val="24"/>
              </w:rPr>
            </w:pPr>
          </w:p>
        </w:tc>
        <w:tc>
          <w:tcPr>
            <w:tcW w:w="3099" w:type="dxa"/>
            <w:tcBorders>
              <w:top w:val="nil"/>
              <w:left w:val="nil"/>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*C3责任落实</w:t>
            </w:r>
          </w:p>
        </w:tc>
        <w:tc>
          <w:tcPr>
            <w:tcW w:w="934" w:type="dxa"/>
            <w:tcBorders>
              <w:top w:val="nil"/>
              <w:left w:val="nil"/>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20</w:t>
            </w:r>
          </w:p>
        </w:tc>
        <w:tc>
          <w:tcPr>
            <w:tcW w:w="1162" w:type="dxa"/>
            <w:gridSpan w:val="2"/>
            <w:tcBorders>
              <w:top w:val="nil"/>
              <w:left w:val="nil"/>
              <w:bottom w:val="single" w:color="auto" w:sz="4" w:space="0"/>
              <w:right w:val="single" w:color="auto" w:sz="4" w:space="0"/>
            </w:tcBorders>
            <w:vAlign w:val="center"/>
          </w:tcPr>
          <w:p>
            <w:pPr>
              <w:spacing w:line="360" w:lineRule="exact"/>
              <w:jc w:val="center"/>
              <w:rPr>
                <w:rFonts w:hint="eastAsia" w:eastAsia="仿宋_GB2312"/>
                <w:color w:val="auto"/>
                <w:sz w:val="28"/>
                <w:szCs w:val="28"/>
                <w:lang w:val="en-US" w:eastAsia="zh-CN"/>
              </w:rPr>
            </w:pPr>
            <w:r>
              <w:rPr>
                <w:rFonts w:hint="eastAsia" w:eastAsia="仿宋_GB2312"/>
                <w:color w:val="auto"/>
                <w:sz w:val="28"/>
                <w:szCs w:val="28"/>
                <w:lang w:val="en-US" w:eastAsia="zh-CN"/>
              </w:rPr>
              <w:t>0</w:t>
            </w:r>
          </w:p>
        </w:tc>
        <w:tc>
          <w:tcPr>
            <w:tcW w:w="1148" w:type="dxa"/>
            <w:gridSpan w:val="2"/>
            <w:tcBorders>
              <w:top w:val="nil"/>
              <w:left w:val="nil"/>
              <w:bottom w:val="single" w:color="auto" w:sz="4" w:space="0"/>
              <w:right w:val="single" w:color="auto" w:sz="4" w:space="0"/>
            </w:tcBorders>
            <w:vAlign w:val="center"/>
          </w:tcPr>
          <w:p>
            <w:pPr>
              <w:spacing w:line="360" w:lineRule="exact"/>
              <w:jc w:val="center"/>
              <w:rPr>
                <w:rFonts w:eastAsia="仿宋_GB2312"/>
                <w:color w:val="auto"/>
                <w:sz w:val="28"/>
                <w:szCs w:val="28"/>
              </w:rPr>
            </w:pPr>
            <w:r>
              <w:rPr>
                <w:rFonts w:eastAsia="仿宋_GB2312"/>
                <w:color w:val="auto"/>
                <w:sz w:val="28"/>
                <w:szCs w:val="28"/>
              </w:rPr>
              <w:t>20</w:t>
            </w:r>
          </w:p>
        </w:tc>
      </w:tr>
      <w:tr>
        <w:tblPrEx>
          <w:tblLayout w:type="fixed"/>
          <w:tblCellMar>
            <w:top w:w="0" w:type="dxa"/>
            <w:left w:w="108" w:type="dxa"/>
            <w:bottom w:w="0" w:type="dxa"/>
            <w:right w:w="108" w:type="dxa"/>
          </w:tblCellMar>
        </w:tblPrEx>
        <w:trPr>
          <w:gridAfter w:val="1"/>
          <w:wAfter w:w="1" w:type="dxa"/>
          <w:trHeight w:val="454" w:hRule="atLeast"/>
        </w:trPr>
        <w:tc>
          <w:tcPr>
            <w:tcW w:w="1131" w:type="dxa"/>
            <w:vMerge w:val="continue"/>
            <w:tcBorders>
              <w:left w:val="single" w:color="auto" w:sz="4" w:space="0"/>
              <w:right w:val="single" w:color="auto" w:sz="4" w:space="0"/>
            </w:tcBorders>
            <w:vAlign w:val="center"/>
          </w:tcPr>
          <w:p>
            <w:pPr>
              <w:spacing w:line="360" w:lineRule="exact"/>
              <w:jc w:val="center"/>
              <w:rPr>
                <w:rFonts w:eastAsia="仿宋_GB2312"/>
                <w:color w:val="auto"/>
                <w:sz w:val="24"/>
              </w:rPr>
            </w:pPr>
          </w:p>
        </w:tc>
        <w:tc>
          <w:tcPr>
            <w:tcW w:w="1549" w:type="dxa"/>
            <w:vMerge w:val="restart"/>
            <w:tcBorders>
              <w:top w:val="nil"/>
              <w:left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B2组织实施（20分）</w:t>
            </w:r>
          </w:p>
        </w:tc>
        <w:tc>
          <w:tcPr>
            <w:tcW w:w="3099" w:type="dxa"/>
            <w:tcBorders>
              <w:top w:val="nil"/>
              <w:left w:val="nil"/>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C4目标管理</w:t>
            </w:r>
          </w:p>
        </w:tc>
        <w:tc>
          <w:tcPr>
            <w:tcW w:w="934" w:type="dxa"/>
            <w:tcBorders>
              <w:top w:val="nil"/>
              <w:left w:val="nil"/>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10</w:t>
            </w:r>
          </w:p>
        </w:tc>
        <w:tc>
          <w:tcPr>
            <w:tcW w:w="1162" w:type="dxa"/>
            <w:gridSpan w:val="2"/>
            <w:tcBorders>
              <w:top w:val="nil"/>
              <w:left w:val="nil"/>
              <w:bottom w:val="single" w:color="auto" w:sz="4" w:space="0"/>
              <w:right w:val="single" w:color="auto" w:sz="4" w:space="0"/>
            </w:tcBorders>
            <w:vAlign w:val="center"/>
          </w:tcPr>
          <w:p>
            <w:pPr>
              <w:spacing w:line="360" w:lineRule="exact"/>
              <w:jc w:val="center"/>
              <w:rPr>
                <w:rFonts w:hint="eastAsia" w:eastAsia="仿宋_GB2312"/>
                <w:color w:val="auto"/>
                <w:sz w:val="28"/>
                <w:szCs w:val="28"/>
                <w:lang w:val="en-US" w:eastAsia="zh-CN"/>
              </w:rPr>
            </w:pPr>
            <w:r>
              <w:rPr>
                <w:rFonts w:hint="eastAsia" w:eastAsia="仿宋_GB2312"/>
                <w:color w:val="auto"/>
                <w:sz w:val="28"/>
                <w:szCs w:val="28"/>
                <w:lang w:val="en-US" w:eastAsia="zh-CN"/>
              </w:rPr>
              <w:t>0</w:t>
            </w:r>
          </w:p>
        </w:tc>
        <w:tc>
          <w:tcPr>
            <w:tcW w:w="1148" w:type="dxa"/>
            <w:gridSpan w:val="2"/>
            <w:tcBorders>
              <w:top w:val="nil"/>
              <w:left w:val="nil"/>
              <w:bottom w:val="single" w:color="auto" w:sz="4" w:space="0"/>
              <w:right w:val="single" w:color="auto" w:sz="4" w:space="0"/>
            </w:tcBorders>
            <w:vAlign w:val="center"/>
          </w:tcPr>
          <w:p>
            <w:pPr>
              <w:spacing w:line="360" w:lineRule="exact"/>
              <w:jc w:val="center"/>
              <w:rPr>
                <w:rFonts w:eastAsia="仿宋_GB2312"/>
                <w:color w:val="auto"/>
                <w:sz w:val="28"/>
                <w:szCs w:val="28"/>
              </w:rPr>
            </w:pPr>
            <w:r>
              <w:rPr>
                <w:rFonts w:eastAsia="仿宋_GB2312"/>
                <w:color w:val="auto"/>
                <w:sz w:val="28"/>
                <w:szCs w:val="28"/>
              </w:rPr>
              <w:t>10</w:t>
            </w:r>
          </w:p>
        </w:tc>
      </w:tr>
      <w:tr>
        <w:tblPrEx>
          <w:tblLayout w:type="fixed"/>
          <w:tblCellMar>
            <w:top w:w="0" w:type="dxa"/>
            <w:left w:w="108" w:type="dxa"/>
            <w:bottom w:w="0" w:type="dxa"/>
            <w:right w:w="108" w:type="dxa"/>
          </w:tblCellMar>
        </w:tblPrEx>
        <w:trPr>
          <w:gridAfter w:val="1"/>
          <w:wAfter w:w="1" w:type="dxa"/>
          <w:trHeight w:val="454" w:hRule="atLeast"/>
        </w:trPr>
        <w:tc>
          <w:tcPr>
            <w:tcW w:w="1131" w:type="dxa"/>
            <w:vMerge w:val="continue"/>
            <w:tcBorders>
              <w:left w:val="single" w:color="auto" w:sz="4" w:space="0"/>
              <w:right w:val="single" w:color="auto" w:sz="4" w:space="0"/>
            </w:tcBorders>
            <w:vAlign w:val="center"/>
          </w:tcPr>
          <w:p>
            <w:pPr>
              <w:spacing w:line="360" w:lineRule="exact"/>
              <w:jc w:val="center"/>
              <w:rPr>
                <w:rFonts w:eastAsia="仿宋_GB2312"/>
                <w:color w:val="auto"/>
                <w:sz w:val="24"/>
              </w:rPr>
            </w:pPr>
          </w:p>
        </w:tc>
        <w:tc>
          <w:tcPr>
            <w:tcW w:w="1549" w:type="dxa"/>
            <w:vMerge w:val="continue"/>
            <w:tcBorders>
              <w:left w:val="single" w:color="auto" w:sz="4" w:space="0"/>
              <w:bottom w:val="single" w:color="auto" w:sz="4" w:space="0"/>
              <w:right w:val="single" w:color="auto" w:sz="4" w:space="0"/>
            </w:tcBorders>
            <w:vAlign w:val="center"/>
          </w:tcPr>
          <w:p>
            <w:pPr>
              <w:spacing w:line="360" w:lineRule="exact"/>
              <w:jc w:val="center"/>
              <w:rPr>
                <w:rFonts w:eastAsia="仿宋_GB2312"/>
                <w:color w:val="auto"/>
                <w:sz w:val="24"/>
              </w:rPr>
            </w:pPr>
          </w:p>
        </w:tc>
        <w:tc>
          <w:tcPr>
            <w:tcW w:w="3099" w:type="dxa"/>
            <w:tcBorders>
              <w:top w:val="nil"/>
              <w:left w:val="nil"/>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C5督导检查</w:t>
            </w:r>
          </w:p>
        </w:tc>
        <w:tc>
          <w:tcPr>
            <w:tcW w:w="934" w:type="dxa"/>
            <w:tcBorders>
              <w:top w:val="nil"/>
              <w:left w:val="nil"/>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10</w:t>
            </w:r>
          </w:p>
        </w:tc>
        <w:tc>
          <w:tcPr>
            <w:tcW w:w="1162" w:type="dxa"/>
            <w:gridSpan w:val="2"/>
            <w:tcBorders>
              <w:top w:val="nil"/>
              <w:left w:val="nil"/>
              <w:bottom w:val="single" w:color="auto" w:sz="4" w:space="0"/>
              <w:right w:val="single" w:color="auto" w:sz="4" w:space="0"/>
            </w:tcBorders>
            <w:vAlign w:val="center"/>
          </w:tcPr>
          <w:p>
            <w:pPr>
              <w:spacing w:line="360" w:lineRule="exact"/>
              <w:jc w:val="center"/>
              <w:rPr>
                <w:rFonts w:hint="eastAsia" w:eastAsia="仿宋_GB2312"/>
                <w:color w:val="auto"/>
                <w:sz w:val="28"/>
                <w:szCs w:val="28"/>
                <w:lang w:val="en-US" w:eastAsia="zh-CN"/>
              </w:rPr>
            </w:pPr>
            <w:r>
              <w:rPr>
                <w:rFonts w:hint="eastAsia" w:eastAsia="仿宋_GB2312"/>
                <w:color w:val="auto"/>
                <w:sz w:val="28"/>
                <w:szCs w:val="28"/>
                <w:lang w:val="en-US" w:eastAsia="zh-CN"/>
              </w:rPr>
              <w:t>0</w:t>
            </w:r>
          </w:p>
        </w:tc>
        <w:tc>
          <w:tcPr>
            <w:tcW w:w="1148" w:type="dxa"/>
            <w:gridSpan w:val="2"/>
            <w:tcBorders>
              <w:top w:val="nil"/>
              <w:left w:val="nil"/>
              <w:bottom w:val="single" w:color="auto" w:sz="4" w:space="0"/>
              <w:right w:val="single" w:color="auto" w:sz="4" w:space="0"/>
            </w:tcBorders>
            <w:vAlign w:val="center"/>
          </w:tcPr>
          <w:p>
            <w:pPr>
              <w:spacing w:line="360" w:lineRule="exact"/>
              <w:jc w:val="center"/>
              <w:rPr>
                <w:rFonts w:eastAsia="仿宋_GB2312"/>
                <w:color w:val="auto"/>
                <w:sz w:val="28"/>
                <w:szCs w:val="28"/>
              </w:rPr>
            </w:pPr>
            <w:r>
              <w:rPr>
                <w:rFonts w:eastAsia="仿宋_GB2312"/>
                <w:color w:val="auto"/>
                <w:sz w:val="28"/>
                <w:szCs w:val="28"/>
              </w:rPr>
              <w:t>10</w:t>
            </w:r>
          </w:p>
        </w:tc>
      </w:tr>
      <w:tr>
        <w:tblPrEx>
          <w:tblLayout w:type="fixed"/>
          <w:tblCellMar>
            <w:top w:w="0" w:type="dxa"/>
            <w:left w:w="108" w:type="dxa"/>
            <w:bottom w:w="0" w:type="dxa"/>
            <w:right w:w="108" w:type="dxa"/>
          </w:tblCellMar>
        </w:tblPrEx>
        <w:trPr>
          <w:gridAfter w:val="1"/>
          <w:wAfter w:w="1" w:type="dxa"/>
          <w:trHeight w:val="454" w:hRule="atLeast"/>
        </w:trPr>
        <w:tc>
          <w:tcPr>
            <w:tcW w:w="1131" w:type="dxa"/>
            <w:vMerge w:val="continue"/>
            <w:tcBorders>
              <w:left w:val="single" w:color="auto" w:sz="4" w:space="0"/>
              <w:right w:val="single" w:color="auto" w:sz="4" w:space="0"/>
            </w:tcBorders>
            <w:vAlign w:val="center"/>
          </w:tcPr>
          <w:p>
            <w:pPr>
              <w:spacing w:line="360" w:lineRule="exact"/>
              <w:jc w:val="center"/>
              <w:rPr>
                <w:rFonts w:eastAsia="仿宋_GB2312"/>
                <w:color w:val="auto"/>
                <w:sz w:val="24"/>
              </w:rPr>
            </w:pPr>
          </w:p>
        </w:tc>
        <w:tc>
          <w:tcPr>
            <w:tcW w:w="1549" w:type="dxa"/>
            <w:vMerge w:val="restart"/>
            <w:tcBorders>
              <w:top w:val="nil"/>
              <w:left w:val="single" w:color="auto" w:sz="4" w:space="0"/>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B3经费投入（85分）</w:t>
            </w:r>
          </w:p>
        </w:tc>
        <w:tc>
          <w:tcPr>
            <w:tcW w:w="3099" w:type="dxa"/>
            <w:tcBorders>
              <w:top w:val="nil"/>
              <w:left w:val="nil"/>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*C6三个增长</w:t>
            </w:r>
          </w:p>
        </w:tc>
        <w:tc>
          <w:tcPr>
            <w:tcW w:w="934" w:type="dxa"/>
            <w:tcBorders>
              <w:top w:val="nil"/>
              <w:left w:val="nil"/>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40</w:t>
            </w:r>
          </w:p>
        </w:tc>
        <w:tc>
          <w:tcPr>
            <w:tcW w:w="1162" w:type="dxa"/>
            <w:gridSpan w:val="2"/>
            <w:tcBorders>
              <w:top w:val="nil"/>
              <w:left w:val="nil"/>
              <w:bottom w:val="single" w:color="auto" w:sz="4" w:space="0"/>
              <w:right w:val="single" w:color="auto" w:sz="4" w:space="0"/>
            </w:tcBorders>
            <w:vAlign w:val="center"/>
          </w:tcPr>
          <w:p>
            <w:pPr>
              <w:spacing w:line="360" w:lineRule="exact"/>
              <w:jc w:val="center"/>
              <w:rPr>
                <w:rFonts w:hint="default" w:eastAsia="仿宋_GB2312"/>
                <w:color w:val="auto"/>
                <w:sz w:val="28"/>
                <w:szCs w:val="28"/>
                <w:lang w:val="en-US" w:eastAsia="zh-CN"/>
              </w:rPr>
            </w:pPr>
            <w:r>
              <w:rPr>
                <w:rFonts w:hint="eastAsia" w:eastAsia="仿宋_GB2312"/>
                <w:color w:val="auto"/>
                <w:sz w:val="28"/>
                <w:szCs w:val="28"/>
                <w:lang w:val="en-US" w:eastAsia="zh-CN"/>
              </w:rPr>
              <w:t>5.01</w:t>
            </w:r>
          </w:p>
        </w:tc>
        <w:tc>
          <w:tcPr>
            <w:tcW w:w="1148" w:type="dxa"/>
            <w:gridSpan w:val="2"/>
            <w:tcBorders>
              <w:top w:val="nil"/>
              <w:left w:val="nil"/>
              <w:bottom w:val="single" w:color="auto" w:sz="4" w:space="0"/>
              <w:right w:val="single" w:color="auto" w:sz="4" w:space="0"/>
            </w:tcBorders>
            <w:vAlign w:val="center"/>
          </w:tcPr>
          <w:p>
            <w:pPr>
              <w:spacing w:line="360" w:lineRule="exact"/>
              <w:jc w:val="center"/>
              <w:rPr>
                <w:rFonts w:eastAsia="仿宋_GB2312"/>
                <w:color w:val="auto"/>
                <w:sz w:val="28"/>
                <w:szCs w:val="28"/>
              </w:rPr>
            </w:pPr>
            <w:r>
              <w:rPr>
                <w:rFonts w:hint="eastAsia" w:eastAsia="仿宋_GB2312"/>
                <w:color w:val="auto"/>
                <w:sz w:val="28"/>
                <w:szCs w:val="28"/>
                <w:lang w:val="en-US" w:eastAsia="zh-CN"/>
              </w:rPr>
              <w:t>34.99</w:t>
            </w:r>
          </w:p>
        </w:tc>
      </w:tr>
      <w:tr>
        <w:tblPrEx>
          <w:tblLayout w:type="fixed"/>
          <w:tblCellMar>
            <w:top w:w="0" w:type="dxa"/>
            <w:left w:w="108" w:type="dxa"/>
            <w:bottom w:w="0" w:type="dxa"/>
            <w:right w:w="108" w:type="dxa"/>
          </w:tblCellMar>
        </w:tblPrEx>
        <w:trPr>
          <w:gridAfter w:val="1"/>
          <w:wAfter w:w="1" w:type="dxa"/>
          <w:trHeight w:val="454" w:hRule="atLeast"/>
        </w:trPr>
        <w:tc>
          <w:tcPr>
            <w:tcW w:w="1131" w:type="dxa"/>
            <w:vMerge w:val="continue"/>
            <w:tcBorders>
              <w:left w:val="single" w:color="auto" w:sz="4" w:space="0"/>
              <w:right w:val="single" w:color="auto" w:sz="4" w:space="0"/>
            </w:tcBorders>
            <w:vAlign w:val="center"/>
          </w:tcPr>
          <w:p>
            <w:pPr>
              <w:spacing w:line="360" w:lineRule="exact"/>
              <w:jc w:val="center"/>
              <w:rPr>
                <w:rFonts w:eastAsia="仿宋_GB2312"/>
                <w:color w:val="auto"/>
                <w:sz w:val="24"/>
              </w:rPr>
            </w:pPr>
          </w:p>
        </w:tc>
        <w:tc>
          <w:tcPr>
            <w:tcW w:w="1549" w:type="dxa"/>
            <w:vMerge w:val="continue"/>
            <w:tcBorders>
              <w:top w:val="nil"/>
              <w:left w:val="single" w:color="auto" w:sz="4" w:space="0"/>
              <w:bottom w:val="single" w:color="auto" w:sz="4" w:space="0"/>
              <w:right w:val="single" w:color="auto" w:sz="4" w:space="0"/>
            </w:tcBorders>
            <w:vAlign w:val="center"/>
          </w:tcPr>
          <w:p>
            <w:pPr>
              <w:spacing w:line="360" w:lineRule="exact"/>
              <w:jc w:val="center"/>
              <w:rPr>
                <w:rFonts w:eastAsia="仿宋_GB2312"/>
                <w:color w:val="auto"/>
                <w:sz w:val="24"/>
              </w:rPr>
            </w:pPr>
          </w:p>
        </w:tc>
        <w:tc>
          <w:tcPr>
            <w:tcW w:w="3099" w:type="dxa"/>
            <w:tcBorders>
              <w:top w:val="nil"/>
              <w:left w:val="nil"/>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*C7转移支付</w:t>
            </w:r>
          </w:p>
        </w:tc>
        <w:tc>
          <w:tcPr>
            <w:tcW w:w="934" w:type="dxa"/>
            <w:tcBorders>
              <w:top w:val="nil"/>
              <w:left w:val="nil"/>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10</w:t>
            </w:r>
          </w:p>
        </w:tc>
        <w:tc>
          <w:tcPr>
            <w:tcW w:w="1162" w:type="dxa"/>
            <w:gridSpan w:val="2"/>
            <w:tcBorders>
              <w:top w:val="nil"/>
              <w:left w:val="nil"/>
              <w:bottom w:val="single" w:color="auto" w:sz="4" w:space="0"/>
              <w:right w:val="single" w:color="auto" w:sz="4" w:space="0"/>
            </w:tcBorders>
            <w:vAlign w:val="center"/>
          </w:tcPr>
          <w:p>
            <w:pPr>
              <w:spacing w:line="360" w:lineRule="exact"/>
              <w:jc w:val="center"/>
              <w:rPr>
                <w:rFonts w:hint="eastAsia" w:eastAsia="仿宋_GB2312"/>
                <w:color w:val="auto"/>
                <w:sz w:val="28"/>
                <w:szCs w:val="28"/>
                <w:lang w:val="en-US" w:eastAsia="zh-CN"/>
              </w:rPr>
            </w:pPr>
            <w:r>
              <w:rPr>
                <w:rFonts w:hint="eastAsia" w:eastAsia="仿宋_GB2312"/>
                <w:color w:val="auto"/>
                <w:sz w:val="28"/>
                <w:szCs w:val="28"/>
                <w:lang w:val="en-US" w:eastAsia="zh-CN"/>
              </w:rPr>
              <w:t>0</w:t>
            </w:r>
          </w:p>
        </w:tc>
        <w:tc>
          <w:tcPr>
            <w:tcW w:w="1148" w:type="dxa"/>
            <w:gridSpan w:val="2"/>
            <w:tcBorders>
              <w:top w:val="nil"/>
              <w:left w:val="nil"/>
              <w:bottom w:val="single" w:color="auto" w:sz="4" w:space="0"/>
              <w:right w:val="single" w:color="auto" w:sz="4" w:space="0"/>
            </w:tcBorders>
            <w:vAlign w:val="center"/>
          </w:tcPr>
          <w:p>
            <w:pPr>
              <w:spacing w:line="360" w:lineRule="exact"/>
              <w:jc w:val="center"/>
              <w:rPr>
                <w:rFonts w:eastAsia="仿宋_GB2312"/>
                <w:color w:val="auto"/>
                <w:sz w:val="28"/>
                <w:szCs w:val="28"/>
              </w:rPr>
            </w:pPr>
            <w:r>
              <w:rPr>
                <w:rFonts w:eastAsia="仿宋_GB2312"/>
                <w:color w:val="auto"/>
                <w:sz w:val="28"/>
                <w:szCs w:val="28"/>
              </w:rPr>
              <w:t>10</w:t>
            </w:r>
          </w:p>
        </w:tc>
      </w:tr>
      <w:tr>
        <w:tblPrEx>
          <w:tblLayout w:type="fixed"/>
          <w:tblCellMar>
            <w:top w:w="0" w:type="dxa"/>
            <w:left w:w="108" w:type="dxa"/>
            <w:bottom w:w="0" w:type="dxa"/>
            <w:right w:w="108" w:type="dxa"/>
          </w:tblCellMar>
        </w:tblPrEx>
        <w:trPr>
          <w:gridAfter w:val="1"/>
          <w:wAfter w:w="1" w:type="dxa"/>
          <w:trHeight w:val="454" w:hRule="atLeast"/>
        </w:trPr>
        <w:tc>
          <w:tcPr>
            <w:tcW w:w="1131" w:type="dxa"/>
            <w:vMerge w:val="continue"/>
            <w:tcBorders>
              <w:left w:val="single" w:color="auto" w:sz="4" w:space="0"/>
              <w:right w:val="single" w:color="auto" w:sz="4" w:space="0"/>
            </w:tcBorders>
            <w:vAlign w:val="center"/>
          </w:tcPr>
          <w:p>
            <w:pPr>
              <w:spacing w:line="360" w:lineRule="exact"/>
              <w:jc w:val="center"/>
              <w:rPr>
                <w:rFonts w:eastAsia="仿宋_GB2312"/>
                <w:color w:val="auto"/>
                <w:sz w:val="24"/>
              </w:rPr>
            </w:pPr>
          </w:p>
        </w:tc>
        <w:tc>
          <w:tcPr>
            <w:tcW w:w="1549" w:type="dxa"/>
            <w:vMerge w:val="continue"/>
            <w:tcBorders>
              <w:top w:val="nil"/>
              <w:left w:val="single" w:color="auto" w:sz="4" w:space="0"/>
              <w:bottom w:val="single" w:color="auto" w:sz="4" w:space="0"/>
              <w:right w:val="single" w:color="auto" w:sz="4" w:space="0"/>
            </w:tcBorders>
            <w:vAlign w:val="center"/>
          </w:tcPr>
          <w:p>
            <w:pPr>
              <w:spacing w:line="360" w:lineRule="exact"/>
              <w:jc w:val="center"/>
              <w:rPr>
                <w:rFonts w:eastAsia="仿宋_GB2312"/>
                <w:color w:val="auto"/>
                <w:sz w:val="24"/>
              </w:rPr>
            </w:pPr>
          </w:p>
        </w:tc>
        <w:tc>
          <w:tcPr>
            <w:tcW w:w="3099" w:type="dxa"/>
            <w:tcBorders>
              <w:top w:val="nil"/>
              <w:left w:val="nil"/>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*C8投入倾斜</w:t>
            </w:r>
          </w:p>
        </w:tc>
        <w:tc>
          <w:tcPr>
            <w:tcW w:w="934" w:type="dxa"/>
            <w:tcBorders>
              <w:top w:val="nil"/>
              <w:left w:val="nil"/>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10</w:t>
            </w:r>
          </w:p>
        </w:tc>
        <w:tc>
          <w:tcPr>
            <w:tcW w:w="1162" w:type="dxa"/>
            <w:gridSpan w:val="2"/>
            <w:tcBorders>
              <w:top w:val="nil"/>
              <w:left w:val="nil"/>
              <w:bottom w:val="single" w:color="auto" w:sz="4" w:space="0"/>
              <w:right w:val="single" w:color="auto" w:sz="4" w:space="0"/>
            </w:tcBorders>
            <w:vAlign w:val="center"/>
          </w:tcPr>
          <w:p>
            <w:pPr>
              <w:spacing w:line="360" w:lineRule="exact"/>
              <w:jc w:val="center"/>
              <w:rPr>
                <w:rFonts w:hint="eastAsia" w:eastAsia="仿宋_GB2312"/>
                <w:color w:val="auto"/>
                <w:sz w:val="28"/>
                <w:szCs w:val="28"/>
                <w:lang w:val="en-US" w:eastAsia="zh-CN"/>
              </w:rPr>
            </w:pPr>
            <w:r>
              <w:rPr>
                <w:rFonts w:hint="eastAsia" w:eastAsia="仿宋_GB2312"/>
                <w:color w:val="auto"/>
                <w:sz w:val="28"/>
                <w:szCs w:val="28"/>
                <w:lang w:val="en-US" w:eastAsia="zh-CN"/>
              </w:rPr>
              <w:t>0</w:t>
            </w:r>
          </w:p>
        </w:tc>
        <w:tc>
          <w:tcPr>
            <w:tcW w:w="1148" w:type="dxa"/>
            <w:gridSpan w:val="2"/>
            <w:tcBorders>
              <w:top w:val="nil"/>
              <w:left w:val="nil"/>
              <w:bottom w:val="single" w:color="auto" w:sz="4" w:space="0"/>
              <w:right w:val="single" w:color="auto" w:sz="4" w:space="0"/>
            </w:tcBorders>
            <w:vAlign w:val="center"/>
          </w:tcPr>
          <w:p>
            <w:pPr>
              <w:spacing w:line="360" w:lineRule="exact"/>
              <w:jc w:val="center"/>
              <w:rPr>
                <w:rFonts w:eastAsia="仿宋_GB2312"/>
                <w:color w:val="auto"/>
                <w:sz w:val="28"/>
                <w:szCs w:val="28"/>
              </w:rPr>
            </w:pPr>
            <w:r>
              <w:rPr>
                <w:rFonts w:eastAsia="仿宋_GB2312"/>
                <w:color w:val="auto"/>
                <w:sz w:val="28"/>
                <w:szCs w:val="28"/>
              </w:rPr>
              <w:t>10</w:t>
            </w:r>
          </w:p>
        </w:tc>
      </w:tr>
      <w:tr>
        <w:tblPrEx>
          <w:tblLayout w:type="fixed"/>
          <w:tblCellMar>
            <w:top w:w="0" w:type="dxa"/>
            <w:left w:w="108" w:type="dxa"/>
            <w:bottom w:w="0" w:type="dxa"/>
            <w:right w:w="108" w:type="dxa"/>
          </w:tblCellMar>
        </w:tblPrEx>
        <w:trPr>
          <w:gridAfter w:val="1"/>
          <w:wAfter w:w="1" w:type="dxa"/>
          <w:trHeight w:val="454" w:hRule="atLeast"/>
        </w:trPr>
        <w:tc>
          <w:tcPr>
            <w:tcW w:w="1131" w:type="dxa"/>
            <w:vMerge w:val="continue"/>
            <w:tcBorders>
              <w:left w:val="single" w:color="auto" w:sz="4" w:space="0"/>
              <w:right w:val="single" w:color="auto" w:sz="4" w:space="0"/>
            </w:tcBorders>
            <w:vAlign w:val="center"/>
          </w:tcPr>
          <w:p>
            <w:pPr>
              <w:spacing w:line="360" w:lineRule="exact"/>
              <w:jc w:val="center"/>
              <w:rPr>
                <w:rFonts w:eastAsia="仿宋_GB2312"/>
                <w:color w:val="auto"/>
                <w:sz w:val="24"/>
              </w:rPr>
            </w:pPr>
          </w:p>
        </w:tc>
        <w:tc>
          <w:tcPr>
            <w:tcW w:w="1549" w:type="dxa"/>
            <w:vMerge w:val="continue"/>
            <w:tcBorders>
              <w:top w:val="nil"/>
              <w:left w:val="single" w:color="auto" w:sz="4" w:space="0"/>
              <w:bottom w:val="single" w:color="auto" w:sz="4" w:space="0"/>
              <w:right w:val="single" w:color="auto" w:sz="4" w:space="0"/>
            </w:tcBorders>
            <w:vAlign w:val="center"/>
          </w:tcPr>
          <w:p>
            <w:pPr>
              <w:spacing w:line="360" w:lineRule="exact"/>
              <w:jc w:val="center"/>
              <w:rPr>
                <w:rFonts w:eastAsia="仿宋_GB2312"/>
                <w:color w:val="auto"/>
                <w:sz w:val="24"/>
              </w:rPr>
            </w:pPr>
          </w:p>
        </w:tc>
        <w:tc>
          <w:tcPr>
            <w:tcW w:w="3099" w:type="dxa"/>
            <w:tcBorders>
              <w:top w:val="nil"/>
              <w:left w:val="nil"/>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C9其他经费</w:t>
            </w:r>
          </w:p>
        </w:tc>
        <w:tc>
          <w:tcPr>
            <w:tcW w:w="934" w:type="dxa"/>
            <w:tcBorders>
              <w:top w:val="nil"/>
              <w:left w:val="nil"/>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15</w:t>
            </w:r>
          </w:p>
        </w:tc>
        <w:tc>
          <w:tcPr>
            <w:tcW w:w="1162" w:type="dxa"/>
            <w:gridSpan w:val="2"/>
            <w:tcBorders>
              <w:top w:val="nil"/>
              <w:left w:val="nil"/>
              <w:bottom w:val="single" w:color="auto" w:sz="4" w:space="0"/>
              <w:right w:val="single" w:color="auto" w:sz="4" w:space="0"/>
            </w:tcBorders>
            <w:vAlign w:val="center"/>
          </w:tcPr>
          <w:p>
            <w:pPr>
              <w:spacing w:line="360" w:lineRule="exact"/>
              <w:jc w:val="center"/>
              <w:rPr>
                <w:rFonts w:hint="eastAsia" w:eastAsia="仿宋_GB2312"/>
                <w:color w:val="auto"/>
                <w:sz w:val="28"/>
                <w:szCs w:val="28"/>
                <w:lang w:val="en-US" w:eastAsia="zh-CN"/>
              </w:rPr>
            </w:pPr>
            <w:r>
              <w:rPr>
                <w:rFonts w:hint="eastAsia" w:eastAsia="仿宋_GB2312"/>
                <w:color w:val="auto"/>
                <w:sz w:val="28"/>
                <w:szCs w:val="28"/>
                <w:lang w:val="en-US" w:eastAsia="zh-CN"/>
              </w:rPr>
              <w:t>0</w:t>
            </w:r>
          </w:p>
        </w:tc>
        <w:tc>
          <w:tcPr>
            <w:tcW w:w="1148" w:type="dxa"/>
            <w:gridSpan w:val="2"/>
            <w:tcBorders>
              <w:top w:val="nil"/>
              <w:left w:val="nil"/>
              <w:bottom w:val="single" w:color="auto" w:sz="4" w:space="0"/>
              <w:right w:val="single" w:color="auto" w:sz="4" w:space="0"/>
            </w:tcBorders>
            <w:vAlign w:val="center"/>
          </w:tcPr>
          <w:p>
            <w:pPr>
              <w:spacing w:line="360" w:lineRule="exact"/>
              <w:jc w:val="center"/>
              <w:rPr>
                <w:rFonts w:eastAsia="仿宋_GB2312"/>
                <w:color w:val="auto"/>
                <w:sz w:val="28"/>
                <w:szCs w:val="28"/>
              </w:rPr>
            </w:pPr>
            <w:r>
              <w:rPr>
                <w:rFonts w:eastAsia="仿宋_GB2312"/>
                <w:color w:val="auto"/>
                <w:sz w:val="28"/>
                <w:szCs w:val="28"/>
              </w:rPr>
              <w:t>15</w:t>
            </w:r>
          </w:p>
        </w:tc>
      </w:tr>
      <w:tr>
        <w:tblPrEx>
          <w:tblLayout w:type="fixed"/>
          <w:tblCellMar>
            <w:top w:w="0" w:type="dxa"/>
            <w:left w:w="108" w:type="dxa"/>
            <w:bottom w:w="0" w:type="dxa"/>
            <w:right w:w="108" w:type="dxa"/>
          </w:tblCellMar>
        </w:tblPrEx>
        <w:trPr>
          <w:gridAfter w:val="1"/>
          <w:wAfter w:w="1" w:type="dxa"/>
          <w:trHeight w:val="454" w:hRule="atLeast"/>
        </w:trPr>
        <w:tc>
          <w:tcPr>
            <w:tcW w:w="1131" w:type="dxa"/>
            <w:vMerge w:val="continue"/>
            <w:tcBorders>
              <w:left w:val="single" w:color="auto" w:sz="4" w:space="0"/>
              <w:bottom w:val="single" w:color="auto" w:sz="4" w:space="0"/>
              <w:right w:val="single" w:color="auto" w:sz="4" w:space="0"/>
            </w:tcBorders>
            <w:vAlign w:val="center"/>
          </w:tcPr>
          <w:p>
            <w:pPr>
              <w:spacing w:line="360" w:lineRule="exact"/>
              <w:jc w:val="center"/>
              <w:rPr>
                <w:rFonts w:eastAsia="仿宋_GB2312"/>
                <w:color w:val="auto"/>
                <w:sz w:val="24"/>
              </w:rPr>
            </w:pPr>
          </w:p>
        </w:tc>
        <w:tc>
          <w:tcPr>
            <w:tcW w:w="1549" w:type="dxa"/>
            <w:vMerge w:val="continue"/>
            <w:tcBorders>
              <w:top w:val="nil"/>
              <w:left w:val="single" w:color="auto" w:sz="4" w:space="0"/>
              <w:bottom w:val="single" w:color="auto" w:sz="4" w:space="0"/>
              <w:right w:val="single" w:color="auto" w:sz="4" w:space="0"/>
            </w:tcBorders>
            <w:vAlign w:val="center"/>
          </w:tcPr>
          <w:p>
            <w:pPr>
              <w:spacing w:line="360" w:lineRule="exact"/>
              <w:jc w:val="center"/>
              <w:rPr>
                <w:rFonts w:eastAsia="仿宋_GB2312"/>
                <w:color w:val="auto"/>
                <w:sz w:val="24"/>
              </w:rPr>
            </w:pPr>
          </w:p>
        </w:tc>
        <w:tc>
          <w:tcPr>
            <w:tcW w:w="3099" w:type="dxa"/>
            <w:tcBorders>
              <w:top w:val="nil"/>
              <w:left w:val="nil"/>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C10项目建设</w:t>
            </w:r>
          </w:p>
        </w:tc>
        <w:tc>
          <w:tcPr>
            <w:tcW w:w="934" w:type="dxa"/>
            <w:tcBorders>
              <w:top w:val="nil"/>
              <w:left w:val="nil"/>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10</w:t>
            </w:r>
          </w:p>
        </w:tc>
        <w:tc>
          <w:tcPr>
            <w:tcW w:w="1162" w:type="dxa"/>
            <w:gridSpan w:val="2"/>
            <w:tcBorders>
              <w:top w:val="nil"/>
              <w:left w:val="nil"/>
              <w:bottom w:val="single" w:color="auto" w:sz="4" w:space="0"/>
              <w:right w:val="single" w:color="auto" w:sz="4" w:space="0"/>
            </w:tcBorders>
            <w:vAlign w:val="center"/>
          </w:tcPr>
          <w:p>
            <w:pPr>
              <w:spacing w:line="360" w:lineRule="exact"/>
              <w:jc w:val="center"/>
              <w:rPr>
                <w:rFonts w:hint="eastAsia" w:eastAsia="仿宋_GB2312"/>
                <w:color w:val="auto"/>
                <w:sz w:val="28"/>
                <w:szCs w:val="28"/>
                <w:lang w:val="en-US" w:eastAsia="zh-CN"/>
              </w:rPr>
            </w:pPr>
            <w:r>
              <w:rPr>
                <w:rFonts w:hint="eastAsia" w:eastAsia="仿宋_GB2312"/>
                <w:color w:val="auto"/>
                <w:sz w:val="28"/>
                <w:szCs w:val="28"/>
                <w:lang w:val="en-US" w:eastAsia="zh-CN"/>
              </w:rPr>
              <w:t>0</w:t>
            </w:r>
          </w:p>
        </w:tc>
        <w:tc>
          <w:tcPr>
            <w:tcW w:w="1148" w:type="dxa"/>
            <w:gridSpan w:val="2"/>
            <w:tcBorders>
              <w:top w:val="nil"/>
              <w:left w:val="nil"/>
              <w:bottom w:val="single" w:color="auto" w:sz="4" w:space="0"/>
              <w:right w:val="single" w:color="auto" w:sz="4" w:space="0"/>
            </w:tcBorders>
            <w:vAlign w:val="center"/>
          </w:tcPr>
          <w:p>
            <w:pPr>
              <w:spacing w:line="360" w:lineRule="exact"/>
              <w:jc w:val="center"/>
              <w:rPr>
                <w:rFonts w:eastAsia="仿宋_GB2312"/>
                <w:color w:val="auto"/>
                <w:sz w:val="28"/>
                <w:szCs w:val="28"/>
              </w:rPr>
            </w:pPr>
            <w:r>
              <w:rPr>
                <w:rFonts w:eastAsia="仿宋_GB2312"/>
                <w:color w:val="auto"/>
                <w:sz w:val="28"/>
                <w:szCs w:val="28"/>
              </w:rPr>
              <w:t>10</w:t>
            </w:r>
          </w:p>
        </w:tc>
      </w:tr>
      <w:tr>
        <w:tblPrEx>
          <w:tblLayout w:type="fixed"/>
          <w:tblCellMar>
            <w:top w:w="0" w:type="dxa"/>
            <w:left w:w="108" w:type="dxa"/>
            <w:bottom w:w="0" w:type="dxa"/>
            <w:right w:w="108" w:type="dxa"/>
          </w:tblCellMar>
        </w:tblPrEx>
        <w:trPr>
          <w:gridAfter w:val="1"/>
          <w:wAfter w:w="1" w:type="dxa"/>
          <w:trHeight w:val="454" w:hRule="atLeast"/>
        </w:trPr>
        <w:tc>
          <w:tcPr>
            <w:tcW w:w="1131" w:type="dxa"/>
            <w:vMerge w:val="restart"/>
            <w:tcBorders>
              <w:top w:val="nil"/>
              <w:left w:val="single" w:color="auto" w:sz="4" w:space="0"/>
              <w:bottom w:val="single" w:color="000000"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A2发展水平（305分）</w:t>
            </w:r>
          </w:p>
        </w:tc>
        <w:tc>
          <w:tcPr>
            <w:tcW w:w="1549" w:type="dxa"/>
            <w:vMerge w:val="restart"/>
            <w:tcBorders>
              <w:top w:val="nil"/>
              <w:left w:val="single" w:color="auto" w:sz="4" w:space="0"/>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B4经费管理（30分）</w:t>
            </w:r>
          </w:p>
        </w:tc>
        <w:tc>
          <w:tcPr>
            <w:tcW w:w="3099" w:type="dxa"/>
            <w:tcBorders>
              <w:top w:val="nil"/>
              <w:left w:val="nil"/>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C11保障机制</w:t>
            </w:r>
          </w:p>
        </w:tc>
        <w:tc>
          <w:tcPr>
            <w:tcW w:w="934" w:type="dxa"/>
            <w:tcBorders>
              <w:top w:val="nil"/>
              <w:left w:val="nil"/>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15</w:t>
            </w:r>
          </w:p>
        </w:tc>
        <w:tc>
          <w:tcPr>
            <w:tcW w:w="1162" w:type="dxa"/>
            <w:gridSpan w:val="2"/>
            <w:tcBorders>
              <w:top w:val="nil"/>
              <w:left w:val="nil"/>
              <w:bottom w:val="single" w:color="auto" w:sz="4" w:space="0"/>
              <w:right w:val="single" w:color="auto" w:sz="4" w:space="0"/>
            </w:tcBorders>
            <w:vAlign w:val="center"/>
          </w:tcPr>
          <w:p>
            <w:pPr>
              <w:spacing w:line="360" w:lineRule="exact"/>
              <w:jc w:val="center"/>
              <w:rPr>
                <w:rFonts w:hint="eastAsia" w:eastAsia="仿宋_GB2312"/>
                <w:color w:val="auto"/>
                <w:sz w:val="28"/>
                <w:szCs w:val="28"/>
                <w:lang w:val="en-US" w:eastAsia="zh-CN"/>
              </w:rPr>
            </w:pPr>
            <w:r>
              <w:rPr>
                <w:rFonts w:hint="eastAsia" w:eastAsia="仿宋_GB2312"/>
                <w:color w:val="auto"/>
                <w:sz w:val="28"/>
                <w:szCs w:val="28"/>
                <w:lang w:val="en-US" w:eastAsia="zh-CN"/>
              </w:rPr>
              <w:t>0</w:t>
            </w:r>
          </w:p>
        </w:tc>
        <w:tc>
          <w:tcPr>
            <w:tcW w:w="1148" w:type="dxa"/>
            <w:gridSpan w:val="2"/>
            <w:tcBorders>
              <w:top w:val="nil"/>
              <w:left w:val="nil"/>
              <w:bottom w:val="single" w:color="auto" w:sz="4" w:space="0"/>
              <w:right w:val="single" w:color="auto" w:sz="4" w:space="0"/>
            </w:tcBorders>
            <w:vAlign w:val="center"/>
          </w:tcPr>
          <w:p>
            <w:pPr>
              <w:spacing w:line="360" w:lineRule="exact"/>
              <w:jc w:val="center"/>
              <w:rPr>
                <w:rFonts w:eastAsia="仿宋_GB2312"/>
                <w:color w:val="auto"/>
                <w:sz w:val="28"/>
                <w:szCs w:val="28"/>
              </w:rPr>
            </w:pPr>
            <w:r>
              <w:rPr>
                <w:rFonts w:eastAsia="仿宋_GB2312"/>
                <w:color w:val="auto"/>
                <w:sz w:val="28"/>
                <w:szCs w:val="28"/>
              </w:rPr>
              <w:t>15</w:t>
            </w:r>
          </w:p>
        </w:tc>
      </w:tr>
      <w:tr>
        <w:tblPrEx>
          <w:tblLayout w:type="fixed"/>
          <w:tblCellMar>
            <w:top w:w="0" w:type="dxa"/>
            <w:left w:w="108" w:type="dxa"/>
            <w:bottom w:w="0" w:type="dxa"/>
            <w:right w:w="108" w:type="dxa"/>
          </w:tblCellMar>
        </w:tblPrEx>
        <w:trPr>
          <w:gridAfter w:val="1"/>
          <w:wAfter w:w="1" w:type="dxa"/>
          <w:trHeight w:val="454" w:hRule="atLeast"/>
        </w:trPr>
        <w:tc>
          <w:tcPr>
            <w:tcW w:w="1131"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rFonts w:eastAsia="仿宋_GB2312"/>
                <w:color w:val="auto"/>
                <w:sz w:val="24"/>
              </w:rPr>
            </w:pPr>
          </w:p>
        </w:tc>
        <w:tc>
          <w:tcPr>
            <w:tcW w:w="1549" w:type="dxa"/>
            <w:vMerge w:val="continue"/>
            <w:tcBorders>
              <w:top w:val="nil"/>
              <w:left w:val="single" w:color="auto" w:sz="4" w:space="0"/>
              <w:bottom w:val="single" w:color="auto" w:sz="4" w:space="0"/>
              <w:right w:val="single" w:color="auto" w:sz="4" w:space="0"/>
            </w:tcBorders>
            <w:vAlign w:val="center"/>
          </w:tcPr>
          <w:p>
            <w:pPr>
              <w:spacing w:line="360" w:lineRule="exact"/>
              <w:jc w:val="center"/>
              <w:rPr>
                <w:rFonts w:eastAsia="仿宋_GB2312"/>
                <w:color w:val="auto"/>
                <w:sz w:val="24"/>
              </w:rPr>
            </w:pPr>
          </w:p>
        </w:tc>
        <w:tc>
          <w:tcPr>
            <w:tcW w:w="3099" w:type="dxa"/>
            <w:tcBorders>
              <w:top w:val="nil"/>
              <w:left w:val="nil"/>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C12规范管理</w:t>
            </w:r>
          </w:p>
        </w:tc>
        <w:tc>
          <w:tcPr>
            <w:tcW w:w="934" w:type="dxa"/>
            <w:tcBorders>
              <w:top w:val="nil"/>
              <w:left w:val="nil"/>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15</w:t>
            </w:r>
          </w:p>
        </w:tc>
        <w:tc>
          <w:tcPr>
            <w:tcW w:w="1162" w:type="dxa"/>
            <w:gridSpan w:val="2"/>
            <w:tcBorders>
              <w:top w:val="nil"/>
              <w:left w:val="nil"/>
              <w:bottom w:val="single" w:color="auto" w:sz="4" w:space="0"/>
              <w:right w:val="single" w:color="auto" w:sz="4" w:space="0"/>
            </w:tcBorders>
            <w:vAlign w:val="center"/>
          </w:tcPr>
          <w:p>
            <w:pPr>
              <w:spacing w:line="360" w:lineRule="exact"/>
              <w:jc w:val="center"/>
              <w:rPr>
                <w:rFonts w:hint="eastAsia" w:eastAsia="仿宋_GB2312"/>
                <w:color w:val="auto"/>
                <w:sz w:val="28"/>
                <w:szCs w:val="28"/>
                <w:lang w:val="en-US" w:eastAsia="zh-CN"/>
              </w:rPr>
            </w:pPr>
            <w:r>
              <w:rPr>
                <w:rFonts w:hint="eastAsia" w:eastAsia="仿宋_GB2312"/>
                <w:color w:val="auto"/>
                <w:sz w:val="28"/>
                <w:szCs w:val="28"/>
                <w:lang w:val="en-US" w:eastAsia="zh-CN"/>
              </w:rPr>
              <w:t>0</w:t>
            </w:r>
          </w:p>
        </w:tc>
        <w:tc>
          <w:tcPr>
            <w:tcW w:w="1148" w:type="dxa"/>
            <w:gridSpan w:val="2"/>
            <w:tcBorders>
              <w:top w:val="nil"/>
              <w:left w:val="nil"/>
              <w:bottom w:val="single" w:color="auto" w:sz="4" w:space="0"/>
              <w:right w:val="single" w:color="auto" w:sz="4" w:space="0"/>
            </w:tcBorders>
            <w:vAlign w:val="center"/>
          </w:tcPr>
          <w:p>
            <w:pPr>
              <w:spacing w:line="360" w:lineRule="exact"/>
              <w:jc w:val="center"/>
              <w:rPr>
                <w:rFonts w:eastAsia="仿宋_GB2312"/>
                <w:color w:val="auto"/>
                <w:sz w:val="28"/>
                <w:szCs w:val="28"/>
              </w:rPr>
            </w:pPr>
            <w:r>
              <w:rPr>
                <w:rFonts w:eastAsia="仿宋_GB2312"/>
                <w:color w:val="auto"/>
                <w:sz w:val="28"/>
                <w:szCs w:val="28"/>
              </w:rPr>
              <w:t>15</w:t>
            </w:r>
          </w:p>
        </w:tc>
      </w:tr>
      <w:tr>
        <w:tblPrEx>
          <w:tblLayout w:type="fixed"/>
          <w:tblCellMar>
            <w:top w:w="0" w:type="dxa"/>
            <w:left w:w="108" w:type="dxa"/>
            <w:bottom w:w="0" w:type="dxa"/>
            <w:right w:w="108" w:type="dxa"/>
          </w:tblCellMar>
        </w:tblPrEx>
        <w:trPr>
          <w:gridAfter w:val="1"/>
          <w:wAfter w:w="1" w:type="dxa"/>
          <w:trHeight w:val="454" w:hRule="atLeast"/>
        </w:trPr>
        <w:tc>
          <w:tcPr>
            <w:tcW w:w="1131"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rFonts w:eastAsia="仿宋_GB2312"/>
                <w:color w:val="auto"/>
                <w:sz w:val="24"/>
              </w:rPr>
            </w:pPr>
          </w:p>
        </w:tc>
        <w:tc>
          <w:tcPr>
            <w:tcW w:w="1549" w:type="dxa"/>
            <w:vMerge w:val="restart"/>
            <w:tcBorders>
              <w:top w:val="nil"/>
              <w:left w:val="single" w:color="auto" w:sz="4" w:space="0"/>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B5队伍建设（215分）</w:t>
            </w:r>
          </w:p>
        </w:tc>
        <w:tc>
          <w:tcPr>
            <w:tcW w:w="3099" w:type="dxa"/>
            <w:tcBorders>
              <w:top w:val="nil"/>
              <w:left w:val="nil"/>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*C13编制落实</w:t>
            </w:r>
          </w:p>
        </w:tc>
        <w:tc>
          <w:tcPr>
            <w:tcW w:w="934" w:type="dxa"/>
            <w:tcBorders>
              <w:top w:val="nil"/>
              <w:left w:val="nil"/>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30</w:t>
            </w:r>
          </w:p>
        </w:tc>
        <w:tc>
          <w:tcPr>
            <w:tcW w:w="1162" w:type="dxa"/>
            <w:gridSpan w:val="2"/>
            <w:tcBorders>
              <w:top w:val="nil"/>
              <w:left w:val="nil"/>
              <w:bottom w:val="single" w:color="auto" w:sz="4" w:space="0"/>
              <w:right w:val="single" w:color="auto" w:sz="4" w:space="0"/>
            </w:tcBorders>
            <w:vAlign w:val="center"/>
          </w:tcPr>
          <w:p>
            <w:pPr>
              <w:spacing w:line="360" w:lineRule="exact"/>
              <w:jc w:val="center"/>
              <w:rPr>
                <w:rFonts w:hint="eastAsia" w:eastAsia="仿宋_GB2312"/>
                <w:color w:val="auto"/>
                <w:sz w:val="28"/>
                <w:szCs w:val="28"/>
                <w:lang w:val="en-US" w:eastAsia="zh-CN"/>
              </w:rPr>
            </w:pPr>
            <w:r>
              <w:rPr>
                <w:rFonts w:hint="eastAsia" w:eastAsia="仿宋_GB2312"/>
                <w:color w:val="auto"/>
                <w:sz w:val="28"/>
                <w:szCs w:val="28"/>
                <w:lang w:val="en-US" w:eastAsia="zh-CN"/>
              </w:rPr>
              <w:t>0</w:t>
            </w:r>
          </w:p>
        </w:tc>
        <w:tc>
          <w:tcPr>
            <w:tcW w:w="1148" w:type="dxa"/>
            <w:gridSpan w:val="2"/>
            <w:tcBorders>
              <w:top w:val="nil"/>
              <w:left w:val="nil"/>
              <w:bottom w:val="single" w:color="auto" w:sz="4" w:space="0"/>
              <w:right w:val="single" w:color="auto" w:sz="4" w:space="0"/>
            </w:tcBorders>
            <w:vAlign w:val="center"/>
          </w:tcPr>
          <w:p>
            <w:pPr>
              <w:spacing w:line="360" w:lineRule="exact"/>
              <w:jc w:val="center"/>
              <w:rPr>
                <w:rFonts w:eastAsia="仿宋_GB2312"/>
                <w:color w:val="auto"/>
                <w:sz w:val="28"/>
                <w:szCs w:val="28"/>
              </w:rPr>
            </w:pPr>
            <w:r>
              <w:rPr>
                <w:rFonts w:eastAsia="仿宋_GB2312"/>
                <w:color w:val="auto"/>
                <w:sz w:val="28"/>
                <w:szCs w:val="28"/>
              </w:rPr>
              <w:t>30</w:t>
            </w:r>
          </w:p>
        </w:tc>
      </w:tr>
      <w:tr>
        <w:tblPrEx>
          <w:tblLayout w:type="fixed"/>
          <w:tblCellMar>
            <w:top w:w="0" w:type="dxa"/>
            <w:left w:w="108" w:type="dxa"/>
            <w:bottom w:w="0" w:type="dxa"/>
            <w:right w:w="108" w:type="dxa"/>
          </w:tblCellMar>
        </w:tblPrEx>
        <w:trPr>
          <w:gridAfter w:val="1"/>
          <w:wAfter w:w="1" w:type="dxa"/>
          <w:trHeight w:val="454" w:hRule="atLeast"/>
        </w:trPr>
        <w:tc>
          <w:tcPr>
            <w:tcW w:w="1131"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rFonts w:eastAsia="仿宋_GB2312"/>
                <w:color w:val="auto"/>
                <w:sz w:val="24"/>
              </w:rPr>
            </w:pPr>
          </w:p>
        </w:tc>
        <w:tc>
          <w:tcPr>
            <w:tcW w:w="1549" w:type="dxa"/>
            <w:vMerge w:val="continue"/>
            <w:tcBorders>
              <w:top w:val="nil"/>
              <w:left w:val="single" w:color="auto" w:sz="4" w:space="0"/>
              <w:bottom w:val="single" w:color="auto" w:sz="4" w:space="0"/>
              <w:right w:val="single" w:color="auto" w:sz="4" w:space="0"/>
            </w:tcBorders>
            <w:vAlign w:val="center"/>
          </w:tcPr>
          <w:p>
            <w:pPr>
              <w:spacing w:line="360" w:lineRule="exact"/>
              <w:jc w:val="center"/>
              <w:rPr>
                <w:rFonts w:eastAsia="仿宋_GB2312"/>
                <w:color w:val="auto"/>
                <w:sz w:val="24"/>
              </w:rPr>
            </w:pPr>
          </w:p>
        </w:tc>
        <w:tc>
          <w:tcPr>
            <w:tcW w:w="3099" w:type="dxa"/>
            <w:tcBorders>
              <w:top w:val="nil"/>
              <w:left w:val="nil"/>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*C14轮岗交流</w:t>
            </w:r>
          </w:p>
        </w:tc>
        <w:tc>
          <w:tcPr>
            <w:tcW w:w="934" w:type="dxa"/>
            <w:tcBorders>
              <w:top w:val="nil"/>
              <w:left w:val="nil"/>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30</w:t>
            </w:r>
          </w:p>
        </w:tc>
        <w:tc>
          <w:tcPr>
            <w:tcW w:w="1162" w:type="dxa"/>
            <w:gridSpan w:val="2"/>
            <w:tcBorders>
              <w:top w:val="nil"/>
              <w:left w:val="nil"/>
              <w:bottom w:val="single" w:color="auto" w:sz="4" w:space="0"/>
              <w:right w:val="single" w:color="auto" w:sz="4" w:space="0"/>
            </w:tcBorders>
            <w:vAlign w:val="center"/>
          </w:tcPr>
          <w:p>
            <w:pPr>
              <w:spacing w:line="360" w:lineRule="exact"/>
              <w:jc w:val="center"/>
              <w:rPr>
                <w:rFonts w:hint="eastAsia" w:eastAsia="仿宋_GB2312"/>
                <w:color w:val="auto"/>
                <w:sz w:val="28"/>
                <w:szCs w:val="28"/>
                <w:lang w:val="en-US" w:eastAsia="zh-CN"/>
              </w:rPr>
            </w:pPr>
            <w:r>
              <w:rPr>
                <w:rFonts w:hint="eastAsia" w:eastAsia="仿宋_GB2312"/>
                <w:color w:val="auto"/>
                <w:sz w:val="28"/>
                <w:szCs w:val="28"/>
                <w:lang w:val="en-US" w:eastAsia="zh-CN"/>
              </w:rPr>
              <w:t>0</w:t>
            </w:r>
          </w:p>
        </w:tc>
        <w:tc>
          <w:tcPr>
            <w:tcW w:w="1148" w:type="dxa"/>
            <w:gridSpan w:val="2"/>
            <w:tcBorders>
              <w:top w:val="nil"/>
              <w:left w:val="nil"/>
              <w:bottom w:val="single" w:color="auto" w:sz="4" w:space="0"/>
              <w:right w:val="single" w:color="auto" w:sz="4" w:space="0"/>
            </w:tcBorders>
            <w:vAlign w:val="center"/>
          </w:tcPr>
          <w:p>
            <w:pPr>
              <w:spacing w:line="360" w:lineRule="exact"/>
              <w:jc w:val="center"/>
              <w:rPr>
                <w:rFonts w:eastAsia="仿宋_GB2312"/>
                <w:color w:val="auto"/>
                <w:sz w:val="28"/>
                <w:szCs w:val="28"/>
              </w:rPr>
            </w:pPr>
            <w:r>
              <w:rPr>
                <w:rFonts w:eastAsia="仿宋_GB2312"/>
                <w:color w:val="auto"/>
                <w:sz w:val="28"/>
                <w:szCs w:val="28"/>
              </w:rPr>
              <w:t>30</w:t>
            </w:r>
          </w:p>
        </w:tc>
      </w:tr>
      <w:tr>
        <w:tblPrEx>
          <w:tblLayout w:type="fixed"/>
          <w:tblCellMar>
            <w:top w:w="0" w:type="dxa"/>
            <w:left w:w="108" w:type="dxa"/>
            <w:bottom w:w="0" w:type="dxa"/>
            <w:right w:w="108" w:type="dxa"/>
          </w:tblCellMar>
        </w:tblPrEx>
        <w:trPr>
          <w:gridAfter w:val="1"/>
          <w:wAfter w:w="1" w:type="dxa"/>
          <w:trHeight w:val="454" w:hRule="atLeast"/>
        </w:trPr>
        <w:tc>
          <w:tcPr>
            <w:tcW w:w="1131"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rFonts w:eastAsia="仿宋_GB2312"/>
                <w:color w:val="auto"/>
                <w:sz w:val="24"/>
              </w:rPr>
            </w:pPr>
          </w:p>
        </w:tc>
        <w:tc>
          <w:tcPr>
            <w:tcW w:w="1549" w:type="dxa"/>
            <w:vMerge w:val="continue"/>
            <w:tcBorders>
              <w:top w:val="nil"/>
              <w:left w:val="single" w:color="auto" w:sz="4" w:space="0"/>
              <w:bottom w:val="single" w:color="auto" w:sz="4" w:space="0"/>
              <w:right w:val="single" w:color="auto" w:sz="4" w:space="0"/>
            </w:tcBorders>
            <w:vAlign w:val="center"/>
          </w:tcPr>
          <w:p>
            <w:pPr>
              <w:spacing w:line="360" w:lineRule="exact"/>
              <w:jc w:val="center"/>
              <w:rPr>
                <w:rFonts w:eastAsia="仿宋_GB2312"/>
                <w:color w:val="auto"/>
                <w:sz w:val="24"/>
              </w:rPr>
            </w:pPr>
          </w:p>
        </w:tc>
        <w:tc>
          <w:tcPr>
            <w:tcW w:w="3099" w:type="dxa"/>
            <w:tcBorders>
              <w:top w:val="nil"/>
              <w:left w:val="nil"/>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*C15绩效工资</w:t>
            </w:r>
          </w:p>
        </w:tc>
        <w:tc>
          <w:tcPr>
            <w:tcW w:w="934" w:type="dxa"/>
            <w:tcBorders>
              <w:top w:val="nil"/>
              <w:left w:val="nil"/>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30</w:t>
            </w:r>
          </w:p>
        </w:tc>
        <w:tc>
          <w:tcPr>
            <w:tcW w:w="1162" w:type="dxa"/>
            <w:gridSpan w:val="2"/>
            <w:tcBorders>
              <w:top w:val="nil"/>
              <w:left w:val="nil"/>
              <w:bottom w:val="single" w:color="auto" w:sz="4" w:space="0"/>
              <w:right w:val="single" w:color="auto" w:sz="4" w:space="0"/>
            </w:tcBorders>
            <w:vAlign w:val="center"/>
          </w:tcPr>
          <w:p>
            <w:pPr>
              <w:spacing w:line="360" w:lineRule="exact"/>
              <w:jc w:val="center"/>
              <w:rPr>
                <w:rFonts w:hint="eastAsia" w:eastAsia="仿宋_GB2312"/>
                <w:color w:val="auto"/>
                <w:sz w:val="28"/>
                <w:szCs w:val="28"/>
                <w:lang w:val="en-US" w:eastAsia="zh-CN"/>
              </w:rPr>
            </w:pPr>
            <w:r>
              <w:rPr>
                <w:rFonts w:hint="eastAsia" w:eastAsia="仿宋_GB2312"/>
                <w:color w:val="auto"/>
                <w:sz w:val="28"/>
                <w:szCs w:val="28"/>
                <w:lang w:val="en-US" w:eastAsia="zh-CN"/>
              </w:rPr>
              <w:t>0</w:t>
            </w:r>
          </w:p>
        </w:tc>
        <w:tc>
          <w:tcPr>
            <w:tcW w:w="1148" w:type="dxa"/>
            <w:gridSpan w:val="2"/>
            <w:tcBorders>
              <w:top w:val="nil"/>
              <w:left w:val="nil"/>
              <w:bottom w:val="single" w:color="auto" w:sz="4" w:space="0"/>
              <w:right w:val="single" w:color="auto" w:sz="4" w:space="0"/>
            </w:tcBorders>
            <w:vAlign w:val="center"/>
          </w:tcPr>
          <w:p>
            <w:pPr>
              <w:spacing w:line="360" w:lineRule="exact"/>
              <w:jc w:val="center"/>
              <w:rPr>
                <w:rFonts w:eastAsia="仿宋_GB2312"/>
                <w:color w:val="auto"/>
                <w:sz w:val="28"/>
                <w:szCs w:val="28"/>
              </w:rPr>
            </w:pPr>
            <w:r>
              <w:rPr>
                <w:rFonts w:eastAsia="仿宋_GB2312"/>
                <w:color w:val="auto"/>
                <w:sz w:val="28"/>
                <w:szCs w:val="28"/>
              </w:rPr>
              <w:t>30</w:t>
            </w:r>
          </w:p>
        </w:tc>
      </w:tr>
      <w:tr>
        <w:tblPrEx>
          <w:tblLayout w:type="fixed"/>
          <w:tblCellMar>
            <w:top w:w="0" w:type="dxa"/>
            <w:left w:w="108" w:type="dxa"/>
            <w:bottom w:w="0" w:type="dxa"/>
            <w:right w:w="108" w:type="dxa"/>
          </w:tblCellMar>
        </w:tblPrEx>
        <w:trPr>
          <w:gridAfter w:val="1"/>
          <w:wAfter w:w="1" w:type="dxa"/>
          <w:trHeight w:val="454" w:hRule="atLeast"/>
        </w:trPr>
        <w:tc>
          <w:tcPr>
            <w:tcW w:w="1131"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rFonts w:eastAsia="仿宋_GB2312"/>
                <w:color w:val="auto"/>
                <w:sz w:val="24"/>
              </w:rPr>
            </w:pPr>
          </w:p>
        </w:tc>
        <w:tc>
          <w:tcPr>
            <w:tcW w:w="1549" w:type="dxa"/>
            <w:vMerge w:val="continue"/>
            <w:tcBorders>
              <w:top w:val="nil"/>
              <w:left w:val="single" w:color="auto" w:sz="4" w:space="0"/>
              <w:bottom w:val="single" w:color="auto" w:sz="4" w:space="0"/>
              <w:right w:val="single" w:color="auto" w:sz="4" w:space="0"/>
            </w:tcBorders>
            <w:vAlign w:val="center"/>
          </w:tcPr>
          <w:p>
            <w:pPr>
              <w:spacing w:line="360" w:lineRule="exact"/>
              <w:jc w:val="center"/>
              <w:rPr>
                <w:rFonts w:eastAsia="仿宋_GB2312"/>
                <w:color w:val="auto"/>
                <w:sz w:val="24"/>
              </w:rPr>
            </w:pPr>
          </w:p>
        </w:tc>
        <w:tc>
          <w:tcPr>
            <w:tcW w:w="3099" w:type="dxa"/>
            <w:tcBorders>
              <w:top w:val="nil"/>
              <w:left w:val="nil"/>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C16管理队伍</w:t>
            </w:r>
          </w:p>
        </w:tc>
        <w:tc>
          <w:tcPr>
            <w:tcW w:w="934" w:type="dxa"/>
            <w:tcBorders>
              <w:top w:val="nil"/>
              <w:left w:val="nil"/>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20</w:t>
            </w:r>
          </w:p>
        </w:tc>
        <w:tc>
          <w:tcPr>
            <w:tcW w:w="1162" w:type="dxa"/>
            <w:gridSpan w:val="2"/>
            <w:tcBorders>
              <w:top w:val="nil"/>
              <w:left w:val="nil"/>
              <w:bottom w:val="single" w:color="auto" w:sz="4" w:space="0"/>
              <w:right w:val="single" w:color="auto" w:sz="4" w:space="0"/>
            </w:tcBorders>
            <w:vAlign w:val="center"/>
          </w:tcPr>
          <w:p>
            <w:pPr>
              <w:spacing w:line="360" w:lineRule="exact"/>
              <w:jc w:val="center"/>
              <w:rPr>
                <w:rFonts w:hint="eastAsia" w:eastAsia="仿宋_GB2312"/>
                <w:color w:val="auto"/>
                <w:sz w:val="28"/>
                <w:szCs w:val="28"/>
                <w:lang w:val="en-US" w:eastAsia="zh-CN"/>
              </w:rPr>
            </w:pPr>
            <w:r>
              <w:rPr>
                <w:rFonts w:hint="eastAsia" w:eastAsia="仿宋_GB2312"/>
                <w:color w:val="auto"/>
                <w:sz w:val="28"/>
                <w:szCs w:val="28"/>
                <w:lang w:val="en-US" w:eastAsia="zh-CN"/>
              </w:rPr>
              <w:t>0</w:t>
            </w:r>
          </w:p>
        </w:tc>
        <w:tc>
          <w:tcPr>
            <w:tcW w:w="1148" w:type="dxa"/>
            <w:gridSpan w:val="2"/>
            <w:tcBorders>
              <w:top w:val="nil"/>
              <w:left w:val="nil"/>
              <w:bottom w:val="single" w:color="auto" w:sz="4" w:space="0"/>
              <w:right w:val="single" w:color="auto" w:sz="4" w:space="0"/>
            </w:tcBorders>
            <w:vAlign w:val="center"/>
          </w:tcPr>
          <w:p>
            <w:pPr>
              <w:spacing w:line="360" w:lineRule="exact"/>
              <w:jc w:val="center"/>
              <w:rPr>
                <w:rFonts w:eastAsia="仿宋_GB2312"/>
                <w:color w:val="auto"/>
                <w:sz w:val="28"/>
                <w:szCs w:val="28"/>
              </w:rPr>
            </w:pPr>
            <w:r>
              <w:rPr>
                <w:rFonts w:eastAsia="仿宋_GB2312"/>
                <w:color w:val="auto"/>
                <w:sz w:val="28"/>
                <w:szCs w:val="28"/>
              </w:rPr>
              <w:t>20</w:t>
            </w:r>
          </w:p>
        </w:tc>
      </w:tr>
      <w:tr>
        <w:tblPrEx>
          <w:tblLayout w:type="fixed"/>
          <w:tblCellMar>
            <w:top w:w="0" w:type="dxa"/>
            <w:left w:w="108" w:type="dxa"/>
            <w:bottom w:w="0" w:type="dxa"/>
            <w:right w:w="108" w:type="dxa"/>
          </w:tblCellMar>
        </w:tblPrEx>
        <w:trPr>
          <w:gridAfter w:val="1"/>
          <w:wAfter w:w="1" w:type="dxa"/>
          <w:trHeight w:val="454" w:hRule="atLeast"/>
        </w:trPr>
        <w:tc>
          <w:tcPr>
            <w:tcW w:w="1131"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rFonts w:eastAsia="仿宋_GB2312"/>
                <w:color w:val="auto"/>
                <w:sz w:val="24"/>
              </w:rPr>
            </w:pPr>
          </w:p>
        </w:tc>
        <w:tc>
          <w:tcPr>
            <w:tcW w:w="1549" w:type="dxa"/>
            <w:vMerge w:val="continue"/>
            <w:tcBorders>
              <w:top w:val="nil"/>
              <w:left w:val="single" w:color="auto" w:sz="4" w:space="0"/>
              <w:bottom w:val="single" w:color="auto" w:sz="4" w:space="0"/>
              <w:right w:val="single" w:color="auto" w:sz="4" w:space="0"/>
            </w:tcBorders>
            <w:vAlign w:val="center"/>
          </w:tcPr>
          <w:p>
            <w:pPr>
              <w:spacing w:line="360" w:lineRule="exact"/>
              <w:jc w:val="center"/>
              <w:rPr>
                <w:rFonts w:eastAsia="仿宋_GB2312"/>
                <w:color w:val="auto"/>
                <w:sz w:val="24"/>
              </w:rPr>
            </w:pPr>
          </w:p>
        </w:tc>
        <w:tc>
          <w:tcPr>
            <w:tcW w:w="3099" w:type="dxa"/>
            <w:tcBorders>
              <w:top w:val="nil"/>
              <w:left w:val="nil"/>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C17教师队伍</w:t>
            </w:r>
          </w:p>
        </w:tc>
        <w:tc>
          <w:tcPr>
            <w:tcW w:w="934" w:type="dxa"/>
            <w:tcBorders>
              <w:top w:val="nil"/>
              <w:left w:val="nil"/>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30</w:t>
            </w:r>
          </w:p>
        </w:tc>
        <w:tc>
          <w:tcPr>
            <w:tcW w:w="1162" w:type="dxa"/>
            <w:gridSpan w:val="2"/>
            <w:tcBorders>
              <w:top w:val="nil"/>
              <w:left w:val="nil"/>
              <w:bottom w:val="single" w:color="auto" w:sz="4" w:space="0"/>
              <w:right w:val="single" w:color="auto" w:sz="4" w:space="0"/>
            </w:tcBorders>
            <w:vAlign w:val="center"/>
          </w:tcPr>
          <w:p>
            <w:pPr>
              <w:spacing w:line="360" w:lineRule="exact"/>
              <w:jc w:val="center"/>
              <w:rPr>
                <w:rFonts w:hint="eastAsia" w:eastAsia="仿宋_GB2312"/>
                <w:color w:val="auto"/>
                <w:sz w:val="28"/>
                <w:szCs w:val="28"/>
                <w:lang w:val="en-US" w:eastAsia="zh-CN"/>
              </w:rPr>
            </w:pPr>
            <w:r>
              <w:rPr>
                <w:rFonts w:hint="eastAsia" w:eastAsia="仿宋_GB2312"/>
                <w:color w:val="auto"/>
                <w:sz w:val="28"/>
                <w:szCs w:val="28"/>
                <w:lang w:val="en-US" w:eastAsia="zh-CN"/>
              </w:rPr>
              <w:t>0</w:t>
            </w:r>
          </w:p>
        </w:tc>
        <w:tc>
          <w:tcPr>
            <w:tcW w:w="1148" w:type="dxa"/>
            <w:gridSpan w:val="2"/>
            <w:tcBorders>
              <w:top w:val="nil"/>
              <w:left w:val="nil"/>
              <w:bottom w:val="single" w:color="auto" w:sz="4" w:space="0"/>
              <w:right w:val="single" w:color="auto" w:sz="4" w:space="0"/>
            </w:tcBorders>
            <w:vAlign w:val="center"/>
          </w:tcPr>
          <w:p>
            <w:pPr>
              <w:spacing w:line="360" w:lineRule="exact"/>
              <w:jc w:val="center"/>
              <w:rPr>
                <w:rFonts w:eastAsia="仿宋_GB2312"/>
                <w:color w:val="auto"/>
                <w:sz w:val="28"/>
                <w:szCs w:val="28"/>
              </w:rPr>
            </w:pPr>
            <w:r>
              <w:rPr>
                <w:rFonts w:eastAsia="仿宋_GB2312"/>
                <w:color w:val="auto"/>
                <w:sz w:val="28"/>
                <w:szCs w:val="28"/>
              </w:rPr>
              <w:t>30</w:t>
            </w:r>
          </w:p>
        </w:tc>
      </w:tr>
      <w:tr>
        <w:tblPrEx>
          <w:tblLayout w:type="fixed"/>
          <w:tblCellMar>
            <w:top w:w="0" w:type="dxa"/>
            <w:left w:w="108" w:type="dxa"/>
            <w:bottom w:w="0" w:type="dxa"/>
            <w:right w:w="108" w:type="dxa"/>
          </w:tblCellMar>
        </w:tblPrEx>
        <w:trPr>
          <w:gridAfter w:val="1"/>
          <w:wAfter w:w="1" w:type="dxa"/>
          <w:trHeight w:val="454" w:hRule="atLeast"/>
        </w:trPr>
        <w:tc>
          <w:tcPr>
            <w:tcW w:w="1131"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rFonts w:eastAsia="仿宋_GB2312"/>
                <w:color w:val="auto"/>
                <w:sz w:val="24"/>
              </w:rPr>
            </w:pPr>
          </w:p>
        </w:tc>
        <w:tc>
          <w:tcPr>
            <w:tcW w:w="1549" w:type="dxa"/>
            <w:vMerge w:val="continue"/>
            <w:tcBorders>
              <w:top w:val="nil"/>
              <w:left w:val="single" w:color="auto" w:sz="4" w:space="0"/>
              <w:bottom w:val="single" w:color="auto" w:sz="4" w:space="0"/>
              <w:right w:val="single" w:color="auto" w:sz="4" w:space="0"/>
            </w:tcBorders>
            <w:vAlign w:val="center"/>
          </w:tcPr>
          <w:p>
            <w:pPr>
              <w:spacing w:line="360" w:lineRule="exact"/>
              <w:jc w:val="center"/>
              <w:rPr>
                <w:rFonts w:eastAsia="仿宋_GB2312"/>
                <w:color w:val="auto"/>
                <w:sz w:val="24"/>
              </w:rPr>
            </w:pPr>
          </w:p>
        </w:tc>
        <w:tc>
          <w:tcPr>
            <w:tcW w:w="3099" w:type="dxa"/>
            <w:tcBorders>
              <w:top w:val="nil"/>
              <w:left w:val="nil"/>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C18教辅队伍</w:t>
            </w:r>
          </w:p>
        </w:tc>
        <w:tc>
          <w:tcPr>
            <w:tcW w:w="934" w:type="dxa"/>
            <w:tcBorders>
              <w:top w:val="nil"/>
              <w:left w:val="nil"/>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20</w:t>
            </w:r>
          </w:p>
        </w:tc>
        <w:tc>
          <w:tcPr>
            <w:tcW w:w="1162" w:type="dxa"/>
            <w:gridSpan w:val="2"/>
            <w:tcBorders>
              <w:top w:val="nil"/>
              <w:left w:val="nil"/>
              <w:bottom w:val="single" w:color="auto" w:sz="4" w:space="0"/>
              <w:right w:val="single" w:color="auto" w:sz="4" w:space="0"/>
            </w:tcBorders>
            <w:vAlign w:val="center"/>
          </w:tcPr>
          <w:p>
            <w:pPr>
              <w:spacing w:line="360" w:lineRule="exact"/>
              <w:jc w:val="center"/>
              <w:rPr>
                <w:rFonts w:hint="eastAsia" w:eastAsia="仿宋_GB2312"/>
                <w:color w:val="auto"/>
                <w:sz w:val="28"/>
                <w:szCs w:val="28"/>
                <w:lang w:val="en-US" w:eastAsia="zh-CN"/>
              </w:rPr>
            </w:pPr>
            <w:r>
              <w:rPr>
                <w:rFonts w:hint="eastAsia" w:eastAsia="仿宋_GB2312"/>
                <w:color w:val="auto"/>
                <w:sz w:val="28"/>
                <w:szCs w:val="28"/>
                <w:lang w:val="en-US" w:eastAsia="zh-CN"/>
              </w:rPr>
              <w:t>0</w:t>
            </w:r>
          </w:p>
        </w:tc>
        <w:tc>
          <w:tcPr>
            <w:tcW w:w="1148" w:type="dxa"/>
            <w:gridSpan w:val="2"/>
            <w:tcBorders>
              <w:top w:val="nil"/>
              <w:left w:val="nil"/>
              <w:bottom w:val="single" w:color="auto" w:sz="4" w:space="0"/>
              <w:right w:val="single" w:color="auto" w:sz="4" w:space="0"/>
            </w:tcBorders>
            <w:vAlign w:val="center"/>
          </w:tcPr>
          <w:p>
            <w:pPr>
              <w:spacing w:line="360" w:lineRule="exact"/>
              <w:jc w:val="center"/>
              <w:rPr>
                <w:rFonts w:eastAsia="仿宋_GB2312"/>
                <w:color w:val="auto"/>
                <w:sz w:val="28"/>
                <w:szCs w:val="28"/>
              </w:rPr>
            </w:pPr>
            <w:r>
              <w:rPr>
                <w:rFonts w:eastAsia="仿宋_GB2312"/>
                <w:color w:val="auto"/>
                <w:sz w:val="28"/>
                <w:szCs w:val="28"/>
              </w:rPr>
              <w:t>20</w:t>
            </w:r>
          </w:p>
        </w:tc>
      </w:tr>
      <w:tr>
        <w:tblPrEx>
          <w:tblLayout w:type="fixed"/>
          <w:tblCellMar>
            <w:top w:w="0" w:type="dxa"/>
            <w:left w:w="108" w:type="dxa"/>
            <w:bottom w:w="0" w:type="dxa"/>
            <w:right w:w="108" w:type="dxa"/>
          </w:tblCellMar>
        </w:tblPrEx>
        <w:trPr>
          <w:gridAfter w:val="1"/>
          <w:wAfter w:w="1" w:type="dxa"/>
          <w:trHeight w:val="454" w:hRule="atLeast"/>
        </w:trPr>
        <w:tc>
          <w:tcPr>
            <w:tcW w:w="1131" w:type="dxa"/>
            <w:vMerge w:val="continue"/>
            <w:tcBorders>
              <w:top w:val="nil"/>
              <w:left w:val="single" w:color="auto" w:sz="4" w:space="0"/>
              <w:bottom w:val="single" w:color="000000" w:sz="4" w:space="0"/>
              <w:right w:val="single" w:color="auto" w:sz="4" w:space="0"/>
            </w:tcBorders>
            <w:vAlign w:val="center"/>
          </w:tcPr>
          <w:p>
            <w:pPr>
              <w:spacing w:line="360" w:lineRule="exact"/>
              <w:jc w:val="center"/>
              <w:rPr>
                <w:rFonts w:eastAsia="仿宋_GB2312"/>
                <w:color w:val="auto"/>
                <w:sz w:val="24"/>
              </w:rPr>
            </w:pPr>
          </w:p>
        </w:tc>
        <w:tc>
          <w:tcPr>
            <w:tcW w:w="1549" w:type="dxa"/>
            <w:vMerge w:val="continue"/>
            <w:tcBorders>
              <w:top w:val="nil"/>
              <w:left w:val="single" w:color="auto" w:sz="4" w:space="0"/>
              <w:bottom w:val="single" w:color="auto" w:sz="4" w:space="0"/>
              <w:right w:val="single" w:color="auto" w:sz="4" w:space="0"/>
            </w:tcBorders>
            <w:vAlign w:val="center"/>
          </w:tcPr>
          <w:p>
            <w:pPr>
              <w:spacing w:line="360" w:lineRule="exact"/>
              <w:jc w:val="center"/>
              <w:rPr>
                <w:rFonts w:eastAsia="仿宋_GB2312"/>
                <w:color w:val="auto"/>
                <w:sz w:val="24"/>
              </w:rPr>
            </w:pPr>
          </w:p>
        </w:tc>
        <w:tc>
          <w:tcPr>
            <w:tcW w:w="3099" w:type="dxa"/>
            <w:tcBorders>
              <w:top w:val="nil"/>
              <w:left w:val="nil"/>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C19教研队伍</w:t>
            </w:r>
          </w:p>
        </w:tc>
        <w:tc>
          <w:tcPr>
            <w:tcW w:w="934" w:type="dxa"/>
            <w:tcBorders>
              <w:top w:val="nil"/>
              <w:left w:val="nil"/>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25</w:t>
            </w:r>
          </w:p>
        </w:tc>
        <w:tc>
          <w:tcPr>
            <w:tcW w:w="1162" w:type="dxa"/>
            <w:gridSpan w:val="2"/>
            <w:tcBorders>
              <w:top w:val="nil"/>
              <w:left w:val="nil"/>
              <w:bottom w:val="single" w:color="auto" w:sz="4" w:space="0"/>
              <w:right w:val="single" w:color="auto" w:sz="4" w:space="0"/>
            </w:tcBorders>
            <w:vAlign w:val="center"/>
          </w:tcPr>
          <w:p>
            <w:pPr>
              <w:spacing w:line="360" w:lineRule="exact"/>
              <w:jc w:val="center"/>
              <w:rPr>
                <w:rFonts w:hint="eastAsia" w:eastAsia="仿宋_GB2312"/>
                <w:color w:val="auto"/>
                <w:sz w:val="28"/>
                <w:szCs w:val="28"/>
                <w:lang w:val="en-US" w:eastAsia="zh-CN"/>
              </w:rPr>
            </w:pPr>
            <w:r>
              <w:rPr>
                <w:rFonts w:hint="eastAsia" w:eastAsia="仿宋_GB2312"/>
                <w:color w:val="auto"/>
                <w:sz w:val="28"/>
                <w:szCs w:val="28"/>
                <w:lang w:val="en-US" w:eastAsia="zh-CN"/>
              </w:rPr>
              <w:t>1</w:t>
            </w:r>
          </w:p>
        </w:tc>
        <w:tc>
          <w:tcPr>
            <w:tcW w:w="1148" w:type="dxa"/>
            <w:gridSpan w:val="2"/>
            <w:tcBorders>
              <w:top w:val="nil"/>
              <w:left w:val="nil"/>
              <w:bottom w:val="single" w:color="auto" w:sz="4" w:space="0"/>
              <w:right w:val="single" w:color="auto" w:sz="4" w:space="0"/>
            </w:tcBorders>
            <w:vAlign w:val="center"/>
          </w:tcPr>
          <w:p>
            <w:pPr>
              <w:spacing w:line="360" w:lineRule="exact"/>
              <w:jc w:val="center"/>
              <w:rPr>
                <w:rFonts w:eastAsia="仿宋_GB2312"/>
                <w:color w:val="auto"/>
                <w:sz w:val="28"/>
                <w:szCs w:val="28"/>
              </w:rPr>
            </w:pPr>
            <w:r>
              <w:rPr>
                <w:rFonts w:eastAsia="仿宋_GB2312"/>
                <w:color w:val="auto"/>
                <w:sz w:val="28"/>
                <w:szCs w:val="28"/>
              </w:rPr>
              <w:t>24</w:t>
            </w:r>
          </w:p>
        </w:tc>
      </w:tr>
      <w:tr>
        <w:tblPrEx>
          <w:tblLayout w:type="fixed"/>
          <w:tblCellMar>
            <w:top w:w="0" w:type="dxa"/>
            <w:left w:w="108" w:type="dxa"/>
            <w:bottom w:w="0" w:type="dxa"/>
            <w:right w:w="108" w:type="dxa"/>
          </w:tblCellMar>
        </w:tblPrEx>
        <w:trPr>
          <w:gridAfter w:val="1"/>
          <w:wAfter w:w="1" w:type="dxa"/>
          <w:trHeight w:val="454" w:hRule="atLeast"/>
        </w:trPr>
        <w:tc>
          <w:tcPr>
            <w:tcW w:w="1131" w:type="dxa"/>
            <w:vMerge w:val="continue"/>
            <w:tcBorders>
              <w:top w:val="nil"/>
              <w:left w:val="single" w:color="auto" w:sz="4" w:space="0"/>
              <w:bottom w:val="single" w:color="auto" w:sz="4" w:space="0"/>
              <w:right w:val="single" w:color="auto" w:sz="4" w:space="0"/>
            </w:tcBorders>
            <w:vAlign w:val="center"/>
          </w:tcPr>
          <w:p>
            <w:pPr>
              <w:spacing w:line="360" w:lineRule="exact"/>
              <w:jc w:val="center"/>
              <w:rPr>
                <w:rFonts w:eastAsia="仿宋_GB2312"/>
                <w:color w:val="auto"/>
                <w:sz w:val="24"/>
              </w:rPr>
            </w:pPr>
          </w:p>
        </w:tc>
        <w:tc>
          <w:tcPr>
            <w:tcW w:w="1549" w:type="dxa"/>
            <w:vMerge w:val="continue"/>
            <w:tcBorders>
              <w:top w:val="nil"/>
              <w:left w:val="single" w:color="auto" w:sz="4" w:space="0"/>
              <w:bottom w:val="single" w:color="auto" w:sz="4" w:space="0"/>
              <w:right w:val="single" w:color="auto" w:sz="4" w:space="0"/>
            </w:tcBorders>
            <w:vAlign w:val="center"/>
          </w:tcPr>
          <w:p>
            <w:pPr>
              <w:spacing w:line="360" w:lineRule="exact"/>
              <w:jc w:val="center"/>
              <w:rPr>
                <w:rFonts w:eastAsia="仿宋_GB2312"/>
                <w:color w:val="auto"/>
                <w:sz w:val="24"/>
              </w:rPr>
            </w:pPr>
          </w:p>
        </w:tc>
        <w:tc>
          <w:tcPr>
            <w:tcW w:w="3099" w:type="dxa"/>
            <w:tcBorders>
              <w:top w:val="nil"/>
              <w:left w:val="nil"/>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*C20教师培训</w:t>
            </w:r>
          </w:p>
        </w:tc>
        <w:tc>
          <w:tcPr>
            <w:tcW w:w="934" w:type="dxa"/>
            <w:tcBorders>
              <w:top w:val="nil"/>
              <w:left w:val="nil"/>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30</w:t>
            </w:r>
          </w:p>
        </w:tc>
        <w:tc>
          <w:tcPr>
            <w:tcW w:w="1162" w:type="dxa"/>
            <w:gridSpan w:val="2"/>
            <w:tcBorders>
              <w:top w:val="nil"/>
              <w:left w:val="nil"/>
              <w:bottom w:val="single" w:color="auto" w:sz="4" w:space="0"/>
              <w:right w:val="single" w:color="auto" w:sz="4" w:space="0"/>
            </w:tcBorders>
            <w:vAlign w:val="center"/>
          </w:tcPr>
          <w:p>
            <w:pPr>
              <w:spacing w:line="360" w:lineRule="exact"/>
              <w:jc w:val="center"/>
              <w:rPr>
                <w:rFonts w:hint="eastAsia" w:eastAsia="仿宋_GB2312"/>
                <w:color w:val="auto"/>
                <w:sz w:val="28"/>
                <w:szCs w:val="28"/>
                <w:lang w:val="en-US" w:eastAsia="zh-CN"/>
              </w:rPr>
            </w:pPr>
            <w:r>
              <w:rPr>
                <w:rFonts w:hint="eastAsia" w:eastAsia="仿宋_GB2312"/>
                <w:color w:val="auto"/>
                <w:sz w:val="28"/>
                <w:szCs w:val="28"/>
                <w:lang w:val="en-US" w:eastAsia="zh-CN"/>
              </w:rPr>
              <w:t>0</w:t>
            </w:r>
          </w:p>
        </w:tc>
        <w:tc>
          <w:tcPr>
            <w:tcW w:w="1148" w:type="dxa"/>
            <w:gridSpan w:val="2"/>
            <w:tcBorders>
              <w:top w:val="nil"/>
              <w:left w:val="nil"/>
              <w:bottom w:val="single" w:color="auto" w:sz="4" w:space="0"/>
              <w:right w:val="single" w:color="auto" w:sz="4" w:space="0"/>
            </w:tcBorders>
            <w:vAlign w:val="center"/>
          </w:tcPr>
          <w:p>
            <w:pPr>
              <w:spacing w:line="360" w:lineRule="exact"/>
              <w:jc w:val="center"/>
              <w:rPr>
                <w:rFonts w:eastAsia="仿宋_GB2312"/>
                <w:color w:val="auto"/>
                <w:sz w:val="28"/>
                <w:szCs w:val="28"/>
              </w:rPr>
            </w:pPr>
            <w:r>
              <w:rPr>
                <w:rFonts w:eastAsia="仿宋_GB2312"/>
                <w:color w:val="auto"/>
                <w:sz w:val="28"/>
                <w:szCs w:val="28"/>
              </w:rPr>
              <w:t>30</w:t>
            </w:r>
          </w:p>
        </w:tc>
      </w:tr>
      <w:tr>
        <w:tblPrEx>
          <w:tblLayout w:type="fixed"/>
          <w:tblCellMar>
            <w:top w:w="0" w:type="dxa"/>
            <w:left w:w="108" w:type="dxa"/>
            <w:bottom w:w="0" w:type="dxa"/>
            <w:right w:w="108" w:type="dxa"/>
          </w:tblCellMar>
        </w:tblPrEx>
        <w:trPr>
          <w:gridAfter w:val="1"/>
          <w:wAfter w:w="1" w:type="dxa"/>
          <w:trHeight w:val="454" w:hRule="atLeast"/>
        </w:trPr>
        <w:tc>
          <w:tcPr>
            <w:tcW w:w="1131" w:type="dxa"/>
            <w:vMerge w:val="continue"/>
            <w:tcBorders>
              <w:top w:val="single" w:color="auto" w:sz="4" w:space="0"/>
              <w:left w:val="single" w:color="auto" w:sz="4" w:space="0"/>
              <w:bottom w:val="single" w:color="000000" w:sz="4" w:space="0"/>
              <w:right w:val="single" w:color="auto" w:sz="4" w:space="0"/>
            </w:tcBorders>
            <w:vAlign w:val="center"/>
          </w:tcPr>
          <w:p>
            <w:pPr>
              <w:spacing w:line="360" w:lineRule="exact"/>
              <w:jc w:val="center"/>
              <w:rPr>
                <w:rFonts w:eastAsia="仿宋_GB2312"/>
                <w:color w:val="auto"/>
                <w:sz w:val="24"/>
              </w:rPr>
            </w:pPr>
          </w:p>
        </w:tc>
        <w:tc>
          <w:tcPr>
            <w:tcW w:w="1549" w:type="dxa"/>
            <w:vMerge w:val="restart"/>
            <w:tcBorders>
              <w:top w:val="single" w:color="auto" w:sz="4" w:space="0"/>
              <w:left w:val="single" w:color="auto" w:sz="4" w:space="0"/>
              <w:bottom w:val="single" w:color="000000"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B6普及程度（60分）</w:t>
            </w:r>
          </w:p>
        </w:tc>
        <w:tc>
          <w:tcPr>
            <w:tcW w:w="3099" w:type="dxa"/>
            <w:tcBorders>
              <w:top w:val="single" w:color="auto" w:sz="4" w:space="0"/>
              <w:left w:val="nil"/>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C21入学率</w:t>
            </w:r>
          </w:p>
        </w:tc>
        <w:tc>
          <w:tcPr>
            <w:tcW w:w="934" w:type="dxa"/>
            <w:tcBorders>
              <w:top w:val="single" w:color="auto" w:sz="4" w:space="0"/>
              <w:left w:val="nil"/>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20</w:t>
            </w:r>
          </w:p>
        </w:tc>
        <w:tc>
          <w:tcPr>
            <w:tcW w:w="1162"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hint="eastAsia" w:eastAsia="仿宋_GB2312"/>
                <w:color w:val="auto"/>
                <w:sz w:val="28"/>
                <w:szCs w:val="28"/>
                <w:lang w:val="en-US" w:eastAsia="zh-CN"/>
              </w:rPr>
            </w:pPr>
            <w:r>
              <w:rPr>
                <w:rFonts w:hint="eastAsia" w:eastAsia="仿宋_GB2312"/>
                <w:color w:val="auto"/>
                <w:sz w:val="28"/>
                <w:szCs w:val="28"/>
                <w:lang w:val="en-US" w:eastAsia="zh-CN"/>
              </w:rPr>
              <w:t>0</w:t>
            </w:r>
          </w:p>
        </w:tc>
        <w:tc>
          <w:tcPr>
            <w:tcW w:w="1148"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eastAsia="仿宋_GB2312"/>
                <w:color w:val="auto"/>
                <w:sz w:val="28"/>
                <w:szCs w:val="28"/>
              </w:rPr>
            </w:pPr>
            <w:r>
              <w:rPr>
                <w:rFonts w:eastAsia="仿宋_GB2312"/>
                <w:color w:val="auto"/>
                <w:sz w:val="28"/>
                <w:szCs w:val="28"/>
              </w:rPr>
              <w:t>20</w:t>
            </w:r>
          </w:p>
        </w:tc>
      </w:tr>
      <w:tr>
        <w:tblPrEx>
          <w:tblLayout w:type="fixed"/>
          <w:tblCellMar>
            <w:top w:w="0" w:type="dxa"/>
            <w:left w:w="108" w:type="dxa"/>
            <w:bottom w:w="0" w:type="dxa"/>
            <w:right w:w="108" w:type="dxa"/>
          </w:tblCellMar>
        </w:tblPrEx>
        <w:trPr>
          <w:gridAfter w:val="1"/>
          <w:wAfter w:w="1" w:type="dxa"/>
          <w:trHeight w:val="454" w:hRule="atLeast"/>
        </w:trPr>
        <w:tc>
          <w:tcPr>
            <w:tcW w:w="1131" w:type="dxa"/>
            <w:vMerge w:val="continue"/>
            <w:tcBorders>
              <w:top w:val="nil"/>
              <w:left w:val="single" w:color="auto" w:sz="4" w:space="0"/>
              <w:bottom w:val="single" w:color="auto" w:sz="4" w:space="0"/>
              <w:right w:val="single" w:color="auto" w:sz="4" w:space="0"/>
            </w:tcBorders>
            <w:vAlign w:val="center"/>
          </w:tcPr>
          <w:p>
            <w:pPr>
              <w:spacing w:line="360" w:lineRule="exact"/>
              <w:jc w:val="center"/>
              <w:rPr>
                <w:rFonts w:eastAsia="仿宋_GB2312"/>
                <w:color w:val="auto"/>
                <w:sz w:val="24"/>
              </w:rPr>
            </w:pPr>
          </w:p>
        </w:tc>
        <w:tc>
          <w:tcPr>
            <w:tcW w:w="1549" w:type="dxa"/>
            <w:vMerge w:val="continue"/>
            <w:tcBorders>
              <w:top w:val="nil"/>
              <w:left w:val="single" w:color="auto" w:sz="4" w:space="0"/>
              <w:bottom w:val="single" w:color="auto" w:sz="4" w:space="0"/>
              <w:right w:val="single" w:color="auto" w:sz="4" w:space="0"/>
            </w:tcBorders>
            <w:vAlign w:val="center"/>
          </w:tcPr>
          <w:p>
            <w:pPr>
              <w:spacing w:line="360" w:lineRule="exact"/>
              <w:jc w:val="center"/>
              <w:rPr>
                <w:rFonts w:eastAsia="仿宋_GB2312"/>
                <w:color w:val="auto"/>
                <w:sz w:val="24"/>
              </w:rPr>
            </w:pPr>
          </w:p>
        </w:tc>
        <w:tc>
          <w:tcPr>
            <w:tcW w:w="3099" w:type="dxa"/>
            <w:tcBorders>
              <w:top w:val="nil"/>
              <w:left w:val="nil"/>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*C22巩固率</w:t>
            </w:r>
          </w:p>
        </w:tc>
        <w:tc>
          <w:tcPr>
            <w:tcW w:w="934" w:type="dxa"/>
            <w:tcBorders>
              <w:top w:val="nil"/>
              <w:left w:val="nil"/>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20</w:t>
            </w:r>
          </w:p>
        </w:tc>
        <w:tc>
          <w:tcPr>
            <w:tcW w:w="1162" w:type="dxa"/>
            <w:gridSpan w:val="2"/>
            <w:tcBorders>
              <w:top w:val="nil"/>
              <w:left w:val="nil"/>
              <w:bottom w:val="single" w:color="auto" w:sz="4" w:space="0"/>
              <w:right w:val="single" w:color="auto" w:sz="4" w:space="0"/>
            </w:tcBorders>
            <w:vAlign w:val="center"/>
          </w:tcPr>
          <w:p>
            <w:pPr>
              <w:spacing w:line="360" w:lineRule="exact"/>
              <w:jc w:val="center"/>
              <w:rPr>
                <w:rFonts w:hint="eastAsia" w:eastAsia="仿宋_GB2312"/>
                <w:color w:val="auto"/>
                <w:sz w:val="28"/>
                <w:szCs w:val="28"/>
                <w:lang w:val="en-US" w:eastAsia="zh-CN"/>
              </w:rPr>
            </w:pPr>
            <w:r>
              <w:rPr>
                <w:rFonts w:hint="eastAsia" w:eastAsia="仿宋_GB2312"/>
                <w:color w:val="auto"/>
                <w:sz w:val="28"/>
                <w:szCs w:val="28"/>
                <w:lang w:val="en-US" w:eastAsia="zh-CN"/>
              </w:rPr>
              <w:t>0</w:t>
            </w:r>
          </w:p>
        </w:tc>
        <w:tc>
          <w:tcPr>
            <w:tcW w:w="1148" w:type="dxa"/>
            <w:gridSpan w:val="2"/>
            <w:tcBorders>
              <w:top w:val="nil"/>
              <w:left w:val="nil"/>
              <w:bottom w:val="single" w:color="auto" w:sz="4" w:space="0"/>
              <w:right w:val="single" w:color="auto" w:sz="4" w:space="0"/>
            </w:tcBorders>
            <w:vAlign w:val="center"/>
          </w:tcPr>
          <w:p>
            <w:pPr>
              <w:spacing w:line="360" w:lineRule="exact"/>
              <w:jc w:val="center"/>
              <w:rPr>
                <w:rFonts w:eastAsia="仿宋_GB2312"/>
                <w:color w:val="auto"/>
                <w:sz w:val="28"/>
                <w:szCs w:val="28"/>
              </w:rPr>
            </w:pPr>
            <w:r>
              <w:rPr>
                <w:rFonts w:eastAsia="仿宋_GB2312"/>
                <w:color w:val="auto"/>
                <w:sz w:val="28"/>
                <w:szCs w:val="28"/>
              </w:rPr>
              <w:t>20</w:t>
            </w:r>
          </w:p>
        </w:tc>
      </w:tr>
      <w:tr>
        <w:tblPrEx>
          <w:tblLayout w:type="fixed"/>
          <w:tblCellMar>
            <w:top w:w="0" w:type="dxa"/>
            <w:left w:w="108" w:type="dxa"/>
            <w:bottom w:w="0" w:type="dxa"/>
            <w:right w:w="108" w:type="dxa"/>
          </w:tblCellMar>
        </w:tblPrEx>
        <w:trPr>
          <w:gridAfter w:val="1"/>
          <w:wAfter w:w="1" w:type="dxa"/>
          <w:trHeight w:val="454" w:hRule="atLeast"/>
        </w:trPr>
        <w:tc>
          <w:tcPr>
            <w:tcW w:w="113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auto"/>
                <w:sz w:val="24"/>
              </w:rPr>
            </w:pPr>
          </w:p>
        </w:tc>
        <w:tc>
          <w:tcPr>
            <w:tcW w:w="1549"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auto"/>
                <w:sz w:val="24"/>
              </w:rPr>
            </w:pPr>
          </w:p>
        </w:tc>
        <w:tc>
          <w:tcPr>
            <w:tcW w:w="30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*C23残疾儿童少年入学率</w:t>
            </w:r>
          </w:p>
        </w:tc>
        <w:tc>
          <w:tcPr>
            <w:tcW w:w="9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20</w:t>
            </w:r>
          </w:p>
        </w:tc>
        <w:tc>
          <w:tcPr>
            <w:tcW w:w="116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仿宋_GB2312"/>
                <w:color w:val="auto"/>
                <w:sz w:val="28"/>
                <w:szCs w:val="28"/>
                <w:lang w:val="en-US" w:eastAsia="zh-CN"/>
              </w:rPr>
            </w:pPr>
            <w:r>
              <w:rPr>
                <w:rFonts w:hint="eastAsia" w:eastAsia="仿宋_GB2312"/>
                <w:color w:val="auto"/>
                <w:sz w:val="28"/>
                <w:szCs w:val="28"/>
                <w:lang w:val="en-US" w:eastAsia="zh-CN"/>
              </w:rPr>
              <w:t>0</w:t>
            </w:r>
          </w:p>
        </w:tc>
        <w:tc>
          <w:tcPr>
            <w:tcW w:w="114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auto"/>
                <w:sz w:val="28"/>
                <w:szCs w:val="28"/>
              </w:rPr>
            </w:pPr>
            <w:r>
              <w:rPr>
                <w:rFonts w:eastAsia="仿宋_GB2312"/>
                <w:color w:val="auto"/>
                <w:sz w:val="28"/>
                <w:szCs w:val="28"/>
              </w:rPr>
              <w:t>20</w:t>
            </w:r>
          </w:p>
        </w:tc>
      </w:tr>
      <w:tr>
        <w:tblPrEx>
          <w:tblLayout w:type="fixed"/>
          <w:tblCellMar>
            <w:top w:w="0" w:type="dxa"/>
            <w:left w:w="108" w:type="dxa"/>
            <w:bottom w:w="0" w:type="dxa"/>
            <w:right w:w="108" w:type="dxa"/>
          </w:tblCellMar>
        </w:tblPrEx>
        <w:trPr>
          <w:gridAfter w:val="1"/>
          <w:wAfter w:w="1" w:type="dxa"/>
          <w:trHeight w:val="454" w:hRule="atLeast"/>
        </w:trPr>
        <w:tc>
          <w:tcPr>
            <w:tcW w:w="1131"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A3管理与质量（340分）</w:t>
            </w:r>
          </w:p>
        </w:tc>
        <w:tc>
          <w:tcPr>
            <w:tcW w:w="1549"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B7教育管理</w:t>
            </w:r>
          </w:p>
          <w:p>
            <w:pPr>
              <w:spacing w:line="360" w:lineRule="exact"/>
              <w:jc w:val="center"/>
              <w:rPr>
                <w:rFonts w:eastAsia="仿宋_GB2312"/>
                <w:color w:val="auto"/>
                <w:sz w:val="24"/>
              </w:rPr>
            </w:pPr>
            <w:r>
              <w:rPr>
                <w:rFonts w:eastAsia="仿宋_GB2312"/>
                <w:color w:val="auto"/>
                <w:sz w:val="24"/>
              </w:rPr>
              <w:t>（170分）</w:t>
            </w:r>
          </w:p>
        </w:tc>
        <w:tc>
          <w:tcPr>
            <w:tcW w:w="30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*C24平等入学</w:t>
            </w:r>
          </w:p>
        </w:tc>
        <w:tc>
          <w:tcPr>
            <w:tcW w:w="9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20</w:t>
            </w:r>
          </w:p>
        </w:tc>
        <w:tc>
          <w:tcPr>
            <w:tcW w:w="116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仿宋_GB2312"/>
                <w:color w:val="auto"/>
                <w:sz w:val="28"/>
                <w:szCs w:val="28"/>
                <w:lang w:val="en-US" w:eastAsia="zh-CN"/>
              </w:rPr>
            </w:pPr>
            <w:r>
              <w:rPr>
                <w:rFonts w:hint="eastAsia" w:eastAsia="仿宋_GB2312"/>
                <w:color w:val="auto"/>
                <w:sz w:val="28"/>
                <w:szCs w:val="28"/>
                <w:lang w:val="en-US" w:eastAsia="zh-CN"/>
              </w:rPr>
              <w:t>0</w:t>
            </w:r>
          </w:p>
        </w:tc>
        <w:tc>
          <w:tcPr>
            <w:tcW w:w="114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auto"/>
                <w:sz w:val="28"/>
                <w:szCs w:val="28"/>
              </w:rPr>
            </w:pPr>
            <w:r>
              <w:rPr>
                <w:rFonts w:eastAsia="仿宋_GB2312"/>
                <w:color w:val="auto"/>
                <w:sz w:val="28"/>
                <w:szCs w:val="28"/>
              </w:rPr>
              <w:t>20</w:t>
            </w:r>
          </w:p>
        </w:tc>
      </w:tr>
      <w:tr>
        <w:tblPrEx>
          <w:tblLayout w:type="fixed"/>
          <w:tblCellMar>
            <w:top w:w="0" w:type="dxa"/>
            <w:left w:w="108" w:type="dxa"/>
            <w:bottom w:w="0" w:type="dxa"/>
            <w:right w:w="108" w:type="dxa"/>
          </w:tblCellMar>
        </w:tblPrEx>
        <w:trPr>
          <w:gridAfter w:val="1"/>
          <w:wAfter w:w="1" w:type="dxa"/>
          <w:trHeight w:val="454" w:hRule="atLeast"/>
        </w:trPr>
        <w:tc>
          <w:tcPr>
            <w:tcW w:w="113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auto"/>
                <w:sz w:val="24"/>
              </w:rPr>
            </w:pPr>
          </w:p>
        </w:tc>
        <w:tc>
          <w:tcPr>
            <w:tcW w:w="1549"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auto"/>
                <w:sz w:val="24"/>
              </w:rPr>
            </w:pPr>
          </w:p>
        </w:tc>
        <w:tc>
          <w:tcPr>
            <w:tcW w:w="30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*C25关爱留守儿童</w:t>
            </w:r>
          </w:p>
        </w:tc>
        <w:tc>
          <w:tcPr>
            <w:tcW w:w="9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20</w:t>
            </w:r>
          </w:p>
        </w:tc>
        <w:tc>
          <w:tcPr>
            <w:tcW w:w="116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仿宋_GB2312"/>
                <w:color w:val="auto"/>
                <w:sz w:val="28"/>
                <w:szCs w:val="28"/>
                <w:lang w:val="en-US" w:eastAsia="zh-CN"/>
              </w:rPr>
            </w:pPr>
            <w:r>
              <w:rPr>
                <w:rFonts w:hint="eastAsia" w:eastAsia="仿宋_GB2312"/>
                <w:color w:val="auto"/>
                <w:sz w:val="28"/>
                <w:szCs w:val="28"/>
                <w:lang w:val="en-US" w:eastAsia="zh-CN"/>
              </w:rPr>
              <w:t>0</w:t>
            </w:r>
          </w:p>
        </w:tc>
        <w:tc>
          <w:tcPr>
            <w:tcW w:w="114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auto"/>
                <w:sz w:val="28"/>
                <w:szCs w:val="28"/>
              </w:rPr>
            </w:pPr>
            <w:r>
              <w:rPr>
                <w:rFonts w:eastAsia="仿宋_GB2312"/>
                <w:color w:val="auto"/>
                <w:sz w:val="28"/>
                <w:szCs w:val="28"/>
              </w:rPr>
              <w:t>20</w:t>
            </w:r>
          </w:p>
        </w:tc>
      </w:tr>
      <w:tr>
        <w:tblPrEx>
          <w:tblLayout w:type="fixed"/>
          <w:tblCellMar>
            <w:top w:w="0" w:type="dxa"/>
            <w:left w:w="108" w:type="dxa"/>
            <w:bottom w:w="0" w:type="dxa"/>
            <w:right w:w="108" w:type="dxa"/>
          </w:tblCellMar>
        </w:tblPrEx>
        <w:trPr>
          <w:gridAfter w:val="1"/>
          <w:wAfter w:w="1" w:type="dxa"/>
          <w:trHeight w:val="454" w:hRule="atLeast"/>
        </w:trPr>
        <w:tc>
          <w:tcPr>
            <w:tcW w:w="113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auto"/>
                <w:sz w:val="24"/>
              </w:rPr>
            </w:pPr>
          </w:p>
        </w:tc>
        <w:tc>
          <w:tcPr>
            <w:tcW w:w="1549"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auto"/>
                <w:sz w:val="24"/>
              </w:rPr>
            </w:pPr>
          </w:p>
        </w:tc>
        <w:tc>
          <w:tcPr>
            <w:tcW w:w="3099" w:type="dxa"/>
            <w:tcBorders>
              <w:top w:val="single" w:color="auto" w:sz="4" w:space="0"/>
              <w:left w:val="nil"/>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*C26高中招生</w:t>
            </w:r>
          </w:p>
        </w:tc>
        <w:tc>
          <w:tcPr>
            <w:tcW w:w="934" w:type="dxa"/>
            <w:tcBorders>
              <w:top w:val="single" w:color="auto" w:sz="4" w:space="0"/>
              <w:left w:val="nil"/>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10</w:t>
            </w:r>
          </w:p>
        </w:tc>
        <w:tc>
          <w:tcPr>
            <w:tcW w:w="1162"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hint="eastAsia" w:eastAsia="仿宋_GB2312"/>
                <w:color w:val="auto"/>
                <w:sz w:val="28"/>
                <w:szCs w:val="28"/>
                <w:lang w:val="en-US" w:eastAsia="zh-CN"/>
              </w:rPr>
            </w:pPr>
            <w:r>
              <w:rPr>
                <w:rFonts w:hint="eastAsia" w:eastAsia="仿宋_GB2312"/>
                <w:color w:val="auto"/>
                <w:sz w:val="28"/>
                <w:szCs w:val="28"/>
                <w:lang w:val="en-US" w:eastAsia="zh-CN"/>
              </w:rPr>
              <w:t>0</w:t>
            </w:r>
          </w:p>
        </w:tc>
        <w:tc>
          <w:tcPr>
            <w:tcW w:w="1148"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eastAsia="仿宋_GB2312"/>
                <w:color w:val="auto"/>
                <w:sz w:val="28"/>
                <w:szCs w:val="28"/>
              </w:rPr>
            </w:pPr>
            <w:r>
              <w:rPr>
                <w:rFonts w:eastAsia="仿宋_GB2312"/>
                <w:color w:val="auto"/>
                <w:sz w:val="28"/>
                <w:szCs w:val="28"/>
              </w:rPr>
              <w:t>10</w:t>
            </w:r>
          </w:p>
        </w:tc>
      </w:tr>
      <w:tr>
        <w:tblPrEx>
          <w:tblLayout w:type="fixed"/>
          <w:tblCellMar>
            <w:top w:w="0" w:type="dxa"/>
            <w:left w:w="108" w:type="dxa"/>
            <w:bottom w:w="0" w:type="dxa"/>
            <w:right w:w="108" w:type="dxa"/>
          </w:tblCellMar>
        </w:tblPrEx>
        <w:trPr>
          <w:gridAfter w:val="1"/>
          <w:wAfter w:w="1" w:type="dxa"/>
          <w:trHeight w:val="454" w:hRule="atLeast"/>
        </w:trPr>
        <w:tc>
          <w:tcPr>
            <w:tcW w:w="1131" w:type="dxa"/>
            <w:vMerge w:val="continue"/>
            <w:tcBorders>
              <w:top w:val="nil"/>
              <w:left w:val="single" w:color="auto" w:sz="4" w:space="0"/>
              <w:bottom w:val="single" w:color="auto" w:sz="4" w:space="0"/>
              <w:right w:val="single" w:color="auto" w:sz="4" w:space="0"/>
            </w:tcBorders>
            <w:vAlign w:val="center"/>
          </w:tcPr>
          <w:p>
            <w:pPr>
              <w:spacing w:line="360" w:lineRule="exact"/>
              <w:jc w:val="center"/>
              <w:rPr>
                <w:rFonts w:eastAsia="仿宋_GB2312"/>
                <w:color w:val="auto"/>
                <w:sz w:val="24"/>
              </w:rPr>
            </w:pPr>
          </w:p>
        </w:tc>
        <w:tc>
          <w:tcPr>
            <w:tcW w:w="1549" w:type="dxa"/>
            <w:vMerge w:val="continue"/>
            <w:tcBorders>
              <w:top w:val="nil"/>
              <w:left w:val="single" w:color="auto" w:sz="4" w:space="0"/>
              <w:bottom w:val="single" w:color="auto" w:sz="4" w:space="0"/>
              <w:right w:val="single" w:color="auto" w:sz="4" w:space="0"/>
            </w:tcBorders>
            <w:vAlign w:val="center"/>
          </w:tcPr>
          <w:p>
            <w:pPr>
              <w:spacing w:line="360" w:lineRule="exact"/>
              <w:jc w:val="center"/>
              <w:rPr>
                <w:rFonts w:eastAsia="仿宋_GB2312"/>
                <w:color w:val="auto"/>
                <w:sz w:val="24"/>
              </w:rPr>
            </w:pPr>
          </w:p>
        </w:tc>
        <w:tc>
          <w:tcPr>
            <w:tcW w:w="3099" w:type="dxa"/>
            <w:tcBorders>
              <w:top w:val="nil"/>
              <w:left w:val="nil"/>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*C27课程设置</w:t>
            </w:r>
          </w:p>
        </w:tc>
        <w:tc>
          <w:tcPr>
            <w:tcW w:w="934" w:type="dxa"/>
            <w:tcBorders>
              <w:top w:val="nil"/>
              <w:left w:val="nil"/>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20</w:t>
            </w:r>
          </w:p>
        </w:tc>
        <w:tc>
          <w:tcPr>
            <w:tcW w:w="1162" w:type="dxa"/>
            <w:gridSpan w:val="2"/>
            <w:tcBorders>
              <w:top w:val="nil"/>
              <w:left w:val="nil"/>
              <w:bottom w:val="single" w:color="auto" w:sz="4" w:space="0"/>
              <w:right w:val="single" w:color="auto" w:sz="4" w:space="0"/>
            </w:tcBorders>
            <w:vAlign w:val="center"/>
          </w:tcPr>
          <w:p>
            <w:pPr>
              <w:spacing w:line="360" w:lineRule="exact"/>
              <w:jc w:val="center"/>
              <w:rPr>
                <w:rFonts w:hint="eastAsia" w:eastAsia="仿宋_GB2312"/>
                <w:color w:val="auto"/>
                <w:sz w:val="28"/>
                <w:szCs w:val="28"/>
                <w:lang w:val="en-US" w:eastAsia="zh-CN"/>
              </w:rPr>
            </w:pPr>
            <w:r>
              <w:rPr>
                <w:rFonts w:hint="eastAsia" w:eastAsia="仿宋_GB2312"/>
                <w:color w:val="auto"/>
                <w:sz w:val="28"/>
                <w:szCs w:val="28"/>
                <w:lang w:val="en-US" w:eastAsia="zh-CN"/>
              </w:rPr>
              <w:t>0</w:t>
            </w:r>
          </w:p>
        </w:tc>
        <w:tc>
          <w:tcPr>
            <w:tcW w:w="1148" w:type="dxa"/>
            <w:gridSpan w:val="2"/>
            <w:tcBorders>
              <w:top w:val="nil"/>
              <w:left w:val="nil"/>
              <w:bottom w:val="single" w:color="auto" w:sz="4" w:space="0"/>
              <w:right w:val="single" w:color="auto" w:sz="4" w:space="0"/>
            </w:tcBorders>
            <w:vAlign w:val="center"/>
          </w:tcPr>
          <w:p>
            <w:pPr>
              <w:spacing w:line="360" w:lineRule="exact"/>
              <w:jc w:val="center"/>
              <w:rPr>
                <w:rFonts w:eastAsia="仿宋_GB2312"/>
                <w:color w:val="auto"/>
                <w:sz w:val="28"/>
                <w:szCs w:val="28"/>
              </w:rPr>
            </w:pPr>
            <w:r>
              <w:rPr>
                <w:rFonts w:eastAsia="仿宋_GB2312"/>
                <w:color w:val="auto"/>
                <w:sz w:val="28"/>
                <w:szCs w:val="28"/>
              </w:rPr>
              <w:t>20</w:t>
            </w:r>
          </w:p>
        </w:tc>
      </w:tr>
      <w:tr>
        <w:tblPrEx>
          <w:tblLayout w:type="fixed"/>
          <w:tblCellMar>
            <w:top w:w="0" w:type="dxa"/>
            <w:left w:w="108" w:type="dxa"/>
            <w:bottom w:w="0" w:type="dxa"/>
            <w:right w:w="108" w:type="dxa"/>
          </w:tblCellMar>
        </w:tblPrEx>
        <w:trPr>
          <w:gridAfter w:val="1"/>
          <w:wAfter w:w="1" w:type="dxa"/>
          <w:trHeight w:val="454" w:hRule="atLeast"/>
        </w:trPr>
        <w:tc>
          <w:tcPr>
            <w:tcW w:w="1131" w:type="dxa"/>
            <w:vMerge w:val="continue"/>
            <w:tcBorders>
              <w:top w:val="nil"/>
              <w:left w:val="single" w:color="auto" w:sz="4" w:space="0"/>
              <w:bottom w:val="single" w:color="auto" w:sz="4" w:space="0"/>
              <w:right w:val="single" w:color="auto" w:sz="4" w:space="0"/>
            </w:tcBorders>
            <w:vAlign w:val="center"/>
          </w:tcPr>
          <w:p>
            <w:pPr>
              <w:spacing w:line="360" w:lineRule="exact"/>
              <w:jc w:val="center"/>
              <w:rPr>
                <w:rFonts w:eastAsia="仿宋_GB2312"/>
                <w:color w:val="auto"/>
                <w:sz w:val="24"/>
              </w:rPr>
            </w:pPr>
          </w:p>
        </w:tc>
        <w:tc>
          <w:tcPr>
            <w:tcW w:w="1549" w:type="dxa"/>
            <w:vMerge w:val="continue"/>
            <w:tcBorders>
              <w:top w:val="nil"/>
              <w:left w:val="single" w:color="auto" w:sz="4" w:space="0"/>
              <w:bottom w:val="single" w:color="auto" w:sz="4" w:space="0"/>
              <w:right w:val="single" w:color="auto" w:sz="4" w:space="0"/>
            </w:tcBorders>
            <w:vAlign w:val="center"/>
          </w:tcPr>
          <w:p>
            <w:pPr>
              <w:spacing w:line="360" w:lineRule="exact"/>
              <w:jc w:val="center"/>
              <w:rPr>
                <w:rFonts w:eastAsia="仿宋_GB2312"/>
                <w:color w:val="auto"/>
                <w:sz w:val="24"/>
              </w:rPr>
            </w:pPr>
          </w:p>
        </w:tc>
        <w:tc>
          <w:tcPr>
            <w:tcW w:w="3099" w:type="dxa"/>
            <w:tcBorders>
              <w:top w:val="nil"/>
              <w:left w:val="nil"/>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*C28学生减负</w:t>
            </w:r>
          </w:p>
        </w:tc>
        <w:tc>
          <w:tcPr>
            <w:tcW w:w="934" w:type="dxa"/>
            <w:tcBorders>
              <w:top w:val="nil"/>
              <w:left w:val="nil"/>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20</w:t>
            </w:r>
          </w:p>
        </w:tc>
        <w:tc>
          <w:tcPr>
            <w:tcW w:w="1162" w:type="dxa"/>
            <w:gridSpan w:val="2"/>
            <w:tcBorders>
              <w:top w:val="nil"/>
              <w:left w:val="nil"/>
              <w:bottom w:val="single" w:color="auto" w:sz="4" w:space="0"/>
              <w:right w:val="single" w:color="auto" w:sz="4" w:space="0"/>
            </w:tcBorders>
            <w:vAlign w:val="center"/>
          </w:tcPr>
          <w:p>
            <w:pPr>
              <w:spacing w:line="360" w:lineRule="exact"/>
              <w:jc w:val="center"/>
              <w:rPr>
                <w:rFonts w:hint="default" w:eastAsia="仿宋_GB2312"/>
                <w:color w:val="auto"/>
                <w:sz w:val="28"/>
                <w:szCs w:val="28"/>
                <w:lang w:val="en-US" w:eastAsia="zh-CN"/>
              </w:rPr>
            </w:pPr>
            <w:r>
              <w:rPr>
                <w:rFonts w:hint="eastAsia" w:eastAsia="仿宋_GB2312"/>
                <w:color w:val="auto"/>
                <w:sz w:val="28"/>
                <w:szCs w:val="28"/>
                <w:lang w:val="en-US" w:eastAsia="zh-CN"/>
              </w:rPr>
              <w:t>1</w:t>
            </w:r>
          </w:p>
        </w:tc>
        <w:tc>
          <w:tcPr>
            <w:tcW w:w="1148" w:type="dxa"/>
            <w:gridSpan w:val="2"/>
            <w:tcBorders>
              <w:top w:val="nil"/>
              <w:left w:val="nil"/>
              <w:bottom w:val="single" w:color="auto" w:sz="4" w:space="0"/>
              <w:right w:val="single" w:color="auto" w:sz="4" w:space="0"/>
            </w:tcBorders>
            <w:vAlign w:val="center"/>
          </w:tcPr>
          <w:p>
            <w:pPr>
              <w:spacing w:line="360" w:lineRule="exact"/>
              <w:jc w:val="center"/>
              <w:rPr>
                <w:rFonts w:eastAsia="仿宋_GB2312"/>
                <w:color w:val="auto"/>
                <w:sz w:val="28"/>
                <w:szCs w:val="28"/>
              </w:rPr>
            </w:pPr>
            <w:r>
              <w:rPr>
                <w:rFonts w:hint="eastAsia" w:eastAsia="仿宋_GB2312"/>
                <w:color w:val="auto"/>
                <w:sz w:val="28"/>
                <w:szCs w:val="28"/>
                <w:lang w:val="en-US" w:eastAsia="zh-CN"/>
              </w:rPr>
              <w:t>19</w:t>
            </w:r>
          </w:p>
        </w:tc>
      </w:tr>
      <w:tr>
        <w:tblPrEx>
          <w:tblLayout w:type="fixed"/>
          <w:tblCellMar>
            <w:top w:w="0" w:type="dxa"/>
            <w:left w:w="108" w:type="dxa"/>
            <w:bottom w:w="0" w:type="dxa"/>
            <w:right w:w="108" w:type="dxa"/>
          </w:tblCellMar>
        </w:tblPrEx>
        <w:trPr>
          <w:gridAfter w:val="1"/>
          <w:wAfter w:w="1" w:type="dxa"/>
          <w:trHeight w:val="454" w:hRule="atLeast"/>
        </w:trPr>
        <w:tc>
          <w:tcPr>
            <w:tcW w:w="1131" w:type="dxa"/>
            <w:vMerge w:val="continue"/>
            <w:tcBorders>
              <w:top w:val="nil"/>
              <w:left w:val="single" w:color="auto" w:sz="4" w:space="0"/>
              <w:bottom w:val="single" w:color="auto" w:sz="4" w:space="0"/>
              <w:right w:val="single" w:color="auto" w:sz="4" w:space="0"/>
            </w:tcBorders>
            <w:vAlign w:val="center"/>
          </w:tcPr>
          <w:p>
            <w:pPr>
              <w:spacing w:line="360" w:lineRule="exact"/>
              <w:jc w:val="center"/>
              <w:rPr>
                <w:rFonts w:eastAsia="仿宋_GB2312"/>
                <w:color w:val="auto"/>
                <w:sz w:val="24"/>
              </w:rPr>
            </w:pPr>
          </w:p>
        </w:tc>
        <w:tc>
          <w:tcPr>
            <w:tcW w:w="1549" w:type="dxa"/>
            <w:vMerge w:val="continue"/>
            <w:tcBorders>
              <w:top w:val="nil"/>
              <w:left w:val="single" w:color="auto" w:sz="4" w:space="0"/>
              <w:bottom w:val="single" w:color="auto" w:sz="4" w:space="0"/>
              <w:right w:val="single" w:color="auto" w:sz="4" w:space="0"/>
            </w:tcBorders>
            <w:vAlign w:val="center"/>
          </w:tcPr>
          <w:p>
            <w:pPr>
              <w:spacing w:line="360" w:lineRule="exact"/>
              <w:jc w:val="center"/>
              <w:rPr>
                <w:rFonts w:eastAsia="仿宋_GB2312"/>
                <w:color w:val="auto"/>
                <w:sz w:val="24"/>
              </w:rPr>
            </w:pPr>
          </w:p>
        </w:tc>
        <w:tc>
          <w:tcPr>
            <w:tcW w:w="3099" w:type="dxa"/>
            <w:tcBorders>
              <w:top w:val="nil"/>
              <w:left w:val="nil"/>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*C29配置均衡</w:t>
            </w:r>
          </w:p>
        </w:tc>
        <w:tc>
          <w:tcPr>
            <w:tcW w:w="934" w:type="dxa"/>
            <w:tcBorders>
              <w:top w:val="nil"/>
              <w:left w:val="nil"/>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20</w:t>
            </w:r>
          </w:p>
        </w:tc>
        <w:tc>
          <w:tcPr>
            <w:tcW w:w="1162" w:type="dxa"/>
            <w:gridSpan w:val="2"/>
            <w:tcBorders>
              <w:top w:val="nil"/>
              <w:left w:val="nil"/>
              <w:bottom w:val="single" w:color="auto" w:sz="4" w:space="0"/>
              <w:right w:val="single" w:color="auto" w:sz="4" w:space="0"/>
            </w:tcBorders>
            <w:vAlign w:val="center"/>
          </w:tcPr>
          <w:p>
            <w:pPr>
              <w:spacing w:line="360" w:lineRule="exact"/>
              <w:jc w:val="center"/>
              <w:rPr>
                <w:rFonts w:hint="eastAsia" w:eastAsia="仿宋_GB2312"/>
                <w:color w:val="auto"/>
                <w:sz w:val="28"/>
                <w:szCs w:val="28"/>
                <w:lang w:val="en-US" w:eastAsia="zh-CN"/>
              </w:rPr>
            </w:pPr>
            <w:r>
              <w:rPr>
                <w:rFonts w:hint="eastAsia" w:eastAsia="仿宋_GB2312"/>
                <w:color w:val="auto"/>
                <w:sz w:val="28"/>
                <w:szCs w:val="28"/>
                <w:lang w:val="en-US" w:eastAsia="zh-CN"/>
              </w:rPr>
              <w:t>0</w:t>
            </w:r>
          </w:p>
        </w:tc>
        <w:tc>
          <w:tcPr>
            <w:tcW w:w="1148" w:type="dxa"/>
            <w:gridSpan w:val="2"/>
            <w:tcBorders>
              <w:top w:val="nil"/>
              <w:left w:val="nil"/>
              <w:bottom w:val="single" w:color="auto" w:sz="4" w:space="0"/>
              <w:right w:val="single" w:color="auto" w:sz="4" w:space="0"/>
            </w:tcBorders>
            <w:vAlign w:val="center"/>
          </w:tcPr>
          <w:p>
            <w:pPr>
              <w:spacing w:line="360" w:lineRule="exact"/>
              <w:jc w:val="center"/>
              <w:rPr>
                <w:rFonts w:eastAsia="仿宋_GB2312"/>
                <w:color w:val="auto"/>
                <w:sz w:val="28"/>
                <w:szCs w:val="28"/>
              </w:rPr>
            </w:pPr>
            <w:r>
              <w:rPr>
                <w:rFonts w:eastAsia="仿宋_GB2312"/>
                <w:color w:val="auto"/>
                <w:sz w:val="28"/>
                <w:szCs w:val="28"/>
              </w:rPr>
              <w:t>20</w:t>
            </w:r>
          </w:p>
        </w:tc>
      </w:tr>
      <w:tr>
        <w:tblPrEx>
          <w:tblLayout w:type="fixed"/>
          <w:tblCellMar>
            <w:top w:w="0" w:type="dxa"/>
            <w:left w:w="108" w:type="dxa"/>
            <w:bottom w:w="0" w:type="dxa"/>
            <w:right w:w="108" w:type="dxa"/>
          </w:tblCellMar>
        </w:tblPrEx>
        <w:trPr>
          <w:gridAfter w:val="1"/>
          <w:wAfter w:w="1" w:type="dxa"/>
          <w:trHeight w:val="454" w:hRule="atLeast"/>
        </w:trPr>
        <w:tc>
          <w:tcPr>
            <w:tcW w:w="1131" w:type="dxa"/>
            <w:vMerge w:val="continue"/>
            <w:tcBorders>
              <w:top w:val="nil"/>
              <w:left w:val="single" w:color="auto" w:sz="4" w:space="0"/>
              <w:bottom w:val="single" w:color="auto" w:sz="4" w:space="0"/>
              <w:right w:val="single" w:color="auto" w:sz="4" w:space="0"/>
            </w:tcBorders>
            <w:vAlign w:val="center"/>
          </w:tcPr>
          <w:p>
            <w:pPr>
              <w:spacing w:line="360" w:lineRule="exact"/>
              <w:jc w:val="center"/>
              <w:rPr>
                <w:rFonts w:eastAsia="仿宋_GB2312"/>
                <w:color w:val="auto"/>
                <w:sz w:val="24"/>
              </w:rPr>
            </w:pPr>
          </w:p>
        </w:tc>
        <w:tc>
          <w:tcPr>
            <w:tcW w:w="1549" w:type="dxa"/>
            <w:vMerge w:val="continue"/>
            <w:tcBorders>
              <w:top w:val="nil"/>
              <w:left w:val="single" w:color="auto" w:sz="4" w:space="0"/>
              <w:bottom w:val="single" w:color="auto" w:sz="4" w:space="0"/>
              <w:right w:val="single" w:color="auto" w:sz="4" w:space="0"/>
            </w:tcBorders>
            <w:vAlign w:val="center"/>
          </w:tcPr>
          <w:p>
            <w:pPr>
              <w:spacing w:line="360" w:lineRule="exact"/>
              <w:jc w:val="center"/>
              <w:rPr>
                <w:rFonts w:eastAsia="仿宋_GB2312"/>
                <w:color w:val="auto"/>
                <w:sz w:val="24"/>
              </w:rPr>
            </w:pPr>
          </w:p>
        </w:tc>
        <w:tc>
          <w:tcPr>
            <w:tcW w:w="3099" w:type="dxa"/>
            <w:tcBorders>
              <w:top w:val="nil"/>
              <w:left w:val="nil"/>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C30收费管理</w:t>
            </w:r>
          </w:p>
        </w:tc>
        <w:tc>
          <w:tcPr>
            <w:tcW w:w="934" w:type="dxa"/>
            <w:tcBorders>
              <w:top w:val="nil"/>
              <w:left w:val="nil"/>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20</w:t>
            </w:r>
          </w:p>
        </w:tc>
        <w:tc>
          <w:tcPr>
            <w:tcW w:w="1162" w:type="dxa"/>
            <w:gridSpan w:val="2"/>
            <w:tcBorders>
              <w:top w:val="nil"/>
              <w:left w:val="nil"/>
              <w:bottom w:val="single" w:color="auto" w:sz="4" w:space="0"/>
              <w:right w:val="single" w:color="auto" w:sz="4" w:space="0"/>
            </w:tcBorders>
            <w:vAlign w:val="center"/>
          </w:tcPr>
          <w:p>
            <w:pPr>
              <w:spacing w:line="360" w:lineRule="exact"/>
              <w:jc w:val="center"/>
              <w:rPr>
                <w:rFonts w:hint="eastAsia" w:eastAsia="仿宋_GB2312"/>
                <w:color w:val="auto"/>
                <w:sz w:val="28"/>
                <w:szCs w:val="28"/>
                <w:lang w:val="en-US" w:eastAsia="zh-CN"/>
              </w:rPr>
            </w:pPr>
            <w:r>
              <w:rPr>
                <w:rFonts w:hint="eastAsia" w:eastAsia="仿宋_GB2312"/>
                <w:color w:val="auto"/>
                <w:sz w:val="28"/>
                <w:szCs w:val="28"/>
                <w:lang w:val="en-US" w:eastAsia="zh-CN"/>
              </w:rPr>
              <w:t>0</w:t>
            </w:r>
          </w:p>
        </w:tc>
        <w:tc>
          <w:tcPr>
            <w:tcW w:w="1148" w:type="dxa"/>
            <w:gridSpan w:val="2"/>
            <w:tcBorders>
              <w:top w:val="nil"/>
              <w:left w:val="nil"/>
              <w:bottom w:val="single" w:color="auto" w:sz="4" w:space="0"/>
              <w:right w:val="single" w:color="auto" w:sz="4" w:space="0"/>
            </w:tcBorders>
            <w:vAlign w:val="center"/>
          </w:tcPr>
          <w:p>
            <w:pPr>
              <w:spacing w:line="360" w:lineRule="exact"/>
              <w:jc w:val="center"/>
              <w:rPr>
                <w:rFonts w:eastAsia="仿宋_GB2312"/>
                <w:color w:val="auto"/>
                <w:sz w:val="28"/>
                <w:szCs w:val="28"/>
              </w:rPr>
            </w:pPr>
            <w:r>
              <w:rPr>
                <w:rFonts w:eastAsia="仿宋_GB2312"/>
                <w:color w:val="auto"/>
                <w:sz w:val="28"/>
                <w:szCs w:val="28"/>
              </w:rPr>
              <w:t>20</w:t>
            </w:r>
          </w:p>
        </w:tc>
      </w:tr>
      <w:tr>
        <w:tblPrEx>
          <w:tblLayout w:type="fixed"/>
          <w:tblCellMar>
            <w:top w:w="0" w:type="dxa"/>
            <w:left w:w="108" w:type="dxa"/>
            <w:bottom w:w="0" w:type="dxa"/>
            <w:right w:w="108" w:type="dxa"/>
          </w:tblCellMar>
        </w:tblPrEx>
        <w:trPr>
          <w:gridAfter w:val="1"/>
          <w:wAfter w:w="1" w:type="dxa"/>
          <w:trHeight w:val="454" w:hRule="atLeast"/>
        </w:trPr>
        <w:tc>
          <w:tcPr>
            <w:tcW w:w="1131" w:type="dxa"/>
            <w:vMerge w:val="continue"/>
            <w:tcBorders>
              <w:top w:val="nil"/>
              <w:left w:val="single" w:color="auto" w:sz="4" w:space="0"/>
              <w:bottom w:val="single" w:color="auto" w:sz="4" w:space="0"/>
              <w:right w:val="single" w:color="auto" w:sz="4" w:space="0"/>
            </w:tcBorders>
            <w:vAlign w:val="center"/>
          </w:tcPr>
          <w:p>
            <w:pPr>
              <w:spacing w:line="360" w:lineRule="exact"/>
              <w:jc w:val="center"/>
              <w:rPr>
                <w:rFonts w:eastAsia="仿宋_GB2312"/>
                <w:color w:val="auto"/>
                <w:sz w:val="24"/>
              </w:rPr>
            </w:pPr>
          </w:p>
        </w:tc>
        <w:tc>
          <w:tcPr>
            <w:tcW w:w="1549" w:type="dxa"/>
            <w:vMerge w:val="continue"/>
            <w:tcBorders>
              <w:top w:val="nil"/>
              <w:left w:val="single" w:color="auto" w:sz="4" w:space="0"/>
              <w:bottom w:val="single" w:color="auto" w:sz="4" w:space="0"/>
              <w:right w:val="single" w:color="auto" w:sz="4" w:space="0"/>
            </w:tcBorders>
            <w:vAlign w:val="center"/>
          </w:tcPr>
          <w:p>
            <w:pPr>
              <w:spacing w:line="360" w:lineRule="exact"/>
              <w:jc w:val="center"/>
              <w:rPr>
                <w:rFonts w:eastAsia="仿宋_GB2312"/>
                <w:color w:val="auto"/>
                <w:sz w:val="24"/>
              </w:rPr>
            </w:pPr>
          </w:p>
        </w:tc>
        <w:tc>
          <w:tcPr>
            <w:tcW w:w="3099" w:type="dxa"/>
            <w:tcBorders>
              <w:top w:val="nil"/>
              <w:left w:val="nil"/>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C31校园安全</w:t>
            </w:r>
          </w:p>
        </w:tc>
        <w:tc>
          <w:tcPr>
            <w:tcW w:w="934" w:type="dxa"/>
            <w:tcBorders>
              <w:top w:val="nil"/>
              <w:left w:val="nil"/>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20</w:t>
            </w:r>
          </w:p>
        </w:tc>
        <w:tc>
          <w:tcPr>
            <w:tcW w:w="1162" w:type="dxa"/>
            <w:gridSpan w:val="2"/>
            <w:tcBorders>
              <w:top w:val="nil"/>
              <w:left w:val="nil"/>
              <w:bottom w:val="single" w:color="auto" w:sz="4" w:space="0"/>
              <w:right w:val="single" w:color="auto" w:sz="4" w:space="0"/>
            </w:tcBorders>
            <w:vAlign w:val="center"/>
          </w:tcPr>
          <w:p>
            <w:pPr>
              <w:spacing w:line="360" w:lineRule="exact"/>
              <w:jc w:val="center"/>
              <w:rPr>
                <w:rFonts w:hint="eastAsia" w:eastAsia="仿宋_GB2312"/>
                <w:color w:val="auto"/>
                <w:sz w:val="28"/>
                <w:szCs w:val="28"/>
                <w:lang w:val="en-US" w:eastAsia="zh-CN"/>
              </w:rPr>
            </w:pPr>
            <w:r>
              <w:rPr>
                <w:rFonts w:hint="eastAsia" w:eastAsia="仿宋_GB2312"/>
                <w:color w:val="auto"/>
                <w:sz w:val="28"/>
                <w:szCs w:val="28"/>
                <w:lang w:val="en-US" w:eastAsia="zh-CN"/>
              </w:rPr>
              <w:t>0</w:t>
            </w:r>
          </w:p>
        </w:tc>
        <w:tc>
          <w:tcPr>
            <w:tcW w:w="1148" w:type="dxa"/>
            <w:gridSpan w:val="2"/>
            <w:tcBorders>
              <w:top w:val="nil"/>
              <w:left w:val="nil"/>
              <w:bottom w:val="single" w:color="auto" w:sz="4" w:space="0"/>
              <w:right w:val="single" w:color="auto" w:sz="4" w:space="0"/>
            </w:tcBorders>
            <w:vAlign w:val="center"/>
          </w:tcPr>
          <w:p>
            <w:pPr>
              <w:spacing w:line="360" w:lineRule="exact"/>
              <w:jc w:val="center"/>
              <w:rPr>
                <w:rFonts w:eastAsia="仿宋_GB2312"/>
                <w:color w:val="auto"/>
                <w:sz w:val="28"/>
                <w:szCs w:val="28"/>
              </w:rPr>
            </w:pPr>
            <w:r>
              <w:rPr>
                <w:rFonts w:eastAsia="仿宋_GB2312"/>
                <w:color w:val="auto"/>
                <w:sz w:val="28"/>
                <w:szCs w:val="28"/>
              </w:rPr>
              <w:t>20</w:t>
            </w:r>
          </w:p>
        </w:tc>
      </w:tr>
      <w:tr>
        <w:tblPrEx>
          <w:tblLayout w:type="fixed"/>
          <w:tblCellMar>
            <w:top w:w="0" w:type="dxa"/>
            <w:left w:w="108" w:type="dxa"/>
            <w:bottom w:w="0" w:type="dxa"/>
            <w:right w:w="108" w:type="dxa"/>
          </w:tblCellMar>
        </w:tblPrEx>
        <w:trPr>
          <w:gridAfter w:val="1"/>
          <w:wAfter w:w="1" w:type="dxa"/>
          <w:trHeight w:val="454" w:hRule="atLeast"/>
        </w:trPr>
        <w:tc>
          <w:tcPr>
            <w:tcW w:w="1131" w:type="dxa"/>
            <w:vMerge w:val="continue"/>
            <w:tcBorders>
              <w:top w:val="nil"/>
              <w:left w:val="single" w:color="auto" w:sz="4" w:space="0"/>
              <w:bottom w:val="single" w:color="auto" w:sz="4" w:space="0"/>
              <w:right w:val="single" w:color="auto" w:sz="4" w:space="0"/>
            </w:tcBorders>
            <w:vAlign w:val="center"/>
          </w:tcPr>
          <w:p>
            <w:pPr>
              <w:spacing w:line="360" w:lineRule="exact"/>
              <w:jc w:val="center"/>
              <w:rPr>
                <w:rFonts w:eastAsia="仿宋_GB2312"/>
                <w:color w:val="auto"/>
                <w:sz w:val="24"/>
              </w:rPr>
            </w:pPr>
          </w:p>
        </w:tc>
        <w:tc>
          <w:tcPr>
            <w:tcW w:w="1549" w:type="dxa"/>
            <w:vMerge w:val="continue"/>
            <w:tcBorders>
              <w:top w:val="nil"/>
              <w:left w:val="single" w:color="auto" w:sz="4" w:space="0"/>
              <w:bottom w:val="single" w:color="auto" w:sz="4" w:space="0"/>
              <w:right w:val="single" w:color="auto" w:sz="4" w:space="0"/>
            </w:tcBorders>
            <w:vAlign w:val="center"/>
          </w:tcPr>
          <w:p>
            <w:pPr>
              <w:spacing w:line="360" w:lineRule="exact"/>
              <w:jc w:val="center"/>
              <w:rPr>
                <w:rFonts w:eastAsia="仿宋_GB2312"/>
                <w:color w:val="auto"/>
                <w:sz w:val="24"/>
              </w:rPr>
            </w:pPr>
          </w:p>
        </w:tc>
        <w:tc>
          <w:tcPr>
            <w:tcW w:w="3099" w:type="dxa"/>
            <w:tcBorders>
              <w:top w:val="nil"/>
              <w:left w:val="nil"/>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C32法制与德育</w:t>
            </w:r>
          </w:p>
        </w:tc>
        <w:tc>
          <w:tcPr>
            <w:tcW w:w="934" w:type="dxa"/>
            <w:tcBorders>
              <w:top w:val="nil"/>
              <w:left w:val="nil"/>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20</w:t>
            </w:r>
          </w:p>
        </w:tc>
        <w:tc>
          <w:tcPr>
            <w:tcW w:w="1162" w:type="dxa"/>
            <w:gridSpan w:val="2"/>
            <w:tcBorders>
              <w:top w:val="nil"/>
              <w:left w:val="nil"/>
              <w:bottom w:val="single" w:color="auto" w:sz="4" w:space="0"/>
              <w:right w:val="single" w:color="auto" w:sz="4" w:space="0"/>
            </w:tcBorders>
            <w:vAlign w:val="center"/>
          </w:tcPr>
          <w:p>
            <w:pPr>
              <w:spacing w:line="360" w:lineRule="exact"/>
              <w:jc w:val="center"/>
              <w:rPr>
                <w:rFonts w:hint="eastAsia" w:eastAsia="仿宋_GB2312"/>
                <w:color w:val="auto"/>
                <w:sz w:val="28"/>
                <w:szCs w:val="28"/>
                <w:lang w:val="en-US" w:eastAsia="zh-CN"/>
              </w:rPr>
            </w:pPr>
            <w:r>
              <w:rPr>
                <w:rFonts w:hint="eastAsia" w:eastAsia="仿宋_GB2312"/>
                <w:color w:val="auto"/>
                <w:sz w:val="28"/>
                <w:szCs w:val="28"/>
                <w:lang w:val="en-US" w:eastAsia="zh-CN"/>
              </w:rPr>
              <w:t>0</w:t>
            </w:r>
          </w:p>
        </w:tc>
        <w:tc>
          <w:tcPr>
            <w:tcW w:w="1148" w:type="dxa"/>
            <w:gridSpan w:val="2"/>
            <w:tcBorders>
              <w:top w:val="nil"/>
              <w:left w:val="nil"/>
              <w:bottom w:val="single" w:color="auto" w:sz="4" w:space="0"/>
              <w:right w:val="single" w:color="auto" w:sz="4" w:space="0"/>
            </w:tcBorders>
            <w:vAlign w:val="center"/>
          </w:tcPr>
          <w:p>
            <w:pPr>
              <w:spacing w:line="360" w:lineRule="exact"/>
              <w:jc w:val="center"/>
              <w:rPr>
                <w:rFonts w:eastAsia="仿宋_GB2312"/>
                <w:color w:val="auto"/>
                <w:sz w:val="28"/>
                <w:szCs w:val="28"/>
              </w:rPr>
            </w:pPr>
            <w:r>
              <w:rPr>
                <w:rFonts w:eastAsia="仿宋_GB2312"/>
                <w:color w:val="auto"/>
                <w:sz w:val="28"/>
                <w:szCs w:val="28"/>
              </w:rPr>
              <w:t>20</w:t>
            </w:r>
          </w:p>
        </w:tc>
      </w:tr>
      <w:tr>
        <w:tblPrEx>
          <w:tblLayout w:type="fixed"/>
          <w:tblCellMar>
            <w:top w:w="0" w:type="dxa"/>
            <w:left w:w="108" w:type="dxa"/>
            <w:bottom w:w="0" w:type="dxa"/>
            <w:right w:w="108" w:type="dxa"/>
          </w:tblCellMar>
        </w:tblPrEx>
        <w:trPr>
          <w:gridAfter w:val="1"/>
          <w:wAfter w:w="1" w:type="dxa"/>
          <w:trHeight w:val="454" w:hRule="atLeast"/>
        </w:trPr>
        <w:tc>
          <w:tcPr>
            <w:tcW w:w="1131" w:type="dxa"/>
            <w:vMerge w:val="continue"/>
            <w:tcBorders>
              <w:top w:val="nil"/>
              <w:left w:val="single" w:color="auto" w:sz="4" w:space="0"/>
              <w:bottom w:val="single" w:color="auto" w:sz="4" w:space="0"/>
              <w:right w:val="single" w:color="auto" w:sz="4" w:space="0"/>
            </w:tcBorders>
            <w:vAlign w:val="center"/>
          </w:tcPr>
          <w:p>
            <w:pPr>
              <w:spacing w:line="360" w:lineRule="exact"/>
              <w:jc w:val="center"/>
              <w:rPr>
                <w:rFonts w:eastAsia="仿宋_GB2312"/>
                <w:color w:val="auto"/>
                <w:sz w:val="24"/>
              </w:rPr>
            </w:pPr>
          </w:p>
        </w:tc>
        <w:tc>
          <w:tcPr>
            <w:tcW w:w="1549" w:type="dxa"/>
            <w:vMerge w:val="restart"/>
            <w:tcBorders>
              <w:top w:val="nil"/>
              <w:left w:val="single" w:color="auto" w:sz="4" w:space="0"/>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B8教育质量</w:t>
            </w:r>
          </w:p>
          <w:p>
            <w:pPr>
              <w:spacing w:line="360" w:lineRule="exact"/>
              <w:jc w:val="center"/>
              <w:rPr>
                <w:rFonts w:eastAsia="仿宋_GB2312"/>
                <w:color w:val="auto"/>
                <w:sz w:val="24"/>
              </w:rPr>
            </w:pPr>
            <w:r>
              <w:rPr>
                <w:rFonts w:eastAsia="仿宋_GB2312"/>
                <w:color w:val="auto"/>
                <w:sz w:val="24"/>
              </w:rPr>
              <w:t>（170分）</w:t>
            </w:r>
          </w:p>
        </w:tc>
        <w:tc>
          <w:tcPr>
            <w:tcW w:w="3099" w:type="dxa"/>
            <w:tcBorders>
              <w:top w:val="nil"/>
              <w:left w:val="nil"/>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C33课程改革</w:t>
            </w:r>
          </w:p>
        </w:tc>
        <w:tc>
          <w:tcPr>
            <w:tcW w:w="934" w:type="dxa"/>
            <w:tcBorders>
              <w:top w:val="nil"/>
              <w:left w:val="nil"/>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20</w:t>
            </w:r>
          </w:p>
        </w:tc>
        <w:tc>
          <w:tcPr>
            <w:tcW w:w="1162" w:type="dxa"/>
            <w:gridSpan w:val="2"/>
            <w:tcBorders>
              <w:top w:val="nil"/>
              <w:left w:val="nil"/>
              <w:bottom w:val="single" w:color="auto" w:sz="4" w:space="0"/>
              <w:right w:val="single" w:color="auto" w:sz="4" w:space="0"/>
            </w:tcBorders>
            <w:vAlign w:val="center"/>
          </w:tcPr>
          <w:p>
            <w:pPr>
              <w:spacing w:line="360" w:lineRule="exact"/>
              <w:jc w:val="center"/>
              <w:rPr>
                <w:rFonts w:hint="eastAsia" w:eastAsia="仿宋_GB2312"/>
                <w:color w:val="auto"/>
                <w:sz w:val="28"/>
                <w:szCs w:val="28"/>
                <w:lang w:val="en-US" w:eastAsia="zh-CN"/>
              </w:rPr>
            </w:pPr>
            <w:r>
              <w:rPr>
                <w:rFonts w:hint="eastAsia" w:eastAsia="仿宋_GB2312"/>
                <w:color w:val="auto"/>
                <w:sz w:val="28"/>
                <w:szCs w:val="28"/>
                <w:lang w:val="en-US" w:eastAsia="zh-CN"/>
              </w:rPr>
              <w:t>0</w:t>
            </w:r>
          </w:p>
        </w:tc>
        <w:tc>
          <w:tcPr>
            <w:tcW w:w="1148" w:type="dxa"/>
            <w:gridSpan w:val="2"/>
            <w:tcBorders>
              <w:top w:val="nil"/>
              <w:left w:val="nil"/>
              <w:bottom w:val="single" w:color="auto" w:sz="4" w:space="0"/>
              <w:right w:val="single" w:color="auto" w:sz="4" w:space="0"/>
            </w:tcBorders>
            <w:vAlign w:val="center"/>
          </w:tcPr>
          <w:p>
            <w:pPr>
              <w:spacing w:line="360" w:lineRule="exact"/>
              <w:jc w:val="center"/>
              <w:rPr>
                <w:rFonts w:eastAsia="仿宋_GB2312"/>
                <w:color w:val="auto"/>
                <w:sz w:val="28"/>
                <w:szCs w:val="28"/>
              </w:rPr>
            </w:pPr>
            <w:r>
              <w:rPr>
                <w:rFonts w:eastAsia="仿宋_GB2312"/>
                <w:color w:val="auto"/>
                <w:sz w:val="28"/>
                <w:szCs w:val="28"/>
              </w:rPr>
              <w:t>20</w:t>
            </w:r>
          </w:p>
        </w:tc>
      </w:tr>
      <w:tr>
        <w:tblPrEx>
          <w:tblLayout w:type="fixed"/>
          <w:tblCellMar>
            <w:top w:w="0" w:type="dxa"/>
            <w:left w:w="108" w:type="dxa"/>
            <w:bottom w:w="0" w:type="dxa"/>
            <w:right w:w="108" w:type="dxa"/>
          </w:tblCellMar>
        </w:tblPrEx>
        <w:trPr>
          <w:gridAfter w:val="1"/>
          <w:wAfter w:w="1" w:type="dxa"/>
          <w:trHeight w:val="454" w:hRule="atLeast"/>
        </w:trPr>
        <w:tc>
          <w:tcPr>
            <w:tcW w:w="1131" w:type="dxa"/>
            <w:vMerge w:val="continue"/>
            <w:tcBorders>
              <w:top w:val="nil"/>
              <w:left w:val="single" w:color="auto" w:sz="4" w:space="0"/>
              <w:bottom w:val="single" w:color="auto" w:sz="4" w:space="0"/>
              <w:right w:val="single" w:color="auto" w:sz="4" w:space="0"/>
            </w:tcBorders>
            <w:vAlign w:val="center"/>
          </w:tcPr>
          <w:p>
            <w:pPr>
              <w:spacing w:line="360" w:lineRule="exact"/>
              <w:jc w:val="center"/>
              <w:rPr>
                <w:rFonts w:eastAsia="仿宋_GB2312"/>
                <w:color w:val="auto"/>
                <w:sz w:val="24"/>
              </w:rPr>
            </w:pPr>
          </w:p>
        </w:tc>
        <w:tc>
          <w:tcPr>
            <w:tcW w:w="1549" w:type="dxa"/>
            <w:vMerge w:val="continue"/>
            <w:tcBorders>
              <w:top w:val="nil"/>
              <w:left w:val="single" w:color="auto" w:sz="4" w:space="0"/>
              <w:bottom w:val="single" w:color="auto" w:sz="4" w:space="0"/>
              <w:right w:val="single" w:color="auto" w:sz="4" w:space="0"/>
            </w:tcBorders>
            <w:vAlign w:val="center"/>
          </w:tcPr>
          <w:p>
            <w:pPr>
              <w:spacing w:line="360" w:lineRule="exact"/>
              <w:jc w:val="center"/>
              <w:rPr>
                <w:rFonts w:eastAsia="仿宋_GB2312"/>
                <w:color w:val="auto"/>
                <w:sz w:val="24"/>
              </w:rPr>
            </w:pPr>
          </w:p>
        </w:tc>
        <w:tc>
          <w:tcPr>
            <w:tcW w:w="3099" w:type="dxa"/>
            <w:tcBorders>
              <w:top w:val="nil"/>
              <w:left w:val="nil"/>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C34小学质量检测</w:t>
            </w:r>
          </w:p>
        </w:tc>
        <w:tc>
          <w:tcPr>
            <w:tcW w:w="934" w:type="dxa"/>
            <w:tcBorders>
              <w:top w:val="nil"/>
              <w:left w:val="nil"/>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65</w:t>
            </w:r>
          </w:p>
        </w:tc>
        <w:tc>
          <w:tcPr>
            <w:tcW w:w="1162" w:type="dxa"/>
            <w:gridSpan w:val="2"/>
            <w:tcBorders>
              <w:top w:val="nil"/>
              <w:left w:val="nil"/>
              <w:bottom w:val="single" w:color="auto" w:sz="4" w:space="0"/>
              <w:right w:val="single" w:color="auto" w:sz="4" w:space="0"/>
            </w:tcBorders>
            <w:vAlign w:val="center"/>
          </w:tcPr>
          <w:p>
            <w:pPr>
              <w:spacing w:line="360" w:lineRule="exact"/>
              <w:jc w:val="center"/>
              <w:rPr>
                <w:rFonts w:hint="default" w:eastAsia="仿宋_GB2312"/>
                <w:color w:val="auto"/>
                <w:sz w:val="28"/>
                <w:szCs w:val="28"/>
                <w:lang w:val="en-US" w:eastAsia="zh-CN"/>
              </w:rPr>
            </w:pPr>
            <w:r>
              <w:rPr>
                <w:rFonts w:hint="eastAsia" w:eastAsia="仿宋_GB2312"/>
                <w:color w:val="auto"/>
                <w:sz w:val="28"/>
                <w:szCs w:val="28"/>
                <w:lang w:val="en-US" w:eastAsia="zh-CN"/>
              </w:rPr>
              <w:t>1.66</w:t>
            </w:r>
          </w:p>
        </w:tc>
        <w:tc>
          <w:tcPr>
            <w:tcW w:w="1148" w:type="dxa"/>
            <w:gridSpan w:val="2"/>
            <w:tcBorders>
              <w:top w:val="nil"/>
              <w:left w:val="nil"/>
              <w:bottom w:val="single" w:color="auto" w:sz="4" w:space="0"/>
              <w:right w:val="single" w:color="auto" w:sz="4" w:space="0"/>
            </w:tcBorders>
            <w:vAlign w:val="center"/>
          </w:tcPr>
          <w:p>
            <w:pPr>
              <w:spacing w:line="360" w:lineRule="exact"/>
              <w:jc w:val="center"/>
              <w:rPr>
                <w:rFonts w:eastAsia="仿宋_GB2312"/>
                <w:color w:val="auto"/>
                <w:sz w:val="28"/>
                <w:szCs w:val="28"/>
              </w:rPr>
            </w:pPr>
            <w:r>
              <w:rPr>
                <w:rFonts w:eastAsia="仿宋_GB2312"/>
                <w:color w:val="auto"/>
                <w:sz w:val="28"/>
                <w:szCs w:val="28"/>
              </w:rPr>
              <w:t>63.</w:t>
            </w:r>
            <w:r>
              <w:rPr>
                <w:rFonts w:hint="eastAsia" w:eastAsia="仿宋_GB2312"/>
                <w:color w:val="auto"/>
                <w:sz w:val="28"/>
                <w:szCs w:val="28"/>
                <w:lang w:val="en-US" w:eastAsia="zh-CN"/>
              </w:rPr>
              <w:t>34</w:t>
            </w:r>
          </w:p>
        </w:tc>
      </w:tr>
      <w:tr>
        <w:tblPrEx>
          <w:tblLayout w:type="fixed"/>
          <w:tblCellMar>
            <w:top w:w="0" w:type="dxa"/>
            <w:left w:w="108" w:type="dxa"/>
            <w:bottom w:w="0" w:type="dxa"/>
            <w:right w:w="108" w:type="dxa"/>
          </w:tblCellMar>
        </w:tblPrEx>
        <w:trPr>
          <w:gridAfter w:val="1"/>
          <w:wAfter w:w="1" w:type="dxa"/>
          <w:trHeight w:val="454" w:hRule="atLeast"/>
        </w:trPr>
        <w:tc>
          <w:tcPr>
            <w:tcW w:w="1131" w:type="dxa"/>
            <w:vMerge w:val="continue"/>
            <w:tcBorders>
              <w:top w:val="nil"/>
              <w:left w:val="single" w:color="auto" w:sz="4" w:space="0"/>
              <w:bottom w:val="single" w:color="auto" w:sz="4" w:space="0"/>
              <w:right w:val="single" w:color="auto" w:sz="4" w:space="0"/>
            </w:tcBorders>
            <w:vAlign w:val="center"/>
          </w:tcPr>
          <w:p>
            <w:pPr>
              <w:spacing w:line="360" w:lineRule="exact"/>
              <w:jc w:val="center"/>
              <w:rPr>
                <w:rFonts w:eastAsia="仿宋_GB2312"/>
                <w:color w:val="auto"/>
                <w:sz w:val="24"/>
              </w:rPr>
            </w:pPr>
          </w:p>
        </w:tc>
        <w:tc>
          <w:tcPr>
            <w:tcW w:w="1549" w:type="dxa"/>
            <w:vMerge w:val="continue"/>
            <w:tcBorders>
              <w:top w:val="nil"/>
              <w:left w:val="single" w:color="auto" w:sz="4" w:space="0"/>
              <w:bottom w:val="single" w:color="auto" w:sz="4" w:space="0"/>
              <w:right w:val="single" w:color="auto" w:sz="4" w:space="0"/>
            </w:tcBorders>
            <w:vAlign w:val="center"/>
          </w:tcPr>
          <w:p>
            <w:pPr>
              <w:spacing w:line="360" w:lineRule="exact"/>
              <w:jc w:val="center"/>
              <w:rPr>
                <w:rFonts w:eastAsia="仿宋_GB2312"/>
                <w:color w:val="auto"/>
                <w:sz w:val="24"/>
              </w:rPr>
            </w:pPr>
          </w:p>
        </w:tc>
        <w:tc>
          <w:tcPr>
            <w:tcW w:w="3099" w:type="dxa"/>
            <w:tcBorders>
              <w:top w:val="nil"/>
              <w:left w:val="nil"/>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C35初中质量检测</w:t>
            </w:r>
          </w:p>
        </w:tc>
        <w:tc>
          <w:tcPr>
            <w:tcW w:w="934" w:type="dxa"/>
            <w:tcBorders>
              <w:top w:val="nil"/>
              <w:left w:val="nil"/>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65</w:t>
            </w:r>
          </w:p>
        </w:tc>
        <w:tc>
          <w:tcPr>
            <w:tcW w:w="1162" w:type="dxa"/>
            <w:gridSpan w:val="2"/>
            <w:tcBorders>
              <w:top w:val="nil"/>
              <w:left w:val="nil"/>
              <w:bottom w:val="single" w:color="auto" w:sz="4" w:space="0"/>
              <w:right w:val="single" w:color="auto" w:sz="4" w:space="0"/>
            </w:tcBorders>
            <w:vAlign w:val="center"/>
          </w:tcPr>
          <w:p>
            <w:pPr>
              <w:spacing w:line="360" w:lineRule="exact"/>
              <w:jc w:val="center"/>
              <w:rPr>
                <w:rFonts w:hint="default" w:eastAsia="仿宋_GB2312"/>
                <w:color w:val="auto"/>
                <w:sz w:val="28"/>
                <w:szCs w:val="28"/>
                <w:lang w:val="en-US" w:eastAsia="zh-CN"/>
              </w:rPr>
            </w:pPr>
            <w:r>
              <w:rPr>
                <w:rFonts w:hint="eastAsia" w:eastAsia="仿宋_GB2312"/>
                <w:color w:val="auto"/>
                <w:sz w:val="28"/>
                <w:szCs w:val="28"/>
                <w:lang w:val="en-US" w:eastAsia="zh-CN"/>
              </w:rPr>
              <w:t>3.66</w:t>
            </w:r>
          </w:p>
        </w:tc>
        <w:tc>
          <w:tcPr>
            <w:tcW w:w="1148" w:type="dxa"/>
            <w:gridSpan w:val="2"/>
            <w:tcBorders>
              <w:top w:val="nil"/>
              <w:left w:val="nil"/>
              <w:bottom w:val="single" w:color="auto" w:sz="4" w:space="0"/>
              <w:right w:val="single" w:color="auto" w:sz="4" w:space="0"/>
            </w:tcBorders>
            <w:vAlign w:val="center"/>
          </w:tcPr>
          <w:p>
            <w:pPr>
              <w:spacing w:line="360" w:lineRule="exact"/>
              <w:jc w:val="center"/>
              <w:rPr>
                <w:rFonts w:eastAsia="仿宋_GB2312"/>
                <w:color w:val="auto"/>
                <w:sz w:val="28"/>
                <w:szCs w:val="28"/>
              </w:rPr>
            </w:pPr>
            <w:r>
              <w:rPr>
                <w:rFonts w:hint="eastAsia" w:eastAsia="仿宋_GB2312"/>
                <w:color w:val="auto"/>
                <w:sz w:val="28"/>
                <w:szCs w:val="28"/>
                <w:lang w:val="en-US" w:eastAsia="zh-CN"/>
              </w:rPr>
              <w:t>61.34</w:t>
            </w:r>
          </w:p>
        </w:tc>
      </w:tr>
      <w:tr>
        <w:tblPrEx>
          <w:tblLayout w:type="fixed"/>
          <w:tblCellMar>
            <w:top w:w="0" w:type="dxa"/>
            <w:left w:w="108" w:type="dxa"/>
            <w:bottom w:w="0" w:type="dxa"/>
            <w:right w:w="108" w:type="dxa"/>
          </w:tblCellMar>
        </w:tblPrEx>
        <w:trPr>
          <w:gridAfter w:val="1"/>
          <w:wAfter w:w="1" w:type="dxa"/>
          <w:trHeight w:val="454" w:hRule="atLeast"/>
        </w:trPr>
        <w:tc>
          <w:tcPr>
            <w:tcW w:w="1131" w:type="dxa"/>
            <w:vMerge w:val="continue"/>
            <w:tcBorders>
              <w:top w:val="nil"/>
              <w:left w:val="single" w:color="auto" w:sz="4" w:space="0"/>
              <w:bottom w:val="single" w:color="auto" w:sz="4" w:space="0"/>
              <w:right w:val="single" w:color="auto" w:sz="4" w:space="0"/>
            </w:tcBorders>
            <w:vAlign w:val="center"/>
          </w:tcPr>
          <w:p>
            <w:pPr>
              <w:spacing w:line="360" w:lineRule="exact"/>
              <w:jc w:val="center"/>
              <w:rPr>
                <w:rFonts w:eastAsia="仿宋_GB2312"/>
                <w:color w:val="auto"/>
                <w:sz w:val="24"/>
              </w:rPr>
            </w:pPr>
          </w:p>
        </w:tc>
        <w:tc>
          <w:tcPr>
            <w:tcW w:w="1549" w:type="dxa"/>
            <w:vMerge w:val="continue"/>
            <w:tcBorders>
              <w:top w:val="nil"/>
              <w:left w:val="single" w:color="auto" w:sz="4" w:space="0"/>
              <w:bottom w:val="single" w:color="auto" w:sz="4" w:space="0"/>
              <w:right w:val="single" w:color="auto" w:sz="4" w:space="0"/>
            </w:tcBorders>
            <w:vAlign w:val="center"/>
          </w:tcPr>
          <w:p>
            <w:pPr>
              <w:spacing w:line="360" w:lineRule="exact"/>
              <w:jc w:val="center"/>
              <w:rPr>
                <w:rFonts w:eastAsia="仿宋_GB2312"/>
                <w:color w:val="auto"/>
                <w:sz w:val="24"/>
              </w:rPr>
            </w:pPr>
          </w:p>
        </w:tc>
        <w:tc>
          <w:tcPr>
            <w:tcW w:w="3099" w:type="dxa"/>
            <w:tcBorders>
              <w:top w:val="nil"/>
              <w:left w:val="nil"/>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*C36综合素质</w:t>
            </w:r>
          </w:p>
        </w:tc>
        <w:tc>
          <w:tcPr>
            <w:tcW w:w="934" w:type="dxa"/>
            <w:tcBorders>
              <w:top w:val="nil"/>
              <w:left w:val="nil"/>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20</w:t>
            </w:r>
          </w:p>
        </w:tc>
        <w:tc>
          <w:tcPr>
            <w:tcW w:w="1162" w:type="dxa"/>
            <w:gridSpan w:val="2"/>
            <w:tcBorders>
              <w:top w:val="nil"/>
              <w:left w:val="nil"/>
              <w:bottom w:val="single" w:color="auto" w:sz="4" w:space="0"/>
              <w:right w:val="single" w:color="auto" w:sz="4" w:space="0"/>
            </w:tcBorders>
            <w:vAlign w:val="center"/>
          </w:tcPr>
          <w:p>
            <w:pPr>
              <w:spacing w:line="360" w:lineRule="exact"/>
              <w:jc w:val="center"/>
              <w:rPr>
                <w:rFonts w:hint="eastAsia" w:eastAsia="仿宋_GB2312"/>
                <w:color w:val="auto"/>
                <w:sz w:val="28"/>
                <w:szCs w:val="28"/>
                <w:lang w:val="en-US" w:eastAsia="zh-CN"/>
              </w:rPr>
            </w:pPr>
            <w:r>
              <w:rPr>
                <w:rFonts w:hint="eastAsia" w:eastAsia="仿宋_GB2312"/>
                <w:color w:val="auto"/>
                <w:sz w:val="28"/>
                <w:szCs w:val="28"/>
                <w:lang w:val="en-US" w:eastAsia="zh-CN"/>
              </w:rPr>
              <w:t>0</w:t>
            </w:r>
          </w:p>
        </w:tc>
        <w:tc>
          <w:tcPr>
            <w:tcW w:w="1148" w:type="dxa"/>
            <w:gridSpan w:val="2"/>
            <w:tcBorders>
              <w:top w:val="nil"/>
              <w:left w:val="nil"/>
              <w:bottom w:val="single" w:color="auto" w:sz="4" w:space="0"/>
              <w:right w:val="single" w:color="auto" w:sz="4" w:space="0"/>
            </w:tcBorders>
            <w:vAlign w:val="center"/>
          </w:tcPr>
          <w:p>
            <w:pPr>
              <w:spacing w:line="360" w:lineRule="exact"/>
              <w:jc w:val="center"/>
              <w:rPr>
                <w:rFonts w:eastAsia="仿宋_GB2312"/>
                <w:color w:val="auto"/>
                <w:sz w:val="28"/>
                <w:szCs w:val="28"/>
              </w:rPr>
            </w:pPr>
            <w:r>
              <w:rPr>
                <w:rFonts w:eastAsia="仿宋_GB2312"/>
                <w:color w:val="auto"/>
                <w:sz w:val="28"/>
                <w:szCs w:val="28"/>
              </w:rPr>
              <w:t>20</w:t>
            </w:r>
          </w:p>
        </w:tc>
      </w:tr>
      <w:tr>
        <w:tblPrEx>
          <w:tblLayout w:type="fixed"/>
          <w:tblCellMar>
            <w:top w:w="0" w:type="dxa"/>
            <w:left w:w="108" w:type="dxa"/>
            <w:bottom w:w="0" w:type="dxa"/>
            <w:right w:w="108" w:type="dxa"/>
          </w:tblCellMar>
        </w:tblPrEx>
        <w:trPr>
          <w:gridAfter w:val="1"/>
          <w:wAfter w:w="1" w:type="dxa"/>
          <w:trHeight w:val="454" w:hRule="atLeast"/>
        </w:trPr>
        <w:tc>
          <w:tcPr>
            <w:tcW w:w="1131"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A4校际均衡（200分）</w:t>
            </w:r>
          </w:p>
        </w:tc>
        <w:tc>
          <w:tcPr>
            <w:tcW w:w="1549"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B9条件均衡</w:t>
            </w:r>
          </w:p>
          <w:p>
            <w:pPr>
              <w:spacing w:line="360" w:lineRule="exact"/>
              <w:jc w:val="center"/>
              <w:rPr>
                <w:rFonts w:eastAsia="仿宋_GB2312"/>
                <w:color w:val="auto"/>
                <w:sz w:val="24"/>
              </w:rPr>
            </w:pPr>
            <w:r>
              <w:rPr>
                <w:rFonts w:eastAsia="仿宋_GB2312"/>
                <w:color w:val="auto"/>
                <w:sz w:val="24"/>
              </w:rPr>
              <w:t>（200分）</w:t>
            </w:r>
          </w:p>
        </w:tc>
        <w:tc>
          <w:tcPr>
            <w:tcW w:w="3099" w:type="dxa"/>
            <w:tcBorders>
              <w:top w:val="single" w:color="auto" w:sz="4" w:space="0"/>
              <w:left w:val="nil"/>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C37生均教学及辅助用房面积</w:t>
            </w:r>
          </w:p>
        </w:tc>
        <w:tc>
          <w:tcPr>
            <w:tcW w:w="934" w:type="dxa"/>
            <w:vMerge w:val="restart"/>
            <w:tcBorders>
              <w:top w:val="single" w:color="auto" w:sz="4" w:space="0"/>
              <w:left w:val="nil"/>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200</w:t>
            </w:r>
          </w:p>
        </w:tc>
        <w:tc>
          <w:tcPr>
            <w:tcW w:w="116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auto"/>
                <w:sz w:val="28"/>
                <w:szCs w:val="28"/>
              </w:rPr>
            </w:pPr>
            <w:r>
              <w:rPr>
                <w:rFonts w:eastAsia="仿宋_GB2312"/>
                <w:color w:val="auto"/>
                <w:sz w:val="24"/>
              </w:rPr>
              <w:t>经自查：县域内校际间均衡状况8项指标综合差异系数小学为0.2869；初中为0.1751。自评得200分。</w:t>
            </w:r>
          </w:p>
        </w:tc>
        <w:tc>
          <w:tcPr>
            <w:tcW w:w="114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auto"/>
                <w:sz w:val="24"/>
              </w:rPr>
            </w:pPr>
          </w:p>
        </w:tc>
      </w:tr>
      <w:tr>
        <w:tblPrEx>
          <w:tblLayout w:type="fixed"/>
          <w:tblCellMar>
            <w:top w:w="0" w:type="dxa"/>
            <w:left w:w="108" w:type="dxa"/>
            <w:bottom w:w="0" w:type="dxa"/>
            <w:right w:w="108" w:type="dxa"/>
          </w:tblCellMar>
        </w:tblPrEx>
        <w:trPr>
          <w:gridAfter w:val="1"/>
          <w:wAfter w:w="1" w:type="dxa"/>
          <w:trHeight w:val="454" w:hRule="atLeast"/>
        </w:trPr>
        <w:tc>
          <w:tcPr>
            <w:tcW w:w="113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color w:val="auto"/>
                <w:sz w:val="24"/>
              </w:rPr>
            </w:pPr>
          </w:p>
        </w:tc>
        <w:tc>
          <w:tcPr>
            <w:tcW w:w="1549" w:type="dxa"/>
            <w:vMerge w:val="continue"/>
            <w:tcBorders>
              <w:top w:val="nil"/>
              <w:left w:val="single" w:color="auto" w:sz="4" w:space="0"/>
              <w:bottom w:val="single" w:color="auto" w:sz="4" w:space="0"/>
              <w:right w:val="single" w:color="auto" w:sz="4" w:space="0"/>
            </w:tcBorders>
            <w:vAlign w:val="center"/>
          </w:tcPr>
          <w:p>
            <w:pPr>
              <w:spacing w:line="360" w:lineRule="exact"/>
              <w:rPr>
                <w:rFonts w:eastAsia="仿宋_GB2312"/>
                <w:color w:val="auto"/>
                <w:sz w:val="24"/>
              </w:rPr>
            </w:pPr>
          </w:p>
        </w:tc>
        <w:tc>
          <w:tcPr>
            <w:tcW w:w="3099" w:type="dxa"/>
            <w:tcBorders>
              <w:top w:val="single" w:color="auto" w:sz="4" w:space="0"/>
              <w:left w:val="nil"/>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C38生均体育运动场馆面积</w:t>
            </w:r>
          </w:p>
        </w:tc>
        <w:tc>
          <w:tcPr>
            <w:tcW w:w="934" w:type="dxa"/>
            <w:vMerge w:val="continue"/>
            <w:tcBorders>
              <w:left w:val="nil"/>
              <w:right w:val="single" w:color="auto" w:sz="4" w:space="0"/>
            </w:tcBorders>
            <w:vAlign w:val="center"/>
          </w:tcPr>
          <w:p>
            <w:pPr>
              <w:spacing w:line="360" w:lineRule="exact"/>
              <w:rPr>
                <w:rFonts w:eastAsia="仿宋_GB2312"/>
                <w:color w:val="auto"/>
                <w:sz w:val="24"/>
              </w:rPr>
            </w:pPr>
          </w:p>
        </w:tc>
        <w:tc>
          <w:tcPr>
            <w:tcW w:w="1162"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color w:val="auto"/>
                <w:sz w:val="28"/>
                <w:szCs w:val="28"/>
              </w:rPr>
            </w:pPr>
          </w:p>
        </w:tc>
        <w:tc>
          <w:tcPr>
            <w:tcW w:w="114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color w:val="auto"/>
                <w:sz w:val="28"/>
                <w:szCs w:val="28"/>
              </w:rPr>
            </w:pPr>
          </w:p>
        </w:tc>
      </w:tr>
      <w:tr>
        <w:tblPrEx>
          <w:tblLayout w:type="fixed"/>
          <w:tblCellMar>
            <w:top w:w="0" w:type="dxa"/>
            <w:left w:w="108" w:type="dxa"/>
            <w:bottom w:w="0" w:type="dxa"/>
            <w:right w:w="108" w:type="dxa"/>
          </w:tblCellMar>
        </w:tblPrEx>
        <w:trPr>
          <w:gridAfter w:val="1"/>
          <w:wAfter w:w="1" w:type="dxa"/>
          <w:trHeight w:val="454" w:hRule="atLeast"/>
        </w:trPr>
        <w:tc>
          <w:tcPr>
            <w:tcW w:w="113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color w:val="auto"/>
                <w:sz w:val="24"/>
              </w:rPr>
            </w:pPr>
          </w:p>
        </w:tc>
        <w:tc>
          <w:tcPr>
            <w:tcW w:w="1549" w:type="dxa"/>
            <w:vMerge w:val="continue"/>
            <w:tcBorders>
              <w:top w:val="nil"/>
              <w:left w:val="single" w:color="auto" w:sz="4" w:space="0"/>
              <w:bottom w:val="single" w:color="auto" w:sz="4" w:space="0"/>
              <w:right w:val="single" w:color="auto" w:sz="4" w:space="0"/>
            </w:tcBorders>
            <w:vAlign w:val="center"/>
          </w:tcPr>
          <w:p>
            <w:pPr>
              <w:spacing w:line="360" w:lineRule="exact"/>
              <w:rPr>
                <w:rFonts w:eastAsia="仿宋_GB2312"/>
                <w:color w:val="auto"/>
                <w:sz w:val="24"/>
              </w:rPr>
            </w:pPr>
          </w:p>
        </w:tc>
        <w:tc>
          <w:tcPr>
            <w:tcW w:w="3099" w:type="dxa"/>
            <w:tcBorders>
              <w:top w:val="single" w:color="auto" w:sz="4" w:space="0"/>
              <w:left w:val="nil"/>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C39 生均教学仪器设备值</w:t>
            </w:r>
          </w:p>
        </w:tc>
        <w:tc>
          <w:tcPr>
            <w:tcW w:w="934" w:type="dxa"/>
            <w:vMerge w:val="continue"/>
            <w:tcBorders>
              <w:left w:val="nil"/>
              <w:right w:val="single" w:color="auto" w:sz="4" w:space="0"/>
            </w:tcBorders>
            <w:vAlign w:val="center"/>
          </w:tcPr>
          <w:p>
            <w:pPr>
              <w:spacing w:line="360" w:lineRule="exact"/>
              <w:rPr>
                <w:rFonts w:eastAsia="仿宋_GB2312"/>
                <w:color w:val="auto"/>
                <w:sz w:val="24"/>
              </w:rPr>
            </w:pPr>
          </w:p>
        </w:tc>
        <w:tc>
          <w:tcPr>
            <w:tcW w:w="1162"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color w:val="auto"/>
                <w:sz w:val="28"/>
                <w:szCs w:val="28"/>
              </w:rPr>
            </w:pPr>
          </w:p>
        </w:tc>
        <w:tc>
          <w:tcPr>
            <w:tcW w:w="114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color w:val="auto"/>
                <w:sz w:val="28"/>
                <w:szCs w:val="28"/>
              </w:rPr>
            </w:pPr>
          </w:p>
        </w:tc>
      </w:tr>
      <w:tr>
        <w:tblPrEx>
          <w:tblLayout w:type="fixed"/>
          <w:tblCellMar>
            <w:top w:w="0" w:type="dxa"/>
            <w:left w:w="108" w:type="dxa"/>
            <w:bottom w:w="0" w:type="dxa"/>
            <w:right w:w="108" w:type="dxa"/>
          </w:tblCellMar>
        </w:tblPrEx>
        <w:trPr>
          <w:gridAfter w:val="1"/>
          <w:wAfter w:w="1" w:type="dxa"/>
          <w:trHeight w:val="454" w:hRule="atLeast"/>
        </w:trPr>
        <w:tc>
          <w:tcPr>
            <w:tcW w:w="113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color w:val="auto"/>
                <w:sz w:val="24"/>
              </w:rPr>
            </w:pPr>
          </w:p>
        </w:tc>
        <w:tc>
          <w:tcPr>
            <w:tcW w:w="1549" w:type="dxa"/>
            <w:vMerge w:val="continue"/>
            <w:tcBorders>
              <w:top w:val="nil"/>
              <w:left w:val="single" w:color="auto" w:sz="4" w:space="0"/>
              <w:bottom w:val="single" w:color="auto" w:sz="4" w:space="0"/>
              <w:right w:val="single" w:color="auto" w:sz="4" w:space="0"/>
            </w:tcBorders>
            <w:vAlign w:val="center"/>
          </w:tcPr>
          <w:p>
            <w:pPr>
              <w:spacing w:line="360" w:lineRule="exact"/>
              <w:rPr>
                <w:rFonts w:eastAsia="仿宋_GB2312"/>
                <w:color w:val="auto"/>
                <w:sz w:val="24"/>
              </w:rPr>
            </w:pPr>
          </w:p>
        </w:tc>
        <w:tc>
          <w:tcPr>
            <w:tcW w:w="3099" w:type="dxa"/>
            <w:tcBorders>
              <w:top w:val="single" w:color="auto" w:sz="4" w:space="0"/>
              <w:left w:val="nil"/>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C40每百名学生拥有计算机台数</w:t>
            </w:r>
          </w:p>
        </w:tc>
        <w:tc>
          <w:tcPr>
            <w:tcW w:w="934" w:type="dxa"/>
            <w:vMerge w:val="continue"/>
            <w:tcBorders>
              <w:left w:val="nil"/>
              <w:right w:val="single" w:color="auto" w:sz="4" w:space="0"/>
            </w:tcBorders>
            <w:vAlign w:val="center"/>
          </w:tcPr>
          <w:p>
            <w:pPr>
              <w:spacing w:line="360" w:lineRule="exact"/>
              <w:rPr>
                <w:rFonts w:eastAsia="仿宋_GB2312"/>
                <w:color w:val="auto"/>
                <w:sz w:val="24"/>
              </w:rPr>
            </w:pPr>
          </w:p>
        </w:tc>
        <w:tc>
          <w:tcPr>
            <w:tcW w:w="1162"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color w:val="auto"/>
                <w:sz w:val="28"/>
                <w:szCs w:val="28"/>
              </w:rPr>
            </w:pPr>
          </w:p>
        </w:tc>
        <w:tc>
          <w:tcPr>
            <w:tcW w:w="114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color w:val="auto"/>
                <w:sz w:val="28"/>
                <w:szCs w:val="28"/>
              </w:rPr>
            </w:pPr>
          </w:p>
        </w:tc>
      </w:tr>
      <w:tr>
        <w:tblPrEx>
          <w:tblLayout w:type="fixed"/>
          <w:tblCellMar>
            <w:top w:w="0" w:type="dxa"/>
            <w:left w:w="108" w:type="dxa"/>
            <w:bottom w:w="0" w:type="dxa"/>
            <w:right w:w="108" w:type="dxa"/>
          </w:tblCellMar>
        </w:tblPrEx>
        <w:trPr>
          <w:gridAfter w:val="1"/>
          <w:wAfter w:w="1" w:type="dxa"/>
          <w:trHeight w:val="454" w:hRule="atLeast"/>
        </w:trPr>
        <w:tc>
          <w:tcPr>
            <w:tcW w:w="113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color w:val="auto"/>
                <w:sz w:val="24"/>
              </w:rPr>
            </w:pPr>
          </w:p>
        </w:tc>
        <w:tc>
          <w:tcPr>
            <w:tcW w:w="1549" w:type="dxa"/>
            <w:vMerge w:val="continue"/>
            <w:tcBorders>
              <w:top w:val="nil"/>
              <w:left w:val="single" w:color="auto" w:sz="4" w:space="0"/>
              <w:bottom w:val="single" w:color="auto" w:sz="4" w:space="0"/>
              <w:right w:val="single" w:color="auto" w:sz="4" w:space="0"/>
            </w:tcBorders>
            <w:vAlign w:val="center"/>
          </w:tcPr>
          <w:p>
            <w:pPr>
              <w:spacing w:line="360" w:lineRule="exact"/>
              <w:rPr>
                <w:rFonts w:eastAsia="仿宋_GB2312"/>
                <w:color w:val="auto"/>
                <w:sz w:val="24"/>
              </w:rPr>
            </w:pPr>
          </w:p>
        </w:tc>
        <w:tc>
          <w:tcPr>
            <w:tcW w:w="3099" w:type="dxa"/>
            <w:tcBorders>
              <w:top w:val="single" w:color="auto" w:sz="4" w:space="0"/>
              <w:left w:val="nil"/>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C41生均图书册数</w:t>
            </w:r>
          </w:p>
        </w:tc>
        <w:tc>
          <w:tcPr>
            <w:tcW w:w="934" w:type="dxa"/>
            <w:vMerge w:val="continue"/>
            <w:tcBorders>
              <w:left w:val="nil"/>
              <w:right w:val="single" w:color="auto" w:sz="4" w:space="0"/>
            </w:tcBorders>
            <w:vAlign w:val="center"/>
          </w:tcPr>
          <w:p>
            <w:pPr>
              <w:spacing w:line="360" w:lineRule="exact"/>
              <w:rPr>
                <w:rFonts w:eastAsia="仿宋_GB2312"/>
                <w:color w:val="auto"/>
                <w:sz w:val="24"/>
              </w:rPr>
            </w:pPr>
          </w:p>
        </w:tc>
        <w:tc>
          <w:tcPr>
            <w:tcW w:w="1162"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color w:val="auto"/>
                <w:sz w:val="28"/>
                <w:szCs w:val="28"/>
              </w:rPr>
            </w:pPr>
          </w:p>
        </w:tc>
        <w:tc>
          <w:tcPr>
            <w:tcW w:w="114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color w:val="auto"/>
                <w:sz w:val="28"/>
                <w:szCs w:val="28"/>
              </w:rPr>
            </w:pPr>
          </w:p>
        </w:tc>
      </w:tr>
      <w:tr>
        <w:tblPrEx>
          <w:tblLayout w:type="fixed"/>
          <w:tblCellMar>
            <w:top w:w="0" w:type="dxa"/>
            <w:left w:w="108" w:type="dxa"/>
            <w:bottom w:w="0" w:type="dxa"/>
            <w:right w:w="108" w:type="dxa"/>
          </w:tblCellMar>
        </w:tblPrEx>
        <w:trPr>
          <w:gridAfter w:val="1"/>
          <w:wAfter w:w="1" w:type="dxa"/>
          <w:trHeight w:val="454" w:hRule="atLeast"/>
        </w:trPr>
        <w:tc>
          <w:tcPr>
            <w:tcW w:w="113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color w:val="auto"/>
                <w:sz w:val="24"/>
              </w:rPr>
            </w:pPr>
          </w:p>
        </w:tc>
        <w:tc>
          <w:tcPr>
            <w:tcW w:w="1549" w:type="dxa"/>
            <w:vMerge w:val="continue"/>
            <w:tcBorders>
              <w:top w:val="nil"/>
              <w:left w:val="single" w:color="auto" w:sz="4" w:space="0"/>
              <w:bottom w:val="single" w:color="auto" w:sz="4" w:space="0"/>
              <w:right w:val="single" w:color="auto" w:sz="4" w:space="0"/>
            </w:tcBorders>
            <w:vAlign w:val="center"/>
          </w:tcPr>
          <w:p>
            <w:pPr>
              <w:spacing w:line="360" w:lineRule="exact"/>
              <w:rPr>
                <w:rFonts w:eastAsia="仿宋_GB2312"/>
                <w:color w:val="auto"/>
                <w:sz w:val="24"/>
              </w:rPr>
            </w:pPr>
          </w:p>
        </w:tc>
        <w:tc>
          <w:tcPr>
            <w:tcW w:w="3099" w:type="dxa"/>
            <w:tcBorders>
              <w:top w:val="single" w:color="auto" w:sz="4" w:space="0"/>
              <w:left w:val="nil"/>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C42生师比</w:t>
            </w:r>
          </w:p>
        </w:tc>
        <w:tc>
          <w:tcPr>
            <w:tcW w:w="934" w:type="dxa"/>
            <w:vMerge w:val="continue"/>
            <w:tcBorders>
              <w:left w:val="nil"/>
              <w:right w:val="single" w:color="auto" w:sz="4" w:space="0"/>
            </w:tcBorders>
            <w:vAlign w:val="center"/>
          </w:tcPr>
          <w:p>
            <w:pPr>
              <w:spacing w:line="360" w:lineRule="exact"/>
              <w:rPr>
                <w:rFonts w:eastAsia="仿宋_GB2312"/>
                <w:color w:val="auto"/>
                <w:sz w:val="24"/>
              </w:rPr>
            </w:pPr>
          </w:p>
        </w:tc>
        <w:tc>
          <w:tcPr>
            <w:tcW w:w="1162"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color w:val="auto"/>
                <w:sz w:val="28"/>
                <w:szCs w:val="28"/>
              </w:rPr>
            </w:pPr>
          </w:p>
        </w:tc>
        <w:tc>
          <w:tcPr>
            <w:tcW w:w="114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color w:val="auto"/>
                <w:sz w:val="28"/>
                <w:szCs w:val="28"/>
              </w:rPr>
            </w:pPr>
          </w:p>
        </w:tc>
      </w:tr>
      <w:tr>
        <w:tblPrEx>
          <w:tblLayout w:type="fixed"/>
          <w:tblCellMar>
            <w:top w:w="0" w:type="dxa"/>
            <w:left w:w="108" w:type="dxa"/>
            <w:bottom w:w="0" w:type="dxa"/>
            <w:right w:w="108" w:type="dxa"/>
          </w:tblCellMar>
        </w:tblPrEx>
        <w:trPr>
          <w:gridAfter w:val="1"/>
          <w:wAfter w:w="1" w:type="dxa"/>
          <w:trHeight w:val="454" w:hRule="atLeast"/>
        </w:trPr>
        <w:tc>
          <w:tcPr>
            <w:tcW w:w="113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color w:val="auto"/>
                <w:sz w:val="24"/>
              </w:rPr>
            </w:pPr>
          </w:p>
        </w:tc>
        <w:tc>
          <w:tcPr>
            <w:tcW w:w="1549" w:type="dxa"/>
            <w:vMerge w:val="continue"/>
            <w:tcBorders>
              <w:top w:val="nil"/>
              <w:left w:val="single" w:color="auto" w:sz="4" w:space="0"/>
              <w:bottom w:val="single" w:color="auto" w:sz="4" w:space="0"/>
              <w:right w:val="single" w:color="auto" w:sz="4" w:space="0"/>
            </w:tcBorders>
            <w:vAlign w:val="center"/>
          </w:tcPr>
          <w:p>
            <w:pPr>
              <w:spacing w:line="360" w:lineRule="exact"/>
              <w:rPr>
                <w:rFonts w:eastAsia="仿宋_GB2312"/>
                <w:color w:val="auto"/>
                <w:sz w:val="24"/>
              </w:rPr>
            </w:pPr>
          </w:p>
        </w:tc>
        <w:tc>
          <w:tcPr>
            <w:tcW w:w="3099" w:type="dxa"/>
            <w:tcBorders>
              <w:top w:val="single" w:color="auto" w:sz="4" w:space="0"/>
              <w:left w:val="nil"/>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C43生均高于规定学历教师数</w:t>
            </w:r>
          </w:p>
        </w:tc>
        <w:tc>
          <w:tcPr>
            <w:tcW w:w="934" w:type="dxa"/>
            <w:vMerge w:val="continue"/>
            <w:tcBorders>
              <w:left w:val="nil"/>
              <w:right w:val="single" w:color="auto" w:sz="4" w:space="0"/>
            </w:tcBorders>
            <w:vAlign w:val="center"/>
          </w:tcPr>
          <w:p>
            <w:pPr>
              <w:spacing w:line="360" w:lineRule="exact"/>
              <w:rPr>
                <w:rFonts w:eastAsia="仿宋_GB2312"/>
                <w:color w:val="auto"/>
                <w:sz w:val="24"/>
              </w:rPr>
            </w:pPr>
          </w:p>
        </w:tc>
        <w:tc>
          <w:tcPr>
            <w:tcW w:w="1162"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color w:val="auto"/>
                <w:sz w:val="28"/>
                <w:szCs w:val="28"/>
              </w:rPr>
            </w:pPr>
          </w:p>
        </w:tc>
        <w:tc>
          <w:tcPr>
            <w:tcW w:w="114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color w:val="auto"/>
                <w:sz w:val="28"/>
                <w:szCs w:val="28"/>
              </w:rPr>
            </w:pPr>
          </w:p>
        </w:tc>
      </w:tr>
      <w:tr>
        <w:tblPrEx>
          <w:tblLayout w:type="fixed"/>
          <w:tblCellMar>
            <w:top w:w="0" w:type="dxa"/>
            <w:left w:w="108" w:type="dxa"/>
            <w:bottom w:w="0" w:type="dxa"/>
            <w:right w:w="108" w:type="dxa"/>
          </w:tblCellMar>
        </w:tblPrEx>
        <w:trPr>
          <w:gridAfter w:val="1"/>
          <w:wAfter w:w="1" w:type="dxa"/>
          <w:trHeight w:val="454" w:hRule="atLeast"/>
        </w:trPr>
        <w:tc>
          <w:tcPr>
            <w:tcW w:w="113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color w:val="auto"/>
                <w:sz w:val="24"/>
              </w:rPr>
            </w:pPr>
          </w:p>
        </w:tc>
        <w:tc>
          <w:tcPr>
            <w:tcW w:w="1549" w:type="dxa"/>
            <w:vMerge w:val="continue"/>
            <w:tcBorders>
              <w:top w:val="nil"/>
              <w:left w:val="single" w:color="auto" w:sz="4" w:space="0"/>
              <w:bottom w:val="single" w:color="auto" w:sz="4" w:space="0"/>
              <w:right w:val="single" w:color="auto" w:sz="4" w:space="0"/>
            </w:tcBorders>
            <w:vAlign w:val="center"/>
          </w:tcPr>
          <w:p>
            <w:pPr>
              <w:spacing w:line="360" w:lineRule="exact"/>
              <w:rPr>
                <w:rFonts w:eastAsia="仿宋_GB2312"/>
                <w:color w:val="auto"/>
                <w:sz w:val="24"/>
              </w:rPr>
            </w:pPr>
          </w:p>
        </w:tc>
        <w:tc>
          <w:tcPr>
            <w:tcW w:w="3099" w:type="dxa"/>
            <w:tcBorders>
              <w:top w:val="single" w:color="auto" w:sz="4" w:space="0"/>
              <w:left w:val="nil"/>
              <w:bottom w:val="single" w:color="auto" w:sz="4" w:space="0"/>
              <w:right w:val="single" w:color="auto" w:sz="4" w:space="0"/>
            </w:tcBorders>
            <w:vAlign w:val="center"/>
          </w:tcPr>
          <w:p>
            <w:pPr>
              <w:spacing w:line="360" w:lineRule="exact"/>
              <w:jc w:val="center"/>
              <w:rPr>
                <w:rFonts w:eastAsia="仿宋_GB2312"/>
                <w:color w:val="auto"/>
                <w:sz w:val="24"/>
              </w:rPr>
            </w:pPr>
            <w:r>
              <w:rPr>
                <w:rFonts w:eastAsia="仿宋_GB2312"/>
                <w:color w:val="auto"/>
                <w:sz w:val="24"/>
              </w:rPr>
              <w:t>C44生均中级以上专业技术职务教师数</w:t>
            </w:r>
          </w:p>
        </w:tc>
        <w:tc>
          <w:tcPr>
            <w:tcW w:w="934" w:type="dxa"/>
            <w:vMerge w:val="continue"/>
            <w:tcBorders>
              <w:left w:val="nil"/>
              <w:bottom w:val="single" w:color="auto" w:sz="4" w:space="0"/>
              <w:right w:val="single" w:color="auto" w:sz="4" w:space="0"/>
            </w:tcBorders>
            <w:vAlign w:val="center"/>
          </w:tcPr>
          <w:p>
            <w:pPr>
              <w:spacing w:line="360" w:lineRule="exact"/>
              <w:rPr>
                <w:rFonts w:eastAsia="仿宋_GB2312"/>
                <w:color w:val="auto"/>
                <w:sz w:val="24"/>
              </w:rPr>
            </w:pPr>
          </w:p>
        </w:tc>
        <w:tc>
          <w:tcPr>
            <w:tcW w:w="1162" w:type="dxa"/>
            <w:gridSpan w:val="2"/>
            <w:vMerge w:val="continue"/>
            <w:tcBorders>
              <w:top w:val="single" w:color="auto" w:sz="4" w:space="0"/>
              <w:left w:val="single" w:color="auto" w:sz="4" w:space="0"/>
              <w:bottom w:val="single" w:color="000000" w:sz="4" w:space="0"/>
              <w:right w:val="single" w:color="auto" w:sz="4" w:space="0"/>
            </w:tcBorders>
            <w:vAlign w:val="center"/>
          </w:tcPr>
          <w:p>
            <w:pPr>
              <w:spacing w:line="360" w:lineRule="exact"/>
              <w:rPr>
                <w:rFonts w:eastAsia="仿宋_GB2312"/>
                <w:color w:val="auto"/>
                <w:sz w:val="28"/>
                <w:szCs w:val="28"/>
              </w:rPr>
            </w:pPr>
          </w:p>
        </w:tc>
        <w:tc>
          <w:tcPr>
            <w:tcW w:w="1148" w:type="dxa"/>
            <w:gridSpan w:val="2"/>
            <w:tcBorders>
              <w:top w:val="single" w:color="auto" w:sz="4" w:space="0"/>
              <w:left w:val="single" w:color="auto" w:sz="4" w:space="0"/>
              <w:bottom w:val="single" w:color="000000" w:sz="4" w:space="0"/>
              <w:right w:val="single" w:color="auto" w:sz="4" w:space="0"/>
            </w:tcBorders>
            <w:vAlign w:val="center"/>
          </w:tcPr>
          <w:p>
            <w:pPr>
              <w:spacing w:line="360" w:lineRule="exact"/>
              <w:rPr>
                <w:rFonts w:eastAsia="仿宋_GB2312"/>
                <w:color w:val="auto"/>
                <w:sz w:val="28"/>
                <w:szCs w:val="28"/>
              </w:rPr>
            </w:pPr>
          </w:p>
        </w:tc>
      </w:tr>
    </w:tbl>
    <w:p>
      <w:pPr>
        <w:spacing w:line="560" w:lineRule="exact"/>
        <w:ind w:firstLine="640" w:firstLineChars="200"/>
        <w:rPr>
          <w:rFonts w:eastAsia="黑体"/>
          <w:color w:val="auto"/>
          <w:sz w:val="32"/>
          <w:szCs w:val="32"/>
        </w:rPr>
      </w:pPr>
      <w:r>
        <w:rPr>
          <w:rFonts w:eastAsia="黑体"/>
          <w:color w:val="auto"/>
          <w:sz w:val="32"/>
          <w:szCs w:val="32"/>
        </w:rPr>
        <w:t>二、推进义务教育均衡发展各指标自评得分及分析</w:t>
      </w:r>
    </w:p>
    <w:p>
      <w:pPr>
        <w:spacing w:line="560" w:lineRule="exact"/>
        <w:ind w:firstLine="640" w:firstLineChars="200"/>
        <w:rPr>
          <w:rFonts w:eastAsia="楷体_GB2312"/>
          <w:color w:val="auto"/>
          <w:sz w:val="32"/>
          <w:szCs w:val="32"/>
        </w:rPr>
      </w:pPr>
      <w:r>
        <w:rPr>
          <w:rFonts w:eastAsia="楷体_GB2312"/>
          <w:color w:val="auto"/>
          <w:sz w:val="32"/>
          <w:szCs w:val="32"/>
        </w:rPr>
        <w:t>（一）组织领导（155分）</w:t>
      </w:r>
    </w:p>
    <w:p>
      <w:pPr>
        <w:spacing w:line="560" w:lineRule="exact"/>
        <w:ind w:firstLine="640" w:firstLineChars="200"/>
        <w:rPr>
          <w:rFonts w:eastAsia="楷体_GB2312"/>
          <w:color w:val="auto"/>
          <w:sz w:val="32"/>
          <w:szCs w:val="32"/>
        </w:rPr>
      </w:pPr>
      <w:r>
        <w:rPr>
          <w:rFonts w:eastAsia="楷体_GB2312"/>
          <w:color w:val="auto"/>
          <w:sz w:val="32"/>
          <w:szCs w:val="32"/>
        </w:rPr>
        <w:t>1.A1-B1领导职责（50分）</w:t>
      </w:r>
    </w:p>
    <w:p>
      <w:pPr>
        <w:spacing w:line="560" w:lineRule="exact"/>
        <w:ind w:firstLine="643" w:firstLineChars="200"/>
        <w:rPr>
          <w:rFonts w:eastAsia="仿宋_GB2312"/>
          <w:b/>
          <w:color w:val="auto"/>
          <w:sz w:val="32"/>
          <w:szCs w:val="32"/>
        </w:rPr>
      </w:pPr>
      <w:r>
        <w:rPr>
          <w:rFonts w:eastAsia="仿宋_GB2312"/>
          <w:b/>
          <w:color w:val="auto"/>
          <w:sz w:val="32"/>
          <w:szCs w:val="32"/>
        </w:rPr>
        <w:t>（1）A1-B1-C1党对教育工作的领导（20分）</w:t>
      </w:r>
    </w:p>
    <w:p>
      <w:pPr>
        <w:spacing w:line="560" w:lineRule="exact"/>
        <w:ind w:firstLine="643" w:firstLineChars="200"/>
        <w:rPr>
          <w:rFonts w:eastAsia="仿宋_GB2312"/>
          <w:color w:val="auto"/>
          <w:sz w:val="32"/>
          <w:szCs w:val="32"/>
        </w:rPr>
      </w:pPr>
      <w:r>
        <w:rPr>
          <w:rFonts w:eastAsia="仿宋_GB2312"/>
          <w:b/>
          <w:color w:val="auto"/>
          <w:sz w:val="32"/>
          <w:szCs w:val="32"/>
        </w:rPr>
        <w:t>经自查：一是</w:t>
      </w:r>
      <w:r>
        <w:rPr>
          <w:rFonts w:eastAsia="仿宋_GB2312"/>
          <w:color w:val="auto"/>
          <w:sz w:val="32"/>
          <w:szCs w:val="32"/>
        </w:rPr>
        <w:t>根据《关于印发&lt;关于加强新时代中小学校党的建设工作的实施意见&gt;的通知》《关于印发&lt;伊犁州加强新时代中小学校党的建设工作18条措施&gt;的通知》和《自治州学校党的建设工作实施细则（试行）》（伊州党教工发〔2020〕1号）等文件精神，印发了《&lt;特克斯县关于加强学校党的建设工作的实施意见&gt;的通知》（特党办发〔2018〕31号），成立教育工作领导小组和县教育工委，配齐领导班子，明确教育工委的职责。县委、政府对教育工作高度重视，全县各中小学全面贯彻党的教育方针，经常性开展爱国主义和感党恩活动，实现了党对学校意识形态工作的领导权、主导权和话语权。</w:t>
      </w:r>
      <w:r>
        <w:rPr>
          <w:rFonts w:eastAsia="仿宋_GB2312"/>
          <w:b/>
          <w:color w:val="auto"/>
          <w:sz w:val="32"/>
          <w:szCs w:val="32"/>
        </w:rPr>
        <w:t>二是</w:t>
      </w:r>
      <w:r>
        <w:rPr>
          <w:rFonts w:eastAsia="仿宋_GB2312"/>
          <w:color w:val="auto"/>
          <w:sz w:val="32"/>
          <w:szCs w:val="32"/>
        </w:rPr>
        <w:t>加强领导班子建设。县委政府高度重视教育系统领导班子建设，县委累计调整、任命书记、校长28人次；教育局新任命中小学书记、校长（副校长）72名，任命学区主任8名，专职副书记16名，对25名作用发挥不明显的中小学书记、校长，副校长进行了免职，</w:t>
      </w:r>
      <w:r>
        <w:rPr>
          <w:rStyle w:val="36"/>
          <w:rFonts w:eastAsia="仿宋_GB2312"/>
          <w:color w:val="auto"/>
          <w:kern w:val="0"/>
          <w:sz w:val="32"/>
          <w:szCs w:val="32"/>
        </w:rPr>
        <w:t>将干部人事管理权限下放至学区党总支</w:t>
      </w:r>
      <w:r>
        <w:rPr>
          <w:rFonts w:eastAsia="仿宋_GB2312"/>
          <w:color w:val="auto"/>
          <w:sz w:val="32"/>
          <w:szCs w:val="32"/>
        </w:rPr>
        <w:t>，</w:t>
      </w:r>
      <w:r>
        <w:rPr>
          <w:rStyle w:val="36"/>
          <w:rFonts w:eastAsia="仿宋_GB2312"/>
          <w:bCs/>
          <w:color w:val="auto"/>
          <w:sz w:val="32"/>
          <w:szCs w:val="32"/>
        </w:rPr>
        <w:t>2022年学区党总支调整任免干部10人</w:t>
      </w:r>
      <w:r>
        <w:rPr>
          <w:rFonts w:eastAsia="仿宋_GB2312"/>
          <w:color w:val="auto"/>
          <w:sz w:val="32"/>
          <w:szCs w:val="32"/>
        </w:rPr>
        <w:t>。</w:t>
      </w:r>
      <w:r>
        <w:rPr>
          <w:rFonts w:eastAsia="仿宋_GB2312"/>
          <w:b/>
          <w:bCs/>
          <w:color w:val="auto"/>
          <w:sz w:val="32"/>
          <w:szCs w:val="32"/>
        </w:rPr>
        <w:t>三是</w:t>
      </w:r>
      <w:r>
        <w:rPr>
          <w:rStyle w:val="36"/>
          <w:rFonts w:eastAsia="仿宋_GB2312"/>
          <w:bCs/>
          <w:color w:val="auto"/>
          <w:sz w:val="32"/>
          <w:szCs w:val="32"/>
        </w:rPr>
        <w:t>推进校地合作，2022年选派200名小学书记、校长、骨干教师和新任特岗教师参加寒暑期能力提升班</w:t>
      </w:r>
      <w:r>
        <w:rPr>
          <w:rStyle w:val="36"/>
          <w:rFonts w:eastAsia="仿宋_GB2312"/>
          <w:color w:val="auto"/>
          <w:kern w:val="0"/>
          <w:sz w:val="32"/>
          <w:szCs w:val="32"/>
        </w:rPr>
        <w:t>；</w:t>
      </w:r>
      <w:r>
        <w:rPr>
          <w:rStyle w:val="36"/>
          <w:rFonts w:eastAsia="仿宋_GB2312"/>
          <w:bCs/>
          <w:color w:val="auto"/>
          <w:sz w:val="32"/>
          <w:szCs w:val="32"/>
        </w:rPr>
        <w:t>选派32名学校书记、校长参加州直岗前和提高培训班，全面提高班子队伍素养。</w:t>
      </w:r>
      <w:r>
        <w:rPr>
          <w:rFonts w:eastAsia="仿宋_GB2312"/>
          <w:b/>
          <w:color w:val="auto"/>
          <w:sz w:val="32"/>
          <w:szCs w:val="32"/>
        </w:rPr>
        <w:t>四是</w:t>
      </w:r>
      <w:r>
        <w:rPr>
          <w:rFonts w:eastAsia="仿宋_GB2312"/>
          <w:color w:val="auto"/>
          <w:sz w:val="32"/>
          <w:szCs w:val="32"/>
        </w:rPr>
        <w:t>强化党的建设“七个全覆盖”。目前各中小学校均成立党组织，全县义务教育阶段共成立9个党总支，49个党支部（其中独立党支部17个，联合党支部32个）。2022年各党支部通过“三会一课”、固定主题党日活动、专题讲座等多种形式，新发展党员100名；举办新发展党员专题培训班，进行党性、党章党规专题教育，并把预备党员的教育培养作为发展党员重要环节，2023年计划发展党员100名。</w:t>
      </w:r>
      <w:r>
        <w:rPr>
          <w:rFonts w:eastAsia="仿宋_GB2312"/>
          <w:b/>
          <w:color w:val="auto"/>
          <w:sz w:val="32"/>
          <w:szCs w:val="32"/>
        </w:rPr>
        <w:t>五是</w:t>
      </w:r>
      <w:r>
        <w:rPr>
          <w:rFonts w:eastAsia="仿宋_GB2312"/>
          <w:color w:val="auto"/>
          <w:sz w:val="32"/>
          <w:szCs w:val="32"/>
        </w:rPr>
        <w:t>立足教育工委党建工作实际，挖掘亮点特色，2022年创建“五个好”标准化规范化党支部县级示范点9所，2023年计划创建至少5所县级“五个好”标准化规范化党支部，2所州级“五个好”标准化规范化党支部，充分发挥示范点的带动、辐射作用，不断提升中小学校党建工作水平。</w:t>
      </w:r>
      <w:r>
        <w:rPr>
          <w:rFonts w:eastAsia="仿宋_GB2312"/>
          <w:b/>
          <w:color w:val="auto"/>
          <w:sz w:val="32"/>
          <w:szCs w:val="32"/>
        </w:rPr>
        <w:t>六是</w:t>
      </w:r>
      <w:r>
        <w:rPr>
          <w:rFonts w:eastAsia="仿宋_GB2312"/>
          <w:color w:val="auto"/>
          <w:sz w:val="32"/>
          <w:szCs w:val="32"/>
        </w:rPr>
        <w:t>促进同步发展，由各党总支指导党建基础薄弱的党支部进行任务细化和责任分解，以党建工作推进会、党组织书记述职报告会为抓手，按季度对各学校党建工作进行常规指导评价，根据评价结果对前10%和后10%的党支部进行排名，营造“比赶超”的浓厚氛围。</w:t>
      </w:r>
    </w:p>
    <w:p>
      <w:pPr>
        <w:spacing w:line="560" w:lineRule="exact"/>
        <w:ind w:firstLine="640" w:firstLineChars="200"/>
        <w:rPr>
          <w:rFonts w:eastAsia="仿宋_GB2312"/>
          <w:color w:val="auto"/>
          <w:sz w:val="32"/>
          <w:szCs w:val="32"/>
        </w:rPr>
      </w:pPr>
      <w:r>
        <w:rPr>
          <w:rFonts w:eastAsia="仿宋_GB2312"/>
          <w:color w:val="auto"/>
          <w:sz w:val="32"/>
          <w:szCs w:val="32"/>
        </w:rPr>
        <w:t>自查自评得20分，此项与自治区义务教育均衡发展验收得分持平。</w:t>
      </w:r>
    </w:p>
    <w:p>
      <w:pPr>
        <w:spacing w:line="560" w:lineRule="exact"/>
        <w:ind w:firstLine="643" w:firstLineChars="200"/>
        <w:rPr>
          <w:rFonts w:eastAsia="仿宋_GB2312"/>
          <w:b/>
          <w:color w:val="auto"/>
          <w:sz w:val="32"/>
          <w:szCs w:val="32"/>
        </w:rPr>
      </w:pPr>
      <w:r>
        <w:rPr>
          <w:rFonts w:eastAsia="仿宋_GB2312"/>
          <w:b/>
          <w:color w:val="auto"/>
          <w:sz w:val="32"/>
          <w:szCs w:val="32"/>
        </w:rPr>
        <w:t xml:space="preserve">（2）A1-B1-C2优先发展（10分）  </w:t>
      </w:r>
    </w:p>
    <w:p>
      <w:pPr>
        <w:spacing w:line="560" w:lineRule="exact"/>
        <w:ind w:firstLine="643" w:firstLineChars="200"/>
        <w:rPr>
          <w:rFonts w:eastAsia="仿宋"/>
          <w:b/>
          <w:color w:val="auto"/>
          <w:sz w:val="32"/>
          <w:szCs w:val="32"/>
        </w:rPr>
      </w:pPr>
      <w:r>
        <w:rPr>
          <w:rFonts w:eastAsia="仿宋_GB2312"/>
          <w:b/>
          <w:color w:val="auto"/>
          <w:sz w:val="32"/>
          <w:szCs w:val="32"/>
        </w:rPr>
        <w:t>经自查：</w:t>
      </w:r>
      <w:r>
        <w:rPr>
          <w:rFonts w:eastAsia="仿宋_GB2312"/>
          <w:color w:val="auto"/>
          <w:sz w:val="32"/>
          <w:szCs w:val="32"/>
        </w:rPr>
        <w:t>县委、政府坚持把义务教育均衡发展作为义不容辞的责任和责无旁贷的本分，成立义务教育均衡发展工作领导小组，健全“党委统一领导、党政齐抓共管、部门各负其责”的工作机制，坚持“六个优先”抓落实，确保全县义务教育均衡发展巩固提升工作清晰、机制健全、目标明确、协同有力。</w:t>
      </w:r>
    </w:p>
    <w:p>
      <w:pPr>
        <w:spacing w:line="560" w:lineRule="exact"/>
        <w:ind w:firstLine="640" w:firstLineChars="200"/>
        <w:rPr>
          <w:rFonts w:eastAsia="仿宋_GB2312"/>
          <w:color w:val="auto"/>
          <w:sz w:val="32"/>
          <w:szCs w:val="32"/>
        </w:rPr>
      </w:pPr>
      <w:r>
        <w:rPr>
          <w:rFonts w:eastAsia="楷体_GB2312"/>
          <w:color w:val="auto"/>
          <w:sz w:val="32"/>
          <w:szCs w:val="32"/>
        </w:rPr>
        <w:t>一是优先安排教育投入。</w:t>
      </w:r>
      <w:r>
        <w:rPr>
          <w:rFonts w:eastAsia="仿宋_GB2312"/>
          <w:color w:val="auto"/>
          <w:sz w:val="32"/>
          <w:szCs w:val="32"/>
        </w:rPr>
        <w:t>以“十四五”规划为契机，利用中央及地方资金，优化学校整体布局，全面改善办学条件，大力实施学校布局调整工程，争取援疆资金，新建1所县直实验小学和1所幼儿园</w:t>
      </w:r>
      <w:r>
        <w:rPr>
          <w:rFonts w:hint="eastAsia" w:eastAsia="仿宋_GB2312"/>
          <w:color w:val="auto"/>
          <w:sz w:val="32"/>
          <w:szCs w:val="32"/>
          <w:lang w:eastAsia="zh-CN"/>
        </w:rPr>
        <w:t>；利用十四五规划资金和援疆资</w:t>
      </w:r>
      <w:r>
        <w:rPr>
          <w:rFonts w:hint="eastAsia" w:eastAsia="仿宋_GB2312"/>
          <w:color w:val="auto"/>
          <w:sz w:val="32"/>
          <w:szCs w:val="32"/>
          <w:highlight w:val="none"/>
          <w:lang w:eastAsia="zh-CN"/>
        </w:rPr>
        <w:t>金，</w:t>
      </w:r>
      <w:r>
        <w:rPr>
          <w:rFonts w:eastAsia="仿宋_GB2312"/>
          <w:color w:val="auto"/>
          <w:sz w:val="32"/>
          <w:szCs w:val="32"/>
          <w:highlight w:val="none"/>
        </w:rPr>
        <w:t>计划新建1所初级中学；大力实施学校建设工程，争取项目资金，为4所学校新建教学楼，为10所学校进行校舍维修</w:t>
      </w:r>
      <w:r>
        <w:rPr>
          <w:rFonts w:hint="eastAsia" w:eastAsia="仿宋_GB2312"/>
          <w:color w:val="auto"/>
          <w:sz w:val="32"/>
          <w:szCs w:val="32"/>
          <w:highlight w:val="none"/>
          <w:lang w:eastAsia="zh-CN"/>
        </w:rPr>
        <w:t>；自筹资金，为</w:t>
      </w:r>
      <w:r>
        <w:rPr>
          <w:rFonts w:hint="eastAsia" w:eastAsia="仿宋_GB2312"/>
          <w:color w:val="auto"/>
          <w:sz w:val="32"/>
          <w:szCs w:val="32"/>
          <w:highlight w:val="none"/>
          <w:lang w:val="en-US" w:eastAsia="zh-CN"/>
        </w:rPr>
        <w:t>19所学校</w:t>
      </w:r>
      <w:r>
        <w:rPr>
          <w:rFonts w:eastAsia="仿宋_GB2312"/>
          <w:color w:val="auto"/>
          <w:sz w:val="32"/>
          <w:szCs w:val="32"/>
          <w:highlight w:val="none"/>
        </w:rPr>
        <w:t>进行电采暖改造，实现清洁方式取暖；大力实</w:t>
      </w:r>
      <w:r>
        <w:rPr>
          <w:rFonts w:eastAsia="仿宋_GB2312"/>
          <w:color w:val="auto"/>
          <w:sz w:val="32"/>
          <w:szCs w:val="32"/>
        </w:rPr>
        <w:t>施特殊教育工程，争取中央资金在学校</w:t>
      </w:r>
      <w:r>
        <w:rPr>
          <w:rFonts w:hint="eastAsia" w:eastAsia="仿宋_GB2312"/>
          <w:color w:val="auto"/>
          <w:sz w:val="32"/>
          <w:szCs w:val="32"/>
          <w:lang w:eastAsia="zh-CN"/>
        </w:rPr>
        <w:t>内</w:t>
      </w:r>
      <w:r>
        <w:rPr>
          <w:rFonts w:eastAsia="仿宋_GB2312"/>
          <w:color w:val="auto"/>
          <w:sz w:val="32"/>
          <w:szCs w:val="32"/>
        </w:rPr>
        <w:t>新建1</w:t>
      </w:r>
      <w:r>
        <w:rPr>
          <w:rFonts w:hint="eastAsia" w:eastAsia="仿宋_GB2312"/>
          <w:color w:val="auto"/>
          <w:sz w:val="32"/>
          <w:szCs w:val="32"/>
          <w:lang w:eastAsia="zh-CN"/>
        </w:rPr>
        <w:t>个</w:t>
      </w:r>
      <w:r>
        <w:rPr>
          <w:rFonts w:eastAsia="仿宋_GB2312"/>
          <w:color w:val="auto"/>
          <w:sz w:val="32"/>
          <w:szCs w:val="32"/>
        </w:rPr>
        <w:t>特殊资源中心和1</w:t>
      </w:r>
      <w:r>
        <w:rPr>
          <w:rFonts w:hint="eastAsia" w:eastAsia="仿宋_GB2312"/>
          <w:color w:val="auto"/>
          <w:sz w:val="32"/>
          <w:szCs w:val="32"/>
          <w:lang w:eastAsia="zh-CN"/>
        </w:rPr>
        <w:t>间</w:t>
      </w:r>
      <w:r>
        <w:rPr>
          <w:rFonts w:eastAsia="仿宋_GB2312"/>
          <w:color w:val="auto"/>
          <w:sz w:val="32"/>
          <w:szCs w:val="32"/>
        </w:rPr>
        <w:t>资源教室，计划再新建1</w:t>
      </w:r>
      <w:r>
        <w:rPr>
          <w:rFonts w:hint="eastAsia" w:eastAsia="仿宋_GB2312"/>
          <w:color w:val="auto"/>
          <w:sz w:val="32"/>
          <w:szCs w:val="32"/>
          <w:lang w:eastAsia="zh-CN"/>
        </w:rPr>
        <w:t>间</w:t>
      </w:r>
      <w:r>
        <w:rPr>
          <w:rFonts w:eastAsia="仿宋_GB2312"/>
          <w:color w:val="auto"/>
          <w:sz w:val="32"/>
          <w:szCs w:val="32"/>
        </w:rPr>
        <w:t>资源教室，为特殊教育的质量提供保障。</w:t>
      </w:r>
    </w:p>
    <w:p>
      <w:pPr>
        <w:widowControl/>
        <w:spacing w:line="560" w:lineRule="exact"/>
        <w:ind w:firstLine="640" w:firstLineChars="200"/>
        <w:jc w:val="left"/>
        <w:outlineLvl w:val="0"/>
        <w:rPr>
          <w:rFonts w:eastAsia="仿宋_GB2312"/>
          <w:color w:val="auto"/>
          <w:sz w:val="32"/>
          <w:szCs w:val="32"/>
        </w:rPr>
      </w:pPr>
      <w:r>
        <w:rPr>
          <w:rFonts w:eastAsia="楷体_GB2312"/>
          <w:color w:val="auto"/>
          <w:sz w:val="32"/>
          <w:szCs w:val="32"/>
        </w:rPr>
        <w:t>二是优先规划教育发展。</w:t>
      </w:r>
      <w:r>
        <w:rPr>
          <w:rFonts w:eastAsia="仿宋_GB2312"/>
          <w:color w:val="auto"/>
          <w:sz w:val="32"/>
          <w:szCs w:val="32"/>
        </w:rPr>
        <w:t>坚持立足长远、规划先行，将教育改革发展纳入全县国民经济与社会发展总体规划，制定《特克斯县教育事业“十四五”发展规划》《特克斯县推动义务教育优质均衡发展实施方案（2022-2028年）》《特克斯县义务教育均衡发展巩固提升工作规划（2021-2023年）》《特克斯县义务教育均衡发展巩固提升工作实施方案》《特克斯县各类学校设置与校点布局调整“十四五”规划》等，通过统一规划，</w:t>
      </w:r>
      <w:r>
        <w:rPr>
          <w:rFonts w:hint="eastAsia" w:eastAsia="仿宋_GB2312"/>
          <w:color w:val="auto"/>
          <w:sz w:val="32"/>
          <w:szCs w:val="32"/>
          <w:lang w:eastAsia="zh-CN"/>
        </w:rPr>
        <w:t>分步</w:t>
      </w:r>
      <w:r>
        <w:rPr>
          <w:rFonts w:eastAsia="仿宋_GB2312"/>
          <w:color w:val="auto"/>
          <w:sz w:val="32"/>
          <w:szCs w:val="32"/>
        </w:rPr>
        <w:t>实施，逐步整合教育资源，优化学校布局，探索集团化办学，确保义务教育均衡发展成果得到进一步巩固。</w:t>
      </w:r>
    </w:p>
    <w:p>
      <w:pPr>
        <w:spacing w:line="560" w:lineRule="exact"/>
        <w:ind w:firstLine="640" w:firstLineChars="200"/>
        <w:rPr>
          <w:rFonts w:eastAsia="仿宋_GB2312"/>
          <w:color w:val="auto"/>
          <w:sz w:val="32"/>
          <w:szCs w:val="32"/>
        </w:rPr>
      </w:pPr>
      <w:r>
        <w:rPr>
          <w:rFonts w:eastAsia="楷体_GB2312"/>
          <w:color w:val="auto"/>
          <w:sz w:val="32"/>
          <w:szCs w:val="32"/>
        </w:rPr>
        <w:t>三是优先保障教育用地</w:t>
      </w:r>
      <w:r>
        <w:rPr>
          <w:rFonts w:eastAsia="仿宋_GB2312"/>
          <w:color w:val="auto"/>
          <w:sz w:val="32"/>
          <w:szCs w:val="32"/>
        </w:rPr>
        <w:t>。县委政府高度重视教育项目，及时研究解决教育阵地建设中项目审批、土地划拨、用地保障等问题，统筹住建、国土等部门开展用地和选址预审，近年来，在新城区划拨土地70亩新建1所实验小学，将县第二中学校址调整到职业学校的旧址，增大招生规模，计划在新城区划拨土地92.5亩新建1所县直初中，目前正在筹建，极大改善了我县教育环境，为实现集中办学奠定坚实的基础。</w:t>
      </w:r>
    </w:p>
    <w:p>
      <w:pPr>
        <w:spacing w:line="560" w:lineRule="exact"/>
        <w:ind w:firstLine="640" w:firstLineChars="200"/>
        <w:rPr>
          <w:rFonts w:eastAsia="仿宋_GB2312"/>
          <w:color w:val="auto"/>
          <w:sz w:val="32"/>
          <w:szCs w:val="32"/>
        </w:rPr>
      </w:pPr>
      <w:r>
        <w:rPr>
          <w:rFonts w:eastAsia="楷体_GB2312"/>
          <w:color w:val="auto"/>
          <w:sz w:val="32"/>
          <w:szCs w:val="32"/>
        </w:rPr>
        <w:t>四是优先引进教育人才</w:t>
      </w:r>
      <w:r>
        <w:rPr>
          <w:rFonts w:eastAsia="仿宋_GB2312"/>
          <w:color w:val="auto"/>
          <w:sz w:val="32"/>
          <w:szCs w:val="32"/>
        </w:rPr>
        <w:t>。我县针对城乡教师人员编制、学科结构、胜任与不胜任教师等“不均衡”问题，多渠道招聘优秀教师。2021年以来，</w:t>
      </w:r>
      <w:r>
        <w:rPr>
          <w:rFonts w:hint="eastAsia" w:eastAsia="仿宋_GB2312"/>
          <w:color w:val="auto"/>
          <w:sz w:val="32"/>
          <w:szCs w:val="32"/>
          <w:lang w:eastAsia="zh-CN"/>
        </w:rPr>
        <w:t>安置</w:t>
      </w:r>
      <w:r>
        <w:rPr>
          <w:rFonts w:eastAsia="仿宋_GB2312"/>
          <w:color w:val="auto"/>
          <w:sz w:val="32"/>
          <w:szCs w:val="32"/>
        </w:rPr>
        <w:t>自治区农村中小学定向培养公费师范毕业生73人，县聘121人，到位对口援疆教师17名</w:t>
      </w:r>
      <w:r>
        <w:rPr>
          <w:rFonts w:hint="eastAsia" w:eastAsia="仿宋_GB2312"/>
          <w:color w:val="auto"/>
          <w:sz w:val="32"/>
          <w:szCs w:val="32"/>
          <w:lang w:eastAsia="zh-CN"/>
        </w:rPr>
        <w:t>；</w:t>
      </w:r>
      <w:r>
        <w:rPr>
          <w:rFonts w:eastAsia="仿宋_GB2312"/>
          <w:color w:val="auto"/>
          <w:sz w:val="32"/>
          <w:szCs w:val="32"/>
        </w:rPr>
        <w:t>计划引进柔性人才6人，有效缓解全县推进国家通用语言教学中教师紧缺的问题。</w:t>
      </w:r>
    </w:p>
    <w:p>
      <w:pPr>
        <w:spacing w:line="560" w:lineRule="exact"/>
        <w:ind w:firstLine="640" w:firstLineChars="200"/>
        <w:rPr>
          <w:rFonts w:eastAsia="仿宋"/>
          <w:color w:val="auto"/>
          <w:sz w:val="32"/>
          <w:szCs w:val="32"/>
        </w:rPr>
      </w:pPr>
      <w:r>
        <w:rPr>
          <w:rFonts w:eastAsia="楷体_GB2312"/>
          <w:color w:val="auto"/>
          <w:sz w:val="32"/>
          <w:szCs w:val="32"/>
        </w:rPr>
        <w:t>五是优先落实教师待遇</w:t>
      </w:r>
      <w:r>
        <w:rPr>
          <w:rFonts w:eastAsia="仿宋_GB2312"/>
          <w:color w:val="auto"/>
          <w:sz w:val="32"/>
          <w:szCs w:val="32"/>
        </w:rPr>
        <w:t>。建立教师激励保障机制，结合教师节、庆“七一”，大力表彰优秀教师、优秀教育工作者、优秀党员教师、先进基层党组织，着力营造全县尊师重教的浓厚氛围；职称评定、评优评先向农村一线教师倾斜，农村学校教师每月按工龄计发300元、400元、500元的基层补贴全部到位；建成教师周转房824套（其中县城260套），县聘教师全面按正式教师落实绩效工资，解决教师后顾之忧；每年保障全县教师平均工资待遇高于公务员平均工资待遇。</w:t>
      </w:r>
    </w:p>
    <w:p>
      <w:pPr>
        <w:spacing w:line="560" w:lineRule="exact"/>
        <w:ind w:firstLine="640" w:firstLineChars="200"/>
        <w:rPr>
          <w:rFonts w:eastAsia="仿宋_GB2312"/>
          <w:color w:val="auto"/>
          <w:sz w:val="32"/>
          <w:szCs w:val="32"/>
        </w:rPr>
      </w:pPr>
      <w:r>
        <w:rPr>
          <w:rFonts w:eastAsia="楷体_GB2312"/>
          <w:color w:val="auto"/>
          <w:sz w:val="32"/>
          <w:szCs w:val="32"/>
        </w:rPr>
        <w:t>六是优先解决教育问题。</w:t>
      </w:r>
      <w:r>
        <w:rPr>
          <w:rFonts w:eastAsia="仿宋_GB2312"/>
          <w:color w:val="auto"/>
          <w:sz w:val="32"/>
          <w:szCs w:val="32"/>
        </w:rPr>
        <w:t>县委、政府高度重视教育工作，成立特克斯县教育工作委员会、教育工作领导小组，加强党对教育工作的全面领导，经常性召开县委常委（扩大）会议、政府党组会议和常务会议，专门研究解决教育经费、师资、学校领导班子建设等工作，督促成员单位积极履行职责，开辟绿色通道，全面保障教育事业有序发展。</w:t>
      </w:r>
    </w:p>
    <w:p>
      <w:pPr>
        <w:spacing w:line="560" w:lineRule="exact"/>
        <w:ind w:firstLine="640" w:firstLineChars="200"/>
        <w:rPr>
          <w:rFonts w:eastAsia="仿宋_GB2312"/>
          <w:color w:val="auto"/>
          <w:sz w:val="32"/>
          <w:szCs w:val="32"/>
        </w:rPr>
      </w:pPr>
      <w:r>
        <w:rPr>
          <w:rFonts w:eastAsia="仿宋_GB2312"/>
          <w:color w:val="auto"/>
          <w:sz w:val="32"/>
          <w:szCs w:val="32"/>
        </w:rPr>
        <w:t>自查自评得10分，此项与自治区义务教育均衡发展验收得分持平。</w:t>
      </w:r>
    </w:p>
    <w:p>
      <w:pPr>
        <w:spacing w:line="560" w:lineRule="exact"/>
        <w:ind w:firstLine="643" w:firstLineChars="200"/>
        <w:rPr>
          <w:rFonts w:eastAsia="仿宋_GB2312"/>
          <w:b/>
          <w:color w:val="auto"/>
          <w:sz w:val="32"/>
          <w:szCs w:val="32"/>
        </w:rPr>
      </w:pPr>
      <w:r>
        <w:rPr>
          <w:rFonts w:eastAsia="仿宋_GB2312"/>
          <w:b/>
          <w:color w:val="auto"/>
          <w:sz w:val="32"/>
          <w:szCs w:val="32"/>
        </w:rPr>
        <w:t>（3）A1-B1-*C3责任落实（20分）</w:t>
      </w:r>
    </w:p>
    <w:p>
      <w:pPr>
        <w:spacing w:line="560" w:lineRule="exact"/>
        <w:ind w:firstLine="643" w:firstLineChars="200"/>
        <w:rPr>
          <w:rFonts w:eastAsia="仿宋_GB2312"/>
          <w:color w:val="auto"/>
          <w:sz w:val="32"/>
          <w:szCs w:val="32"/>
        </w:rPr>
      </w:pPr>
      <w:r>
        <w:rPr>
          <w:rFonts w:eastAsia="仿宋_GB2312"/>
          <w:b/>
          <w:color w:val="auto"/>
          <w:sz w:val="32"/>
          <w:szCs w:val="32"/>
        </w:rPr>
        <w:t>经自查：</w:t>
      </w:r>
      <w:r>
        <w:rPr>
          <w:rFonts w:eastAsia="仿宋_GB2312"/>
          <w:bCs/>
          <w:color w:val="auto"/>
          <w:sz w:val="32"/>
          <w:szCs w:val="32"/>
        </w:rPr>
        <w:t>不断强化义务教育均衡发展工作，</w:t>
      </w:r>
      <w:r>
        <w:rPr>
          <w:rFonts w:eastAsia="仿宋_GB2312"/>
          <w:color w:val="auto"/>
          <w:sz w:val="32"/>
          <w:szCs w:val="32"/>
        </w:rPr>
        <w:t>成立《特克斯县义务教育学校标准化建设和均衡发展暨创建自治区教育强县工作领导小组》，制定《特克斯县义务教育标准化建设和均衡发展工作责任、监督和问责制度》《特克斯县义务教育学校标准化建设和均衡发展工作责任分解方案》，明确各个职能部门的职责，形成了政府直接领导，教育部门主抓，有关部门配合的责任明确、任务落实、工作协调的义务教育均衡发展长效机制；县委、县人民政府多次召开专题会议，县四套班子领导不定期深入学校调研，了解教育工作，研究解决存在的问题；县教育督导室对学校推进义务教育均衡发展工作进行定期或不定期督查，及时总结工作进展及落实情况，对存在的问题限时整改，形成决策、执行、监督、检查、总结提高的义务教育均衡发展工作长效机制。</w:t>
      </w:r>
    </w:p>
    <w:p>
      <w:pPr>
        <w:spacing w:line="560" w:lineRule="exact"/>
        <w:ind w:firstLine="640" w:firstLineChars="200"/>
        <w:rPr>
          <w:rFonts w:eastAsia="仿宋_GB2312"/>
          <w:color w:val="auto"/>
          <w:sz w:val="32"/>
          <w:szCs w:val="32"/>
        </w:rPr>
      </w:pPr>
      <w:r>
        <w:rPr>
          <w:rFonts w:eastAsia="仿宋_GB2312"/>
          <w:color w:val="auto"/>
          <w:sz w:val="32"/>
          <w:szCs w:val="32"/>
        </w:rPr>
        <w:t>自查自评得20分，此项与自治区义务教育均衡发展验收得分持平。</w:t>
      </w:r>
    </w:p>
    <w:p>
      <w:pPr>
        <w:spacing w:line="560" w:lineRule="exact"/>
        <w:ind w:firstLine="640" w:firstLineChars="200"/>
        <w:rPr>
          <w:rFonts w:eastAsia="楷体_GB2312"/>
          <w:color w:val="auto"/>
          <w:sz w:val="32"/>
          <w:szCs w:val="32"/>
        </w:rPr>
      </w:pPr>
      <w:r>
        <w:rPr>
          <w:rFonts w:eastAsia="楷体_GB2312"/>
          <w:color w:val="auto"/>
          <w:sz w:val="32"/>
          <w:szCs w:val="32"/>
        </w:rPr>
        <w:t>2.A1-B2组织实施（20分）</w:t>
      </w:r>
    </w:p>
    <w:p>
      <w:pPr>
        <w:spacing w:line="560" w:lineRule="exact"/>
        <w:ind w:firstLine="643" w:firstLineChars="200"/>
        <w:rPr>
          <w:rFonts w:eastAsia="仿宋_GB2312"/>
          <w:b/>
          <w:color w:val="auto"/>
          <w:sz w:val="32"/>
          <w:szCs w:val="32"/>
        </w:rPr>
      </w:pPr>
      <w:r>
        <w:rPr>
          <w:rFonts w:eastAsia="仿宋_GB2312"/>
          <w:b/>
          <w:color w:val="auto"/>
          <w:sz w:val="32"/>
          <w:szCs w:val="32"/>
        </w:rPr>
        <w:t xml:space="preserve">（1）A1-B2-C4目标管理（10分）  </w:t>
      </w:r>
    </w:p>
    <w:p>
      <w:pPr>
        <w:spacing w:line="560" w:lineRule="exact"/>
        <w:ind w:firstLine="643" w:firstLineChars="200"/>
        <w:rPr>
          <w:rFonts w:eastAsia="仿宋_GB2312"/>
          <w:color w:val="auto"/>
          <w:sz w:val="32"/>
          <w:szCs w:val="32"/>
        </w:rPr>
      </w:pPr>
      <w:r>
        <w:rPr>
          <w:rFonts w:eastAsia="仿宋_GB2312"/>
          <w:b/>
          <w:color w:val="auto"/>
          <w:sz w:val="32"/>
          <w:szCs w:val="32"/>
        </w:rPr>
        <w:t>经自查：</w:t>
      </w:r>
      <w:r>
        <w:rPr>
          <w:rFonts w:eastAsia="仿宋_GB2312"/>
          <w:color w:val="auto"/>
          <w:sz w:val="32"/>
          <w:szCs w:val="32"/>
        </w:rPr>
        <w:t>制定《特克斯县义务教育标准化建设和均衡发展目标管理制度》，进一步细化义务教育均衡发展巩固提升工作流程图，分年度</w:t>
      </w:r>
      <w:r>
        <w:rPr>
          <w:rFonts w:hint="eastAsia" w:eastAsia="仿宋_GB2312"/>
          <w:color w:val="auto"/>
          <w:sz w:val="32"/>
          <w:szCs w:val="32"/>
          <w:lang w:eastAsia="zh-CN"/>
        </w:rPr>
        <w:t>、</w:t>
      </w:r>
      <w:r>
        <w:rPr>
          <w:rFonts w:eastAsia="仿宋_GB2312"/>
          <w:color w:val="auto"/>
          <w:sz w:val="32"/>
          <w:szCs w:val="32"/>
        </w:rPr>
        <w:t>分学校制定建设目标，确保义务教育均衡发展巩固提升工作流程明确，责任清晰，工作落实到位，并层层签订义务均衡发展工作目标责任书。教育局负责义务教育均衡发展的具体操作、组织实施和日常管理；发改委在项目安排上给予优先和重点支持；财政局进一步完善义务教育经费投入保障机制，确保义务教育经费足额拨付；自然资源局、住建局优先保障教育项目建设用地；税务部门加强教育费附加征收工作，各成员单位依据职责任务，狠抓落实，巩固提升义务教育均衡发展成果。</w:t>
      </w:r>
    </w:p>
    <w:p>
      <w:pPr>
        <w:spacing w:line="560" w:lineRule="exact"/>
        <w:ind w:firstLine="640" w:firstLineChars="200"/>
        <w:rPr>
          <w:rFonts w:eastAsia="仿宋_GB2312"/>
          <w:color w:val="auto"/>
          <w:sz w:val="32"/>
          <w:szCs w:val="32"/>
        </w:rPr>
      </w:pPr>
      <w:r>
        <w:rPr>
          <w:rFonts w:eastAsia="仿宋_GB2312"/>
          <w:color w:val="auto"/>
          <w:sz w:val="32"/>
          <w:szCs w:val="32"/>
        </w:rPr>
        <w:t>自查自评得10分，此项与自治区义务教育均衡发展验收得分持平。</w:t>
      </w:r>
    </w:p>
    <w:p>
      <w:pPr>
        <w:spacing w:line="560" w:lineRule="exact"/>
        <w:ind w:firstLine="643" w:firstLineChars="200"/>
        <w:rPr>
          <w:rFonts w:eastAsia="仿宋_GB2312"/>
          <w:b/>
          <w:color w:val="auto"/>
          <w:sz w:val="32"/>
          <w:szCs w:val="32"/>
        </w:rPr>
      </w:pPr>
      <w:r>
        <w:rPr>
          <w:rFonts w:eastAsia="仿宋_GB2312"/>
          <w:b/>
          <w:color w:val="auto"/>
          <w:sz w:val="32"/>
          <w:szCs w:val="32"/>
        </w:rPr>
        <w:t>（2）A1-B2-C5督导检查（10分）</w:t>
      </w:r>
    </w:p>
    <w:p>
      <w:pPr>
        <w:spacing w:line="560" w:lineRule="exact"/>
        <w:ind w:firstLine="643" w:firstLineChars="200"/>
        <w:rPr>
          <w:rFonts w:eastAsia="仿宋_GB2312"/>
          <w:color w:val="auto"/>
          <w:sz w:val="32"/>
          <w:szCs w:val="32"/>
        </w:rPr>
      </w:pPr>
      <w:r>
        <w:rPr>
          <w:rFonts w:eastAsia="仿宋_GB2312"/>
          <w:b/>
          <w:color w:val="auto"/>
          <w:sz w:val="32"/>
          <w:szCs w:val="32"/>
        </w:rPr>
        <w:t>经自查：</w:t>
      </w:r>
      <w:r>
        <w:rPr>
          <w:rFonts w:eastAsia="仿宋_GB2312"/>
          <w:bCs/>
          <w:color w:val="auto"/>
          <w:sz w:val="32"/>
          <w:szCs w:val="32"/>
        </w:rPr>
        <w:t>我县始终把教育督导工作纳入全县总体工作中，成立了特克斯县人民政府教育督导委员会，根据实际需要，动态补充调整委员会成员，印发</w:t>
      </w:r>
      <w:r>
        <w:rPr>
          <w:rFonts w:eastAsia="仿宋_GB2312"/>
          <w:color w:val="auto"/>
          <w:sz w:val="32"/>
          <w:szCs w:val="32"/>
        </w:rPr>
        <w:t>《关于调整特克斯县人民政府教育督导委员会成员的通知》</w:t>
      </w:r>
      <w:r>
        <w:rPr>
          <w:rFonts w:hint="eastAsia" w:eastAsia="仿宋_GB2312"/>
          <w:color w:val="auto"/>
          <w:sz w:val="32"/>
          <w:szCs w:val="32"/>
          <w:lang w:eastAsia="zh-CN"/>
        </w:rPr>
        <w:t>，</w:t>
      </w:r>
      <w:r>
        <w:rPr>
          <w:rFonts w:eastAsia="仿宋_GB2312"/>
          <w:color w:val="auto"/>
          <w:sz w:val="32"/>
          <w:szCs w:val="32"/>
        </w:rPr>
        <w:t>制定《特克斯县义务教育学校标准化建设和均衡发展督导检查制度》《特克斯县教育督导约谈制度（试行）》，进一步明确各部门的职责，确保了义务教育基本均衡向优质均衡的有序推进，同时重视督学队伍建设，印发《特克斯县学校（幼儿园）责任督学挂牌督导实施方案》《关于重新调整2022年度第三届挂牌责任督学的通知》，聘任专兼职督学84名，规范督导程序，采用“教育部门专项督导、督学挂牌督导、学区定期督导”的方式，全面加强义务教育均衡发展督导工作。</w:t>
      </w:r>
    </w:p>
    <w:p>
      <w:pPr>
        <w:spacing w:line="560" w:lineRule="exact"/>
        <w:ind w:firstLine="640" w:firstLineChars="200"/>
        <w:rPr>
          <w:rFonts w:eastAsia="仿宋_GB2312"/>
          <w:color w:val="auto"/>
          <w:sz w:val="32"/>
          <w:szCs w:val="32"/>
        </w:rPr>
      </w:pPr>
      <w:r>
        <w:rPr>
          <w:rFonts w:eastAsia="仿宋_GB2312"/>
          <w:color w:val="auto"/>
          <w:sz w:val="32"/>
          <w:szCs w:val="32"/>
        </w:rPr>
        <w:t>自查自评得10分，此项与自治区义务教育均衡发展验收得分持平。</w:t>
      </w:r>
    </w:p>
    <w:p>
      <w:pPr>
        <w:spacing w:line="560" w:lineRule="exact"/>
        <w:ind w:firstLine="640" w:firstLineChars="200"/>
        <w:rPr>
          <w:rFonts w:eastAsia="楷体_GB2312"/>
          <w:color w:val="auto"/>
          <w:sz w:val="32"/>
          <w:szCs w:val="32"/>
        </w:rPr>
      </w:pPr>
      <w:r>
        <w:rPr>
          <w:rFonts w:eastAsia="楷体_GB2312"/>
          <w:color w:val="auto"/>
          <w:sz w:val="32"/>
          <w:szCs w:val="32"/>
        </w:rPr>
        <w:t>3.A1-B3经费投入（85分）</w:t>
      </w:r>
    </w:p>
    <w:p>
      <w:pPr>
        <w:spacing w:line="560" w:lineRule="exact"/>
        <w:ind w:firstLine="643" w:firstLineChars="200"/>
        <w:rPr>
          <w:rFonts w:eastAsia="仿宋_GB2312"/>
          <w:b/>
          <w:color w:val="auto"/>
          <w:sz w:val="32"/>
          <w:szCs w:val="32"/>
        </w:rPr>
      </w:pPr>
      <w:r>
        <w:rPr>
          <w:rFonts w:eastAsia="仿宋_GB2312"/>
          <w:b/>
          <w:color w:val="auto"/>
          <w:sz w:val="32"/>
          <w:szCs w:val="32"/>
        </w:rPr>
        <w:t>（1）A1-B3-*C6三个增长（40分）</w:t>
      </w:r>
    </w:p>
    <w:p>
      <w:pPr>
        <w:spacing w:line="560" w:lineRule="exact"/>
        <w:ind w:firstLine="643" w:firstLineChars="200"/>
        <w:rPr>
          <w:rFonts w:eastAsia="仿宋_GB2312"/>
          <w:b/>
          <w:color w:val="auto"/>
          <w:sz w:val="32"/>
          <w:szCs w:val="32"/>
        </w:rPr>
      </w:pPr>
      <w:r>
        <w:rPr>
          <w:rFonts w:eastAsia="仿宋_GB2312"/>
          <w:b/>
          <w:color w:val="auto"/>
          <w:sz w:val="32"/>
          <w:szCs w:val="32"/>
        </w:rPr>
        <w:t>经自查：</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第一个增长（10分）：教育财政拨款的增长应高于财政经常性收入的增长（大口径）。</w:t>
      </w:r>
    </w:p>
    <w:tbl>
      <w:tblPr>
        <w:tblStyle w:val="12"/>
        <w:tblW w:w="8140" w:type="dxa"/>
        <w:jc w:val="center"/>
        <w:tblInd w:w="0" w:type="dxa"/>
        <w:tblLayout w:type="fixed"/>
        <w:tblCellMar>
          <w:top w:w="0" w:type="dxa"/>
          <w:left w:w="108" w:type="dxa"/>
          <w:bottom w:w="0" w:type="dxa"/>
          <w:right w:w="108" w:type="dxa"/>
        </w:tblCellMar>
      </w:tblPr>
      <w:tblGrid>
        <w:gridCol w:w="1665"/>
        <w:gridCol w:w="1772"/>
        <w:gridCol w:w="1418"/>
        <w:gridCol w:w="1868"/>
        <w:gridCol w:w="1417"/>
      </w:tblGrid>
      <w:tr>
        <w:tblPrEx>
          <w:tblLayout w:type="fixed"/>
          <w:tblCellMar>
            <w:top w:w="0" w:type="dxa"/>
            <w:left w:w="108" w:type="dxa"/>
            <w:bottom w:w="0" w:type="dxa"/>
            <w:right w:w="108" w:type="dxa"/>
          </w:tblCellMar>
        </w:tblPrEx>
        <w:trPr>
          <w:trHeight w:val="624" w:hRule="atLeast"/>
          <w:jc w:val="center"/>
        </w:trPr>
        <w:tc>
          <w:tcPr>
            <w:tcW w:w="1665" w:type="dxa"/>
            <w:vMerge w:val="restart"/>
            <w:tcBorders>
              <w:top w:val="single" w:color="000000" w:sz="4" w:space="0"/>
              <w:left w:val="single" w:color="000000" w:sz="4" w:space="0"/>
              <w:bottom w:val="single" w:color="000000" w:sz="4" w:space="0"/>
              <w:right w:val="single" w:color="000000" w:sz="4" w:space="0"/>
              <w:tl2br w:val="single" w:color="auto" w:sz="4" w:space="0"/>
            </w:tcBorders>
            <w:vAlign w:val="center"/>
          </w:tcPr>
          <w:p>
            <w:pPr>
              <w:spacing w:line="400" w:lineRule="exact"/>
              <w:ind w:firstLine="750" w:firstLineChars="250"/>
              <w:jc w:val="center"/>
              <w:rPr>
                <w:rFonts w:eastAsia="仿宋_GB2312"/>
                <w:color w:val="auto"/>
                <w:sz w:val="30"/>
                <w:szCs w:val="30"/>
                <w:highlight w:val="none"/>
              </w:rPr>
            </w:pPr>
            <w:r>
              <w:rPr>
                <w:rFonts w:eastAsia="仿宋_GB2312"/>
                <w:color w:val="auto"/>
                <w:sz w:val="30"/>
                <w:szCs w:val="30"/>
                <w:highlight w:val="none"/>
              </w:rPr>
              <w:t>项目</w:t>
            </w:r>
          </w:p>
          <w:p>
            <w:pPr>
              <w:spacing w:line="400" w:lineRule="exact"/>
              <w:rPr>
                <w:rFonts w:eastAsia="仿宋_GB2312"/>
                <w:color w:val="auto"/>
                <w:sz w:val="30"/>
                <w:szCs w:val="30"/>
                <w:highlight w:val="none"/>
              </w:rPr>
            </w:pPr>
            <w:r>
              <w:rPr>
                <w:rFonts w:eastAsia="仿宋_GB2312"/>
                <w:color w:val="auto"/>
                <w:sz w:val="30"/>
                <w:szCs w:val="30"/>
                <w:highlight w:val="none"/>
              </w:rPr>
              <w:t>年度</w:t>
            </w:r>
          </w:p>
        </w:tc>
        <w:tc>
          <w:tcPr>
            <w:tcW w:w="1772" w:type="dxa"/>
            <w:vMerge w:val="restart"/>
            <w:tcBorders>
              <w:top w:val="single" w:color="000000" w:sz="4" w:space="0"/>
              <w:left w:val="nil"/>
              <w:bottom w:val="single" w:color="000000" w:sz="4" w:space="0"/>
              <w:right w:val="single" w:color="000000" w:sz="4" w:space="0"/>
            </w:tcBorders>
            <w:vAlign w:val="center"/>
          </w:tcPr>
          <w:p>
            <w:pPr>
              <w:spacing w:line="400" w:lineRule="exact"/>
              <w:jc w:val="center"/>
              <w:rPr>
                <w:rFonts w:eastAsia="仿宋_GB2312"/>
                <w:color w:val="auto"/>
                <w:sz w:val="30"/>
                <w:szCs w:val="30"/>
                <w:highlight w:val="none"/>
              </w:rPr>
            </w:pPr>
            <w:r>
              <w:rPr>
                <w:rFonts w:eastAsia="仿宋_GB2312"/>
                <w:color w:val="auto"/>
                <w:sz w:val="30"/>
                <w:szCs w:val="30"/>
                <w:highlight w:val="none"/>
              </w:rPr>
              <w:t>财政经常性</w:t>
            </w:r>
          </w:p>
          <w:p>
            <w:pPr>
              <w:spacing w:line="400" w:lineRule="exact"/>
              <w:jc w:val="center"/>
              <w:rPr>
                <w:rFonts w:eastAsia="仿宋_GB2312"/>
                <w:color w:val="auto"/>
                <w:sz w:val="30"/>
                <w:szCs w:val="30"/>
                <w:highlight w:val="none"/>
              </w:rPr>
            </w:pPr>
            <w:r>
              <w:rPr>
                <w:rFonts w:eastAsia="仿宋_GB2312"/>
                <w:color w:val="auto"/>
                <w:sz w:val="30"/>
                <w:szCs w:val="30"/>
                <w:highlight w:val="none"/>
              </w:rPr>
              <w:t>收入（万元）</w:t>
            </w:r>
          </w:p>
        </w:tc>
        <w:tc>
          <w:tcPr>
            <w:tcW w:w="1418" w:type="dxa"/>
            <w:vMerge w:val="restart"/>
            <w:tcBorders>
              <w:top w:val="single" w:color="000000" w:sz="4" w:space="0"/>
              <w:left w:val="nil"/>
              <w:bottom w:val="single" w:color="000000" w:sz="4" w:space="0"/>
              <w:right w:val="single" w:color="000000" w:sz="4" w:space="0"/>
            </w:tcBorders>
            <w:vAlign w:val="center"/>
          </w:tcPr>
          <w:p>
            <w:pPr>
              <w:spacing w:line="400" w:lineRule="exact"/>
              <w:jc w:val="center"/>
              <w:rPr>
                <w:rFonts w:eastAsia="仿宋_GB2312"/>
                <w:color w:val="auto"/>
                <w:sz w:val="30"/>
                <w:szCs w:val="30"/>
                <w:highlight w:val="none"/>
              </w:rPr>
            </w:pPr>
            <w:r>
              <w:rPr>
                <w:rFonts w:eastAsia="仿宋_GB2312"/>
                <w:color w:val="auto"/>
                <w:sz w:val="30"/>
                <w:szCs w:val="30"/>
                <w:highlight w:val="none"/>
              </w:rPr>
              <w:t>增长率%</w:t>
            </w:r>
          </w:p>
        </w:tc>
        <w:tc>
          <w:tcPr>
            <w:tcW w:w="1868" w:type="dxa"/>
            <w:vMerge w:val="restart"/>
            <w:tcBorders>
              <w:top w:val="single" w:color="000000" w:sz="4" w:space="0"/>
              <w:left w:val="nil"/>
              <w:bottom w:val="single" w:color="000000" w:sz="4" w:space="0"/>
              <w:right w:val="single" w:color="000000" w:sz="4" w:space="0"/>
            </w:tcBorders>
            <w:vAlign w:val="center"/>
          </w:tcPr>
          <w:p>
            <w:pPr>
              <w:spacing w:line="400" w:lineRule="exact"/>
              <w:jc w:val="center"/>
              <w:rPr>
                <w:rFonts w:eastAsia="仿宋_GB2312"/>
                <w:color w:val="auto"/>
                <w:sz w:val="30"/>
                <w:szCs w:val="30"/>
                <w:highlight w:val="none"/>
              </w:rPr>
            </w:pPr>
            <w:r>
              <w:rPr>
                <w:rFonts w:eastAsia="仿宋_GB2312"/>
                <w:color w:val="auto"/>
                <w:sz w:val="30"/>
                <w:szCs w:val="30"/>
                <w:highlight w:val="none"/>
              </w:rPr>
              <w:t>教育财政拨款（万元）</w:t>
            </w:r>
          </w:p>
        </w:tc>
        <w:tc>
          <w:tcPr>
            <w:tcW w:w="1417" w:type="dxa"/>
            <w:vMerge w:val="restart"/>
            <w:tcBorders>
              <w:top w:val="single" w:color="000000" w:sz="4" w:space="0"/>
              <w:left w:val="nil"/>
              <w:bottom w:val="single" w:color="000000" w:sz="4" w:space="0"/>
              <w:right w:val="single" w:color="000000" w:sz="4" w:space="0"/>
            </w:tcBorders>
            <w:vAlign w:val="center"/>
          </w:tcPr>
          <w:p>
            <w:pPr>
              <w:spacing w:line="400" w:lineRule="exact"/>
              <w:jc w:val="center"/>
              <w:rPr>
                <w:rFonts w:eastAsia="仿宋_GB2312"/>
                <w:color w:val="auto"/>
                <w:sz w:val="30"/>
                <w:szCs w:val="30"/>
                <w:highlight w:val="none"/>
              </w:rPr>
            </w:pPr>
            <w:r>
              <w:rPr>
                <w:rFonts w:eastAsia="仿宋_GB2312"/>
                <w:color w:val="auto"/>
                <w:sz w:val="30"/>
                <w:szCs w:val="30"/>
                <w:highlight w:val="none"/>
              </w:rPr>
              <w:t>增长率%</w:t>
            </w:r>
          </w:p>
        </w:tc>
      </w:tr>
      <w:tr>
        <w:tblPrEx>
          <w:tblLayout w:type="fixed"/>
          <w:tblCellMar>
            <w:top w:w="0" w:type="dxa"/>
            <w:left w:w="108" w:type="dxa"/>
            <w:bottom w:w="0" w:type="dxa"/>
            <w:right w:w="108" w:type="dxa"/>
          </w:tblCellMar>
        </w:tblPrEx>
        <w:trPr>
          <w:trHeight w:val="400" w:hRule="atLeast"/>
          <w:jc w:val="center"/>
        </w:trPr>
        <w:tc>
          <w:tcPr>
            <w:tcW w:w="1665"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仿宋_GB2312"/>
                <w:color w:val="auto"/>
                <w:sz w:val="30"/>
                <w:szCs w:val="30"/>
                <w:highlight w:val="none"/>
              </w:rPr>
            </w:pPr>
          </w:p>
        </w:tc>
        <w:tc>
          <w:tcPr>
            <w:tcW w:w="1772" w:type="dxa"/>
            <w:vMerge w:val="continue"/>
            <w:tcBorders>
              <w:top w:val="single" w:color="000000" w:sz="4" w:space="0"/>
              <w:left w:val="nil"/>
              <w:bottom w:val="single" w:color="000000" w:sz="4" w:space="0"/>
              <w:right w:val="single" w:color="000000" w:sz="4" w:space="0"/>
            </w:tcBorders>
            <w:vAlign w:val="center"/>
          </w:tcPr>
          <w:p>
            <w:pPr>
              <w:spacing w:line="400" w:lineRule="exact"/>
              <w:jc w:val="center"/>
              <w:rPr>
                <w:rFonts w:eastAsia="仿宋_GB2312"/>
                <w:color w:val="auto"/>
                <w:sz w:val="30"/>
                <w:szCs w:val="30"/>
                <w:highlight w:val="none"/>
              </w:rPr>
            </w:pPr>
          </w:p>
        </w:tc>
        <w:tc>
          <w:tcPr>
            <w:tcW w:w="1418" w:type="dxa"/>
            <w:vMerge w:val="continue"/>
            <w:tcBorders>
              <w:top w:val="single" w:color="000000" w:sz="4" w:space="0"/>
              <w:left w:val="nil"/>
              <w:bottom w:val="single" w:color="000000" w:sz="4" w:space="0"/>
              <w:right w:val="single" w:color="000000" w:sz="4" w:space="0"/>
            </w:tcBorders>
            <w:vAlign w:val="center"/>
          </w:tcPr>
          <w:p>
            <w:pPr>
              <w:spacing w:line="400" w:lineRule="exact"/>
              <w:jc w:val="center"/>
              <w:rPr>
                <w:rFonts w:eastAsia="仿宋_GB2312"/>
                <w:color w:val="auto"/>
                <w:sz w:val="30"/>
                <w:szCs w:val="30"/>
                <w:highlight w:val="none"/>
              </w:rPr>
            </w:pPr>
          </w:p>
        </w:tc>
        <w:tc>
          <w:tcPr>
            <w:tcW w:w="1868" w:type="dxa"/>
            <w:vMerge w:val="continue"/>
            <w:tcBorders>
              <w:top w:val="single" w:color="000000" w:sz="4" w:space="0"/>
              <w:left w:val="nil"/>
              <w:bottom w:val="single" w:color="000000" w:sz="4" w:space="0"/>
              <w:right w:val="single" w:color="000000" w:sz="4" w:space="0"/>
            </w:tcBorders>
            <w:vAlign w:val="center"/>
          </w:tcPr>
          <w:p>
            <w:pPr>
              <w:spacing w:line="400" w:lineRule="exact"/>
              <w:jc w:val="center"/>
              <w:rPr>
                <w:rFonts w:eastAsia="仿宋_GB2312"/>
                <w:color w:val="auto"/>
                <w:sz w:val="30"/>
                <w:szCs w:val="30"/>
                <w:highlight w:val="none"/>
              </w:rPr>
            </w:pPr>
          </w:p>
        </w:tc>
        <w:tc>
          <w:tcPr>
            <w:tcW w:w="1417" w:type="dxa"/>
            <w:vMerge w:val="continue"/>
            <w:tcBorders>
              <w:top w:val="single" w:color="000000" w:sz="4" w:space="0"/>
              <w:left w:val="nil"/>
              <w:bottom w:val="single" w:color="000000" w:sz="4" w:space="0"/>
              <w:right w:val="single" w:color="000000" w:sz="4" w:space="0"/>
            </w:tcBorders>
            <w:vAlign w:val="center"/>
          </w:tcPr>
          <w:p>
            <w:pPr>
              <w:spacing w:line="400" w:lineRule="exact"/>
              <w:jc w:val="center"/>
              <w:rPr>
                <w:rFonts w:eastAsia="仿宋_GB2312"/>
                <w:color w:val="auto"/>
                <w:sz w:val="30"/>
                <w:szCs w:val="30"/>
                <w:highlight w:val="none"/>
              </w:rPr>
            </w:pPr>
          </w:p>
        </w:tc>
      </w:tr>
      <w:tr>
        <w:tblPrEx>
          <w:tblLayout w:type="fixed"/>
          <w:tblCellMar>
            <w:top w:w="0" w:type="dxa"/>
            <w:left w:w="108" w:type="dxa"/>
            <w:bottom w:w="0" w:type="dxa"/>
            <w:right w:w="108" w:type="dxa"/>
          </w:tblCellMar>
        </w:tblPrEx>
        <w:trPr>
          <w:trHeight w:val="454" w:hRule="atLeast"/>
          <w:jc w:val="center"/>
        </w:trPr>
        <w:tc>
          <w:tcPr>
            <w:tcW w:w="166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仿宋_GB2312"/>
                <w:color w:val="auto"/>
                <w:sz w:val="30"/>
                <w:szCs w:val="30"/>
                <w:highlight w:val="none"/>
              </w:rPr>
            </w:pPr>
            <w:r>
              <w:rPr>
                <w:rFonts w:eastAsia="仿宋_GB2312"/>
                <w:color w:val="auto"/>
                <w:sz w:val="30"/>
                <w:szCs w:val="30"/>
                <w:highlight w:val="none"/>
              </w:rPr>
              <w:t>20</w:t>
            </w:r>
            <w:r>
              <w:rPr>
                <w:rFonts w:hint="eastAsia" w:eastAsia="仿宋_GB2312"/>
                <w:color w:val="auto"/>
                <w:sz w:val="30"/>
                <w:szCs w:val="30"/>
                <w:highlight w:val="none"/>
                <w:lang w:val="en-US" w:eastAsia="zh-CN"/>
              </w:rPr>
              <w:t>19</w:t>
            </w:r>
            <w:r>
              <w:rPr>
                <w:rFonts w:eastAsia="仿宋_GB2312"/>
                <w:color w:val="auto"/>
                <w:sz w:val="30"/>
                <w:szCs w:val="30"/>
                <w:highlight w:val="none"/>
              </w:rPr>
              <w:t>年</w:t>
            </w:r>
          </w:p>
        </w:tc>
        <w:tc>
          <w:tcPr>
            <w:tcW w:w="1772" w:type="dxa"/>
            <w:tcBorders>
              <w:top w:val="single" w:color="000000" w:sz="4" w:space="0"/>
              <w:left w:val="nil"/>
              <w:bottom w:val="single" w:color="000000" w:sz="4" w:space="0"/>
              <w:right w:val="single" w:color="000000" w:sz="4" w:space="0"/>
            </w:tcBorders>
            <w:vAlign w:val="center"/>
          </w:tcPr>
          <w:p>
            <w:pPr>
              <w:spacing w:line="400" w:lineRule="exact"/>
              <w:jc w:val="center"/>
              <w:rPr>
                <w:rFonts w:hint="default" w:eastAsia="仿宋_GB2312"/>
                <w:color w:val="auto"/>
                <w:sz w:val="30"/>
                <w:szCs w:val="30"/>
                <w:highlight w:val="none"/>
                <w:lang w:val="en-US" w:eastAsia="zh-CN"/>
              </w:rPr>
            </w:pPr>
            <w:r>
              <w:rPr>
                <w:rFonts w:hint="eastAsia" w:eastAsia="仿宋_GB2312"/>
                <w:color w:val="auto"/>
                <w:sz w:val="30"/>
                <w:szCs w:val="30"/>
                <w:highlight w:val="none"/>
                <w:lang w:val="en-US" w:eastAsia="zh-CN"/>
              </w:rPr>
              <w:t>45569</w:t>
            </w:r>
          </w:p>
        </w:tc>
        <w:tc>
          <w:tcPr>
            <w:tcW w:w="1418" w:type="dxa"/>
            <w:tcBorders>
              <w:top w:val="single" w:color="000000" w:sz="4" w:space="0"/>
              <w:left w:val="nil"/>
              <w:bottom w:val="single" w:color="000000" w:sz="4" w:space="0"/>
              <w:right w:val="single" w:color="000000" w:sz="4" w:space="0"/>
            </w:tcBorders>
            <w:vAlign w:val="center"/>
          </w:tcPr>
          <w:p>
            <w:pPr>
              <w:spacing w:line="400" w:lineRule="exact"/>
              <w:jc w:val="center"/>
              <w:rPr>
                <w:rFonts w:eastAsia="仿宋_GB2312"/>
                <w:color w:val="auto"/>
                <w:sz w:val="30"/>
                <w:szCs w:val="30"/>
                <w:highlight w:val="none"/>
              </w:rPr>
            </w:pPr>
            <w:r>
              <w:rPr>
                <w:rFonts w:hint="eastAsia" w:eastAsia="仿宋_GB2312"/>
                <w:color w:val="auto"/>
                <w:sz w:val="30"/>
                <w:szCs w:val="30"/>
                <w:highlight w:val="none"/>
              </w:rPr>
              <w:t>-</w:t>
            </w:r>
          </w:p>
        </w:tc>
        <w:tc>
          <w:tcPr>
            <w:tcW w:w="1868" w:type="dxa"/>
            <w:tcBorders>
              <w:top w:val="single" w:color="000000" w:sz="4" w:space="0"/>
              <w:left w:val="nil"/>
              <w:bottom w:val="single" w:color="000000" w:sz="4" w:space="0"/>
              <w:right w:val="single" w:color="000000" w:sz="4" w:space="0"/>
            </w:tcBorders>
            <w:vAlign w:val="center"/>
          </w:tcPr>
          <w:p>
            <w:pPr>
              <w:spacing w:line="400" w:lineRule="exact"/>
              <w:jc w:val="center"/>
              <w:rPr>
                <w:rFonts w:hint="default" w:eastAsia="仿宋_GB2312"/>
                <w:color w:val="auto"/>
                <w:sz w:val="30"/>
                <w:szCs w:val="30"/>
                <w:highlight w:val="none"/>
                <w:lang w:val="en-US" w:eastAsia="zh-CN"/>
              </w:rPr>
            </w:pPr>
            <w:r>
              <w:rPr>
                <w:rFonts w:hint="eastAsia" w:eastAsia="仿宋_GB2312"/>
                <w:color w:val="auto"/>
                <w:sz w:val="30"/>
                <w:szCs w:val="30"/>
                <w:highlight w:val="none"/>
                <w:lang w:val="en-US" w:eastAsia="zh-CN"/>
              </w:rPr>
              <w:t>44024</w:t>
            </w:r>
          </w:p>
        </w:tc>
        <w:tc>
          <w:tcPr>
            <w:tcW w:w="1417" w:type="dxa"/>
            <w:tcBorders>
              <w:top w:val="single" w:color="000000" w:sz="4" w:space="0"/>
              <w:left w:val="nil"/>
              <w:bottom w:val="single" w:color="000000" w:sz="4" w:space="0"/>
              <w:right w:val="single" w:color="000000" w:sz="4" w:space="0"/>
            </w:tcBorders>
            <w:vAlign w:val="center"/>
          </w:tcPr>
          <w:p>
            <w:pPr>
              <w:spacing w:line="400" w:lineRule="exact"/>
              <w:jc w:val="center"/>
              <w:rPr>
                <w:rFonts w:eastAsia="仿宋_GB2312"/>
                <w:color w:val="auto"/>
                <w:sz w:val="30"/>
                <w:szCs w:val="30"/>
                <w:highlight w:val="none"/>
              </w:rPr>
            </w:pPr>
            <w:r>
              <w:rPr>
                <w:rFonts w:hint="eastAsia" w:eastAsia="仿宋_GB2312"/>
                <w:color w:val="auto"/>
                <w:sz w:val="30"/>
                <w:szCs w:val="3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65" w:type="dxa"/>
            <w:vAlign w:val="center"/>
          </w:tcPr>
          <w:p>
            <w:pPr>
              <w:spacing w:line="400" w:lineRule="exact"/>
              <w:jc w:val="center"/>
              <w:rPr>
                <w:rFonts w:eastAsia="仿宋_GB2312"/>
                <w:color w:val="auto"/>
                <w:sz w:val="30"/>
                <w:szCs w:val="30"/>
                <w:highlight w:val="none"/>
              </w:rPr>
            </w:pPr>
            <w:r>
              <w:rPr>
                <w:rFonts w:eastAsia="仿宋_GB2312"/>
                <w:color w:val="auto"/>
                <w:sz w:val="30"/>
                <w:szCs w:val="30"/>
                <w:highlight w:val="none"/>
              </w:rPr>
              <w:t>20</w:t>
            </w:r>
            <w:r>
              <w:rPr>
                <w:rFonts w:hint="eastAsia" w:eastAsia="仿宋_GB2312"/>
                <w:color w:val="auto"/>
                <w:sz w:val="30"/>
                <w:szCs w:val="30"/>
                <w:highlight w:val="none"/>
                <w:lang w:val="en-US" w:eastAsia="zh-CN"/>
              </w:rPr>
              <w:t>20</w:t>
            </w:r>
            <w:r>
              <w:rPr>
                <w:rFonts w:eastAsia="仿宋_GB2312"/>
                <w:color w:val="auto"/>
                <w:sz w:val="30"/>
                <w:szCs w:val="30"/>
                <w:highlight w:val="none"/>
              </w:rPr>
              <w:t>年</w:t>
            </w:r>
          </w:p>
        </w:tc>
        <w:tc>
          <w:tcPr>
            <w:tcW w:w="1772" w:type="dxa"/>
            <w:vAlign w:val="center"/>
          </w:tcPr>
          <w:p>
            <w:pPr>
              <w:spacing w:line="400" w:lineRule="exact"/>
              <w:jc w:val="center"/>
              <w:rPr>
                <w:rFonts w:hint="default" w:eastAsia="仿宋_GB2312"/>
                <w:color w:val="auto"/>
                <w:sz w:val="30"/>
                <w:szCs w:val="30"/>
                <w:highlight w:val="none"/>
                <w:lang w:val="en-US" w:eastAsia="zh-CN"/>
              </w:rPr>
            </w:pPr>
            <w:r>
              <w:rPr>
                <w:rFonts w:hint="eastAsia" w:eastAsia="仿宋_GB2312"/>
                <w:color w:val="auto"/>
                <w:sz w:val="30"/>
                <w:szCs w:val="30"/>
                <w:highlight w:val="none"/>
                <w:lang w:val="en-US" w:eastAsia="zh-CN"/>
              </w:rPr>
              <w:t>51916</w:t>
            </w:r>
          </w:p>
        </w:tc>
        <w:tc>
          <w:tcPr>
            <w:tcW w:w="1418" w:type="dxa"/>
            <w:vAlign w:val="center"/>
          </w:tcPr>
          <w:p>
            <w:pPr>
              <w:spacing w:line="400" w:lineRule="exact"/>
              <w:jc w:val="center"/>
              <w:rPr>
                <w:rFonts w:hint="default" w:eastAsia="仿宋_GB2312"/>
                <w:color w:val="auto"/>
                <w:sz w:val="30"/>
                <w:szCs w:val="30"/>
                <w:highlight w:val="none"/>
                <w:lang w:val="en-US" w:eastAsia="zh-CN"/>
              </w:rPr>
            </w:pPr>
            <w:r>
              <w:rPr>
                <w:rFonts w:hint="eastAsia" w:eastAsia="仿宋_GB2312"/>
                <w:color w:val="auto"/>
                <w:sz w:val="30"/>
                <w:szCs w:val="30"/>
                <w:highlight w:val="none"/>
                <w:lang w:val="en-US" w:eastAsia="zh-CN"/>
              </w:rPr>
              <w:t>13.93</w:t>
            </w:r>
          </w:p>
        </w:tc>
        <w:tc>
          <w:tcPr>
            <w:tcW w:w="1868" w:type="dxa"/>
            <w:vAlign w:val="center"/>
          </w:tcPr>
          <w:p>
            <w:pPr>
              <w:spacing w:line="400" w:lineRule="exact"/>
              <w:jc w:val="center"/>
              <w:rPr>
                <w:rFonts w:hint="default" w:eastAsia="仿宋_GB2312"/>
                <w:color w:val="auto"/>
                <w:sz w:val="30"/>
                <w:szCs w:val="30"/>
                <w:highlight w:val="none"/>
                <w:lang w:val="en-US" w:eastAsia="zh-CN"/>
              </w:rPr>
            </w:pPr>
            <w:r>
              <w:rPr>
                <w:rFonts w:hint="eastAsia" w:eastAsia="仿宋_GB2312"/>
                <w:color w:val="auto"/>
                <w:sz w:val="30"/>
                <w:szCs w:val="30"/>
                <w:highlight w:val="none"/>
                <w:lang w:val="en-US" w:eastAsia="zh-CN"/>
              </w:rPr>
              <w:t>50611</w:t>
            </w:r>
          </w:p>
        </w:tc>
        <w:tc>
          <w:tcPr>
            <w:tcW w:w="1417" w:type="dxa"/>
            <w:vAlign w:val="center"/>
          </w:tcPr>
          <w:p>
            <w:pPr>
              <w:spacing w:line="400" w:lineRule="exact"/>
              <w:jc w:val="center"/>
              <w:rPr>
                <w:rFonts w:hint="default" w:eastAsia="仿宋_GB2312"/>
                <w:color w:val="auto"/>
                <w:sz w:val="30"/>
                <w:szCs w:val="30"/>
                <w:highlight w:val="none"/>
                <w:lang w:val="en-US" w:eastAsia="zh-CN"/>
              </w:rPr>
            </w:pPr>
            <w:r>
              <w:rPr>
                <w:rFonts w:hint="eastAsia" w:eastAsia="仿宋_GB2312"/>
                <w:color w:val="auto"/>
                <w:sz w:val="30"/>
                <w:szCs w:val="30"/>
                <w:highlight w:val="none"/>
                <w:lang w:val="en-US" w:eastAsia="zh-CN"/>
              </w:rPr>
              <w:t>14.96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65" w:type="dxa"/>
            <w:vAlign w:val="center"/>
          </w:tcPr>
          <w:p>
            <w:pPr>
              <w:spacing w:line="400" w:lineRule="exact"/>
              <w:jc w:val="center"/>
              <w:rPr>
                <w:rFonts w:eastAsia="仿宋_GB2312"/>
                <w:color w:val="auto"/>
                <w:sz w:val="30"/>
                <w:szCs w:val="30"/>
                <w:highlight w:val="none"/>
              </w:rPr>
            </w:pPr>
            <w:r>
              <w:rPr>
                <w:rFonts w:eastAsia="仿宋_GB2312"/>
                <w:color w:val="auto"/>
                <w:sz w:val="30"/>
                <w:szCs w:val="30"/>
                <w:highlight w:val="none"/>
              </w:rPr>
              <w:t>20</w:t>
            </w:r>
            <w:r>
              <w:rPr>
                <w:rFonts w:hint="eastAsia" w:eastAsia="仿宋_GB2312"/>
                <w:color w:val="auto"/>
                <w:sz w:val="30"/>
                <w:szCs w:val="30"/>
                <w:highlight w:val="none"/>
                <w:lang w:val="en-US" w:eastAsia="zh-CN"/>
              </w:rPr>
              <w:t>21</w:t>
            </w:r>
            <w:r>
              <w:rPr>
                <w:rFonts w:eastAsia="仿宋_GB2312"/>
                <w:color w:val="auto"/>
                <w:sz w:val="30"/>
                <w:szCs w:val="30"/>
                <w:highlight w:val="none"/>
              </w:rPr>
              <w:t>年</w:t>
            </w:r>
          </w:p>
        </w:tc>
        <w:tc>
          <w:tcPr>
            <w:tcW w:w="1772" w:type="dxa"/>
            <w:vAlign w:val="center"/>
          </w:tcPr>
          <w:p>
            <w:pPr>
              <w:spacing w:line="400" w:lineRule="exact"/>
              <w:jc w:val="center"/>
              <w:rPr>
                <w:rFonts w:hint="default" w:eastAsia="仿宋_GB2312"/>
                <w:color w:val="auto"/>
                <w:sz w:val="30"/>
                <w:szCs w:val="30"/>
                <w:highlight w:val="none"/>
                <w:lang w:val="en-US" w:eastAsia="zh-CN"/>
              </w:rPr>
            </w:pPr>
            <w:r>
              <w:rPr>
                <w:rFonts w:hint="eastAsia" w:eastAsia="仿宋_GB2312"/>
                <w:color w:val="auto"/>
                <w:sz w:val="30"/>
                <w:szCs w:val="30"/>
                <w:highlight w:val="none"/>
                <w:lang w:val="en-US" w:eastAsia="zh-CN"/>
              </w:rPr>
              <w:t>50706</w:t>
            </w:r>
          </w:p>
        </w:tc>
        <w:tc>
          <w:tcPr>
            <w:tcW w:w="1418" w:type="dxa"/>
            <w:vAlign w:val="center"/>
          </w:tcPr>
          <w:p>
            <w:pPr>
              <w:spacing w:line="400" w:lineRule="exact"/>
              <w:jc w:val="center"/>
              <w:rPr>
                <w:rFonts w:hint="default" w:eastAsia="仿宋_GB2312"/>
                <w:color w:val="auto"/>
                <w:sz w:val="30"/>
                <w:szCs w:val="30"/>
                <w:highlight w:val="none"/>
                <w:lang w:val="en-US" w:eastAsia="zh-CN"/>
              </w:rPr>
            </w:pPr>
            <w:r>
              <w:rPr>
                <w:rFonts w:hint="eastAsia" w:eastAsia="仿宋_GB2312"/>
                <w:color w:val="auto"/>
                <w:sz w:val="30"/>
                <w:szCs w:val="30"/>
                <w:highlight w:val="none"/>
                <w:lang w:val="en-US" w:eastAsia="zh-CN"/>
              </w:rPr>
              <w:t>-2.33</w:t>
            </w:r>
          </w:p>
        </w:tc>
        <w:tc>
          <w:tcPr>
            <w:tcW w:w="1868" w:type="dxa"/>
            <w:vAlign w:val="center"/>
          </w:tcPr>
          <w:p>
            <w:pPr>
              <w:spacing w:line="400" w:lineRule="exact"/>
              <w:jc w:val="center"/>
              <w:rPr>
                <w:rFonts w:hint="default" w:eastAsia="仿宋_GB2312"/>
                <w:color w:val="auto"/>
                <w:sz w:val="30"/>
                <w:szCs w:val="30"/>
                <w:highlight w:val="none"/>
                <w:lang w:val="en-US" w:eastAsia="zh-CN"/>
              </w:rPr>
            </w:pPr>
            <w:r>
              <w:rPr>
                <w:rFonts w:hint="eastAsia" w:eastAsia="仿宋_GB2312"/>
                <w:color w:val="auto"/>
                <w:sz w:val="30"/>
                <w:szCs w:val="30"/>
                <w:highlight w:val="none"/>
                <w:lang w:val="en-US" w:eastAsia="zh-CN"/>
              </w:rPr>
              <w:t>56005</w:t>
            </w:r>
          </w:p>
        </w:tc>
        <w:tc>
          <w:tcPr>
            <w:tcW w:w="1417" w:type="dxa"/>
            <w:vAlign w:val="center"/>
          </w:tcPr>
          <w:p>
            <w:pPr>
              <w:spacing w:line="400" w:lineRule="exact"/>
              <w:jc w:val="center"/>
              <w:rPr>
                <w:rFonts w:hint="default" w:eastAsia="仿宋_GB2312"/>
                <w:color w:val="auto"/>
                <w:sz w:val="30"/>
                <w:szCs w:val="30"/>
                <w:highlight w:val="none"/>
                <w:lang w:val="en-US" w:eastAsia="zh-CN"/>
              </w:rPr>
            </w:pPr>
            <w:r>
              <w:rPr>
                <w:rFonts w:eastAsia="仿宋_GB2312"/>
                <w:color w:val="auto"/>
                <w:sz w:val="30"/>
                <w:szCs w:val="30"/>
                <w:highlight w:val="none"/>
              </w:rPr>
              <w:t>1</w:t>
            </w:r>
            <w:r>
              <w:rPr>
                <w:rFonts w:hint="eastAsia" w:eastAsia="仿宋_GB2312"/>
                <w:color w:val="auto"/>
                <w:sz w:val="30"/>
                <w:szCs w:val="30"/>
                <w:highlight w:val="none"/>
                <w:lang w:val="en-US" w:eastAsia="zh-CN"/>
              </w:rPr>
              <w:t>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65" w:type="dxa"/>
            <w:vAlign w:val="center"/>
          </w:tcPr>
          <w:p>
            <w:pPr>
              <w:spacing w:line="400" w:lineRule="exact"/>
              <w:jc w:val="center"/>
              <w:rPr>
                <w:rFonts w:eastAsia="仿宋_GB2312"/>
                <w:color w:val="auto"/>
                <w:sz w:val="30"/>
                <w:szCs w:val="30"/>
                <w:highlight w:val="none"/>
              </w:rPr>
            </w:pPr>
            <w:r>
              <w:rPr>
                <w:rFonts w:eastAsia="仿宋_GB2312"/>
                <w:color w:val="auto"/>
                <w:sz w:val="30"/>
                <w:szCs w:val="30"/>
                <w:highlight w:val="none"/>
              </w:rPr>
              <w:t>20</w:t>
            </w:r>
            <w:r>
              <w:rPr>
                <w:rFonts w:hint="eastAsia" w:eastAsia="仿宋_GB2312"/>
                <w:color w:val="auto"/>
                <w:sz w:val="30"/>
                <w:szCs w:val="30"/>
                <w:highlight w:val="none"/>
                <w:lang w:val="en-US" w:eastAsia="zh-CN"/>
              </w:rPr>
              <w:t>22</w:t>
            </w:r>
            <w:r>
              <w:rPr>
                <w:rFonts w:eastAsia="仿宋_GB2312"/>
                <w:color w:val="auto"/>
                <w:sz w:val="30"/>
                <w:szCs w:val="30"/>
                <w:highlight w:val="none"/>
              </w:rPr>
              <w:t>年</w:t>
            </w:r>
          </w:p>
        </w:tc>
        <w:tc>
          <w:tcPr>
            <w:tcW w:w="1772" w:type="dxa"/>
            <w:vAlign w:val="center"/>
          </w:tcPr>
          <w:p>
            <w:pPr>
              <w:spacing w:line="400" w:lineRule="exact"/>
              <w:jc w:val="center"/>
              <w:rPr>
                <w:rFonts w:hint="default" w:eastAsia="仿宋_GB2312"/>
                <w:color w:val="auto"/>
                <w:sz w:val="30"/>
                <w:szCs w:val="30"/>
                <w:highlight w:val="none"/>
                <w:lang w:val="en-US" w:eastAsia="zh-CN"/>
              </w:rPr>
            </w:pPr>
            <w:r>
              <w:rPr>
                <w:rFonts w:hint="eastAsia" w:eastAsia="仿宋_GB2312"/>
                <w:color w:val="auto"/>
                <w:sz w:val="30"/>
                <w:szCs w:val="30"/>
                <w:highlight w:val="none"/>
                <w:lang w:val="en-US" w:eastAsia="zh-CN"/>
              </w:rPr>
              <w:t>52169</w:t>
            </w:r>
          </w:p>
        </w:tc>
        <w:tc>
          <w:tcPr>
            <w:tcW w:w="1418" w:type="dxa"/>
            <w:vAlign w:val="center"/>
          </w:tcPr>
          <w:p>
            <w:pPr>
              <w:spacing w:line="400" w:lineRule="exact"/>
              <w:jc w:val="center"/>
              <w:rPr>
                <w:rFonts w:hint="default" w:eastAsia="仿宋_GB2312"/>
                <w:color w:val="auto"/>
                <w:sz w:val="30"/>
                <w:szCs w:val="30"/>
                <w:highlight w:val="none"/>
                <w:lang w:val="en-US" w:eastAsia="zh-CN"/>
              </w:rPr>
            </w:pPr>
            <w:r>
              <w:rPr>
                <w:rFonts w:hint="eastAsia" w:eastAsia="仿宋_GB2312"/>
                <w:color w:val="auto"/>
                <w:sz w:val="30"/>
                <w:szCs w:val="30"/>
                <w:highlight w:val="none"/>
                <w:lang w:val="en-US" w:eastAsia="zh-CN"/>
              </w:rPr>
              <w:t>2.89</w:t>
            </w:r>
          </w:p>
        </w:tc>
        <w:tc>
          <w:tcPr>
            <w:tcW w:w="1868" w:type="dxa"/>
            <w:vAlign w:val="center"/>
          </w:tcPr>
          <w:p>
            <w:pPr>
              <w:spacing w:line="400" w:lineRule="exact"/>
              <w:jc w:val="center"/>
              <w:rPr>
                <w:rFonts w:hint="default" w:eastAsia="仿宋_GB2312"/>
                <w:color w:val="auto"/>
                <w:sz w:val="30"/>
                <w:szCs w:val="30"/>
                <w:highlight w:val="none"/>
                <w:lang w:val="en-US" w:eastAsia="zh-CN"/>
              </w:rPr>
            </w:pPr>
            <w:r>
              <w:rPr>
                <w:rFonts w:hint="eastAsia" w:eastAsia="仿宋_GB2312"/>
                <w:color w:val="auto"/>
                <w:sz w:val="30"/>
                <w:szCs w:val="30"/>
                <w:highlight w:val="none"/>
                <w:lang w:val="en-US" w:eastAsia="zh-CN"/>
              </w:rPr>
              <w:t>60035</w:t>
            </w:r>
          </w:p>
        </w:tc>
        <w:tc>
          <w:tcPr>
            <w:tcW w:w="1417" w:type="dxa"/>
            <w:vAlign w:val="center"/>
          </w:tcPr>
          <w:p>
            <w:pPr>
              <w:spacing w:line="400" w:lineRule="exact"/>
              <w:jc w:val="center"/>
              <w:rPr>
                <w:rFonts w:hint="default" w:eastAsia="仿宋_GB2312"/>
                <w:color w:val="auto"/>
                <w:sz w:val="30"/>
                <w:szCs w:val="30"/>
                <w:highlight w:val="none"/>
                <w:lang w:val="en-US" w:eastAsia="zh-CN"/>
              </w:rPr>
            </w:pPr>
            <w:r>
              <w:rPr>
                <w:rFonts w:hint="eastAsia" w:eastAsia="仿宋_GB2312"/>
                <w:color w:val="auto"/>
                <w:sz w:val="30"/>
                <w:szCs w:val="30"/>
                <w:highlight w:val="none"/>
                <w:lang w:val="en-US" w:eastAsia="zh-CN"/>
              </w:rPr>
              <w:t>7.20</w:t>
            </w:r>
          </w:p>
        </w:tc>
      </w:tr>
    </w:tbl>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义务教育阶段财政拨款的增长应高于财政经常性收入的增长（小口径）。</w:t>
      </w:r>
    </w:p>
    <w:tbl>
      <w:tblPr>
        <w:tblStyle w:val="12"/>
        <w:tblW w:w="8218" w:type="dxa"/>
        <w:jc w:val="center"/>
        <w:tblInd w:w="0" w:type="dxa"/>
        <w:tblLayout w:type="fixed"/>
        <w:tblCellMar>
          <w:top w:w="0" w:type="dxa"/>
          <w:left w:w="108" w:type="dxa"/>
          <w:bottom w:w="0" w:type="dxa"/>
          <w:right w:w="108" w:type="dxa"/>
        </w:tblCellMar>
      </w:tblPr>
      <w:tblGrid>
        <w:gridCol w:w="1473"/>
        <w:gridCol w:w="1911"/>
        <w:gridCol w:w="1418"/>
        <w:gridCol w:w="1984"/>
        <w:gridCol w:w="1432"/>
      </w:tblGrid>
      <w:tr>
        <w:tblPrEx>
          <w:tblLayout w:type="fixed"/>
          <w:tblCellMar>
            <w:top w:w="0" w:type="dxa"/>
            <w:left w:w="108" w:type="dxa"/>
            <w:bottom w:w="0" w:type="dxa"/>
            <w:right w:w="108" w:type="dxa"/>
          </w:tblCellMar>
        </w:tblPrEx>
        <w:trPr>
          <w:trHeight w:val="624" w:hRule="atLeast"/>
          <w:jc w:val="center"/>
        </w:trPr>
        <w:tc>
          <w:tcPr>
            <w:tcW w:w="1473" w:type="dxa"/>
            <w:vMerge w:val="restart"/>
            <w:tcBorders>
              <w:top w:val="single" w:color="000000" w:sz="4" w:space="0"/>
              <w:left w:val="single" w:color="000000" w:sz="4" w:space="0"/>
              <w:bottom w:val="single" w:color="000000" w:sz="4" w:space="0"/>
              <w:right w:val="single" w:color="000000" w:sz="4" w:space="0"/>
              <w:tl2br w:val="single" w:color="auto" w:sz="4" w:space="0"/>
            </w:tcBorders>
            <w:vAlign w:val="center"/>
          </w:tcPr>
          <w:p>
            <w:pPr>
              <w:spacing w:line="400" w:lineRule="exact"/>
              <w:ind w:firstLine="600" w:firstLineChars="200"/>
              <w:rPr>
                <w:rFonts w:eastAsia="仿宋_GB2312"/>
                <w:color w:val="auto"/>
                <w:sz w:val="30"/>
                <w:szCs w:val="30"/>
                <w:highlight w:val="none"/>
              </w:rPr>
            </w:pPr>
            <w:r>
              <w:rPr>
                <w:rFonts w:eastAsia="仿宋_GB2312"/>
                <w:color w:val="auto"/>
                <w:sz w:val="30"/>
                <w:szCs w:val="30"/>
                <w:highlight w:val="none"/>
              </w:rPr>
              <w:t>项目</w:t>
            </w:r>
          </w:p>
          <w:p>
            <w:pPr>
              <w:spacing w:line="400" w:lineRule="exact"/>
              <w:rPr>
                <w:rFonts w:eastAsia="仿宋_GB2312"/>
                <w:color w:val="auto"/>
                <w:sz w:val="30"/>
                <w:szCs w:val="30"/>
                <w:highlight w:val="none"/>
              </w:rPr>
            </w:pPr>
            <w:r>
              <w:rPr>
                <w:rFonts w:eastAsia="仿宋_GB2312"/>
                <w:color w:val="auto"/>
                <w:sz w:val="30"/>
                <w:szCs w:val="30"/>
                <w:highlight w:val="none"/>
              </w:rPr>
              <w:t>年度</w:t>
            </w:r>
          </w:p>
        </w:tc>
        <w:tc>
          <w:tcPr>
            <w:tcW w:w="1911" w:type="dxa"/>
            <w:vMerge w:val="restart"/>
            <w:tcBorders>
              <w:top w:val="single" w:color="000000" w:sz="4" w:space="0"/>
              <w:left w:val="nil"/>
              <w:bottom w:val="single" w:color="000000" w:sz="4" w:space="0"/>
              <w:right w:val="single" w:color="000000" w:sz="4" w:space="0"/>
            </w:tcBorders>
            <w:vAlign w:val="center"/>
          </w:tcPr>
          <w:p>
            <w:pPr>
              <w:spacing w:line="400" w:lineRule="exact"/>
              <w:rPr>
                <w:rFonts w:eastAsia="仿宋_GB2312"/>
                <w:color w:val="auto"/>
                <w:sz w:val="30"/>
                <w:szCs w:val="30"/>
                <w:highlight w:val="none"/>
              </w:rPr>
            </w:pPr>
            <w:r>
              <w:rPr>
                <w:rFonts w:eastAsia="仿宋_GB2312"/>
                <w:color w:val="auto"/>
                <w:sz w:val="30"/>
                <w:szCs w:val="30"/>
                <w:highlight w:val="none"/>
              </w:rPr>
              <w:t>财政经常性收入（万元）</w:t>
            </w:r>
          </w:p>
        </w:tc>
        <w:tc>
          <w:tcPr>
            <w:tcW w:w="1418" w:type="dxa"/>
            <w:vMerge w:val="restart"/>
            <w:tcBorders>
              <w:top w:val="single" w:color="000000" w:sz="4" w:space="0"/>
              <w:left w:val="nil"/>
              <w:bottom w:val="single" w:color="000000" w:sz="4" w:space="0"/>
              <w:right w:val="single" w:color="000000" w:sz="4" w:space="0"/>
            </w:tcBorders>
            <w:vAlign w:val="center"/>
          </w:tcPr>
          <w:p>
            <w:pPr>
              <w:spacing w:line="400" w:lineRule="exact"/>
              <w:rPr>
                <w:rFonts w:eastAsia="仿宋_GB2312"/>
                <w:color w:val="auto"/>
                <w:sz w:val="30"/>
                <w:szCs w:val="30"/>
                <w:highlight w:val="none"/>
              </w:rPr>
            </w:pPr>
            <w:r>
              <w:rPr>
                <w:rFonts w:eastAsia="仿宋_GB2312"/>
                <w:color w:val="auto"/>
                <w:sz w:val="30"/>
                <w:szCs w:val="30"/>
                <w:highlight w:val="none"/>
              </w:rPr>
              <w:t>增长率%</w:t>
            </w:r>
          </w:p>
        </w:tc>
        <w:tc>
          <w:tcPr>
            <w:tcW w:w="1984" w:type="dxa"/>
            <w:vMerge w:val="restart"/>
            <w:tcBorders>
              <w:top w:val="single" w:color="000000" w:sz="4" w:space="0"/>
              <w:left w:val="nil"/>
              <w:bottom w:val="single" w:color="000000" w:sz="4" w:space="0"/>
              <w:right w:val="single" w:color="000000" w:sz="4" w:space="0"/>
            </w:tcBorders>
            <w:vAlign w:val="center"/>
          </w:tcPr>
          <w:p>
            <w:pPr>
              <w:spacing w:line="400" w:lineRule="exact"/>
              <w:rPr>
                <w:rFonts w:eastAsia="仿宋_GB2312"/>
                <w:color w:val="auto"/>
                <w:sz w:val="30"/>
                <w:szCs w:val="30"/>
                <w:highlight w:val="none"/>
              </w:rPr>
            </w:pPr>
            <w:r>
              <w:rPr>
                <w:rFonts w:eastAsia="仿宋_GB2312"/>
                <w:color w:val="auto"/>
                <w:sz w:val="30"/>
                <w:szCs w:val="30"/>
                <w:highlight w:val="none"/>
              </w:rPr>
              <w:t>教育财政拨款（万元）</w:t>
            </w:r>
          </w:p>
        </w:tc>
        <w:tc>
          <w:tcPr>
            <w:tcW w:w="1432" w:type="dxa"/>
            <w:vMerge w:val="restart"/>
            <w:tcBorders>
              <w:top w:val="single" w:color="000000" w:sz="4" w:space="0"/>
              <w:left w:val="nil"/>
              <w:bottom w:val="single" w:color="000000" w:sz="4" w:space="0"/>
              <w:right w:val="single" w:color="000000" w:sz="4" w:space="0"/>
            </w:tcBorders>
            <w:vAlign w:val="center"/>
          </w:tcPr>
          <w:p>
            <w:pPr>
              <w:spacing w:line="400" w:lineRule="exact"/>
              <w:rPr>
                <w:rFonts w:eastAsia="仿宋_GB2312"/>
                <w:color w:val="auto"/>
                <w:sz w:val="30"/>
                <w:szCs w:val="30"/>
                <w:highlight w:val="none"/>
              </w:rPr>
            </w:pPr>
            <w:r>
              <w:rPr>
                <w:rFonts w:eastAsia="仿宋_GB2312"/>
                <w:color w:val="auto"/>
                <w:sz w:val="30"/>
                <w:szCs w:val="30"/>
                <w:highlight w:val="none"/>
              </w:rPr>
              <w:t>增长率%</w:t>
            </w:r>
          </w:p>
        </w:tc>
      </w:tr>
      <w:tr>
        <w:tblPrEx>
          <w:tblLayout w:type="fixed"/>
          <w:tblCellMar>
            <w:top w:w="0" w:type="dxa"/>
            <w:left w:w="108" w:type="dxa"/>
            <w:bottom w:w="0" w:type="dxa"/>
            <w:right w:w="108" w:type="dxa"/>
          </w:tblCellMar>
        </w:tblPrEx>
        <w:trPr>
          <w:trHeight w:val="400" w:hRule="atLeast"/>
          <w:jc w:val="center"/>
        </w:trPr>
        <w:tc>
          <w:tcPr>
            <w:tcW w:w="1473"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rPr>
                <w:rFonts w:eastAsia="仿宋_GB2312"/>
                <w:color w:val="auto"/>
                <w:sz w:val="30"/>
                <w:szCs w:val="30"/>
                <w:highlight w:val="none"/>
              </w:rPr>
            </w:pPr>
          </w:p>
        </w:tc>
        <w:tc>
          <w:tcPr>
            <w:tcW w:w="1911" w:type="dxa"/>
            <w:vMerge w:val="continue"/>
            <w:tcBorders>
              <w:top w:val="single" w:color="000000" w:sz="4" w:space="0"/>
              <w:left w:val="nil"/>
              <w:bottom w:val="single" w:color="000000" w:sz="4" w:space="0"/>
              <w:right w:val="single" w:color="000000" w:sz="4" w:space="0"/>
            </w:tcBorders>
            <w:vAlign w:val="center"/>
          </w:tcPr>
          <w:p>
            <w:pPr>
              <w:spacing w:line="400" w:lineRule="exact"/>
              <w:rPr>
                <w:rFonts w:eastAsia="仿宋_GB2312"/>
                <w:color w:val="auto"/>
                <w:sz w:val="30"/>
                <w:szCs w:val="30"/>
                <w:highlight w:val="none"/>
              </w:rPr>
            </w:pPr>
          </w:p>
        </w:tc>
        <w:tc>
          <w:tcPr>
            <w:tcW w:w="1418" w:type="dxa"/>
            <w:vMerge w:val="continue"/>
            <w:tcBorders>
              <w:top w:val="single" w:color="000000" w:sz="4" w:space="0"/>
              <w:left w:val="nil"/>
              <w:bottom w:val="single" w:color="000000" w:sz="4" w:space="0"/>
              <w:right w:val="single" w:color="000000" w:sz="4" w:space="0"/>
            </w:tcBorders>
            <w:vAlign w:val="center"/>
          </w:tcPr>
          <w:p>
            <w:pPr>
              <w:spacing w:line="400" w:lineRule="exact"/>
              <w:rPr>
                <w:rFonts w:eastAsia="仿宋_GB2312"/>
                <w:color w:val="auto"/>
                <w:sz w:val="30"/>
                <w:szCs w:val="30"/>
                <w:highlight w:val="none"/>
              </w:rPr>
            </w:pPr>
          </w:p>
        </w:tc>
        <w:tc>
          <w:tcPr>
            <w:tcW w:w="1984" w:type="dxa"/>
            <w:vMerge w:val="continue"/>
            <w:tcBorders>
              <w:top w:val="single" w:color="000000" w:sz="4" w:space="0"/>
              <w:left w:val="nil"/>
              <w:bottom w:val="single" w:color="000000" w:sz="4" w:space="0"/>
              <w:right w:val="single" w:color="000000" w:sz="4" w:space="0"/>
            </w:tcBorders>
            <w:vAlign w:val="center"/>
          </w:tcPr>
          <w:p>
            <w:pPr>
              <w:spacing w:line="400" w:lineRule="exact"/>
              <w:rPr>
                <w:rFonts w:eastAsia="仿宋_GB2312"/>
                <w:color w:val="auto"/>
                <w:sz w:val="30"/>
                <w:szCs w:val="30"/>
                <w:highlight w:val="none"/>
              </w:rPr>
            </w:pPr>
          </w:p>
        </w:tc>
        <w:tc>
          <w:tcPr>
            <w:tcW w:w="1432" w:type="dxa"/>
            <w:vMerge w:val="continue"/>
            <w:tcBorders>
              <w:top w:val="single" w:color="000000" w:sz="4" w:space="0"/>
              <w:left w:val="nil"/>
              <w:bottom w:val="single" w:color="000000" w:sz="4" w:space="0"/>
              <w:right w:val="single" w:color="000000" w:sz="4" w:space="0"/>
            </w:tcBorders>
            <w:vAlign w:val="center"/>
          </w:tcPr>
          <w:p>
            <w:pPr>
              <w:spacing w:line="400" w:lineRule="exact"/>
              <w:rPr>
                <w:rFonts w:eastAsia="仿宋_GB2312"/>
                <w:color w:val="auto"/>
                <w:sz w:val="30"/>
                <w:szCs w:val="30"/>
                <w:highlight w:val="none"/>
              </w:rPr>
            </w:pPr>
          </w:p>
        </w:tc>
      </w:tr>
      <w:tr>
        <w:tblPrEx>
          <w:tblLayout w:type="fixed"/>
          <w:tblCellMar>
            <w:top w:w="0" w:type="dxa"/>
            <w:left w:w="108" w:type="dxa"/>
            <w:bottom w:w="0" w:type="dxa"/>
            <w:right w:w="108" w:type="dxa"/>
          </w:tblCellMar>
        </w:tblPrEx>
        <w:trPr>
          <w:trHeight w:val="454" w:hRule="atLeast"/>
          <w:jc w:val="center"/>
        </w:trPr>
        <w:tc>
          <w:tcPr>
            <w:tcW w:w="147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仿宋_GB2312"/>
                <w:color w:val="auto"/>
                <w:sz w:val="30"/>
                <w:szCs w:val="30"/>
                <w:highlight w:val="none"/>
              </w:rPr>
            </w:pPr>
            <w:r>
              <w:rPr>
                <w:rFonts w:eastAsia="仿宋_GB2312"/>
                <w:color w:val="auto"/>
                <w:sz w:val="30"/>
                <w:szCs w:val="30"/>
                <w:highlight w:val="none"/>
              </w:rPr>
              <w:t>20</w:t>
            </w:r>
            <w:r>
              <w:rPr>
                <w:rFonts w:hint="eastAsia" w:eastAsia="仿宋_GB2312"/>
                <w:color w:val="auto"/>
                <w:sz w:val="30"/>
                <w:szCs w:val="30"/>
                <w:highlight w:val="none"/>
                <w:lang w:val="en-US" w:eastAsia="zh-CN"/>
              </w:rPr>
              <w:t>19</w:t>
            </w:r>
            <w:r>
              <w:rPr>
                <w:rFonts w:eastAsia="仿宋_GB2312"/>
                <w:color w:val="auto"/>
                <w:sz w:val="30"/>
                <w:szCs w:val="30"/>
                <w:highlight w:val="none"/>
              </w:rPr>
              <w:t>年</w:t>
            </w:r>
          </w:p>
        </w:tc>
        <w:tc>
          <w:tcPr>
            <w:tcW w:w="1911" w:type="dxa"/>
            <w:tcBorders>
              <w:top w:val="single" w:color="000000" w:sz="4" w:space="0"/>
              <w:left w:val="nil"/>
              <w:bottom w:val="single" w:color="000000" w:sz="4" w:space="0"/>
              <w:right w:val="single" w:color="000000" w:sz="4" w:space="0"/>
            </w:tcBorders>
            <w:vAlign w:val="center"/>
          </w:tcPr>
          <w:p>
            <w:pPr>
              <w:spacing w:line="400" w:lineRule="exact"/>
              <w:jc w:val="center"/>
              <w:rPr>
                <w:rFonts w:eastAsia="仿宋_GB2312"/>
                <w:color w:val="auto"/>
                <w:sz w:val="30"/>
                <w:szCs w:val="30"/>
                <w:highlight w:val="none"/>
              </w:rPr>
            </w:pPr>
            <w:r>
              <w:rPr>
                <w:rFonts w:hint="eastAsia" w:eastAsia="仿宋_GB2312"/>
                <w:color w:val="auto"/>
                <w:sz w:val="30"/>
                <w:szCs w:val="30"/>
                <w:highlight w:val="none"/>
                <w:lang w:val="en-US" w:eastAsia="zh-CN"/>
              </w:rPr>
              <w:t>45569</w:t>
            </w:r>
          </w:p>
        </w:tc>
        <w:tc>
          <w:tcPr>
            <w:tcW w:w="1418" w:type="dxa"/>
            <w:tcBorders>
              <w:top w:val="single" w:color="000000" w:sz="4" w:space="0"/>
              <w:left w:val="nil"/>
              <w:bottom w:val="single" w:color="000000" w:sz="4" w:space="0"/>
              <w:right w:val="single" w:color="000000" w:sz="4" w:space="0"/>
            </w:tcBorders>
            <w:vAlign w:val="center"/>
          </w:tcPr>
          <w:p>
            <w:pPr>
              <w:spacing w:line="400" w:lineRule="exact"/>
              <w:jc w:val="center"/>
              <w:rPr>
                <w:rFonts w:eastAsia="仿宋_GB2312"/>
                <w:color w:val="auto"/>
                <w:sz w:val="30"/>
                <w:szCs w:val="30"/>
                <w:highlight w:val="none"/>
              </w:rPr>
            </w:pPr>
            <w:r>
              <w:rPr>
                <w:rFonts w:hint="eastAsia" w:eastAsia="仿宋_GB2312"/>
                <w:color w:val="auto"/>
                <w:sz w:val="30"/>
                <w:szCs w:val="30"/>
                <w:highlight w:val="none"/>
              </w:rPr>
              <w:t>-</w:t>
            </w:r>
          </w:p>
        </w:tc>
        <w:tc>
          <w:tcPr>
            <w:tcW w:w="1984" w:type="dxa"/>
            <w:tcBorders>
              <w:top w:val="single" w:color="000000" w:sz="4" w:space="0"/>
              <w:left w:val="nil"/>
              <w:bottom w:val="single" w:color="000000" w:sz="4" w:space="0"/>
              <w:right w:val="single" w:color="000000" w:sz="4" w:space="0"/>
            </w:tcBorders>
            <w:vAlign w:val="center"/>
          </w:tcPr>
          <w:p>
            <w:pPr>
              <w:spacing w:line="400" w:lineRule="exact"/>
              <w:jc w:val="center"/>
              <w:rPr>
                <w:rFonts w:hint="default" w:eastAsia="仿宋_GB2312"/>
                <w:color w:val="auto"/>
                <w:sz w:val="30"/>
                <w:szCs w:val="30"/>
                <w:highlight w:val="none"/>
                <w:lang w:val="en-US" w:eastAsia="zh-CN"/>
              </w:rPr>
            </w:pPr>
            <w:r>
              <w:rPr>
                <w:rFonts w:hint="eastAsia" w:eastAsia="仿宋_GB2312"/>
                <w:color w:val="auto"/>
                <w:sz w:val="30"/>
                <w:szCs w:val="30"/>
                <w:highlight w:val="none"/>
                <w:lang w:val="en-US" w:eastAsia="zh-CN"/>
              </w:rPr>
              <w:t>34733</w:t>
            </w:r>
          </w:p>
        </w:tc>
        <w:tc>
          <w:tcPr>
            <w:tcW w:w="1432" w:type="dxa"/>
            <w:tcBorders>
              <w:top w:val="single" w:color="000000" w:sz="4" w:space="0"/>
              <w:left w:val="nil"/>
              <w:bottom w:val="single" w:color="000000" w:sz="4" w:space="0"/>
              <w:right w:val="single" w:color="000000" w:sz="4" w:space="0"/>
            </w:tcBorders>
            <w:vAlign w:val="center"/>
          </w:tcPr>
          <w:p>
            <w:pPr>
              <w:spacing w:line="400" w:lineRule="exact"/>
              <w:jc w:val="center"/>
              <w:rPr>
                <w:rFonts w:eastAsia="仿宋_GB2312"/>
                <w:color w:val="auto"/>
                <w:sz w:val="30"/>
                <w:szCs w:val="30"/>
                <w:highlight w:val="none"/>
              </w:rPr>
            </w:pPr>
            <w:r>
              <w:rPr>
                <w:rFonts w:hint="eastAsia" w:eastAsia="仿宋_GB2312"/>
                <w:color w:val="auto"/>
                <w:sz w:val="30"/>
                <w:szCs w:val="3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73" w:type="dxa"/>
            <w:vAlign w:val="center"/>
          </w:tcPr>
          <w:p>
            <w:pPr>
              <w:spacing w:line="400" w:lineRule="exact"/>
              <w:jc w:val="center"/>
              <w:rPr>
                <w:rFonts w:eastAsia="仿宋_GB2312"/>
                <w:color w:val="auto"/>
                <w:sz w:val="30"/>
                <w:szCs w:val="30"/>
                <w:highlight w:val="none"/>
              </w:rPr>
            </w:pPr>
            <w:r>
              <w:rPr>
                <w:rFonts w:eastAsia="仿宋_GB2312"/>
                <w:color w:val="auto"/>
                <w:sz w:val="30"/>
                <w:szCs w:val="30"/>
                <w:highlight w:val="none"/>
              </w:rPr>
              <w:t>20</w:t>
            </w:r>
            <w:r>
              <w:rPr>
                <w:rFonts w:hint="eastAsia" w:eastAsia="仿宋_GB2312"/>
                <w:color w:val="auto"/>
                <w:sz w:val="30"/>
                <w:szCs w:val="30"/>
                <w:highlight w:val="none"/>
                <w:lang w:val="en-US" w:eastAsia="zh-CN"/>
              </w:rPr>
              <w:t>20</w:t>
            </w:r>
            <w:r>
              <w:rPr>
                <w:rFonts w:eastAsia="仿宋_GB2312"/>
                <w:color w:val="auto"/>
                <w:sz w:val="30"/>
                <w:szCs w:val="30"/>
                <w:highlight w:val="none"/>
              </w:rPr>
              <w:t>年</w:t>
            </w:r>
          </w:p>
        </w:tc>
        <w:tc>
          <w:tcPr>
            <w:tcW w:w="1911" w:type="dxa"/>
            <w:vAlign w:val="center"/>
          </w:tcPr>
          <w:p>
            <w:pPr>
              <w:spacing w:line="400" w:lineRule="exact"/>
              <w:jc w:val="center"/>
              <w:rPr>
                <w:rFonts w:eastAsia="仿宋_GB2312"/>
                <w:color w:val="auto"/>
                <w:sz w:val="30"/>
                <w:szCs w:val="30"/>
                <w:highlight w:val="none"/>
              </w:rPr>
            </w:pPr>
            <w:r>
              <w:rPr>
                <w:rFonts w:hint="eastAsia" w:eastAsia="仿宋_GB2312"/>
                <w:color w:val="auto"/>
                <w:sz w:val="30"/>
                <w:szCs w:val="30"/>
                <w:highlight w:val="none"/>
                <w:lang w:val="en-US" w:eastAsia="zh-CN"/>
              </w:rPr>
              <w:t>51916</w:t>
            </w:r>
          </w:p>
        </w:tc>
        <w:tc>
          <w:tcPr>
            <w:tcW w:w="1418" w:type="dxa"/>
            <w:vAlign w:val="center"/>
          </w:tcPr>
          <w:p>
            <w:pPr>
              <w:spacing w:line="400" w:lineRule="exact"/>
              <w:jc w:val="center"/>
              <w:rPr>
                <w:rFonts w:hint="default" w:eastAsia="仿宋_GB2312"/>
                <w:color w:val="auto"/>
                <w:sz w:val="30"/>
                <w:szCs w:val="30"/>
                <w:highlight w:val="none"/>
                <w:lang w:val="en-US" w:eastAsia="zh-CN"/>
              </w:rPr>
            </w:pPr>
            <w:r>
              <w:rPr>
                <w:rFonts w:hint="eastAsia" w:eastAsia="仿宋_GB2312"/>
                <w:color w:val="auto"/>
                <w:sz w:val="30"/>
                <w:szCs w:val="30"/>
                <w:highlight w:val="none"/>
                <w:lang w:val="en-US" w:eastAsia="zh-CN"/>
              </w:rPr>
              <w:t>13.93</w:t>
            </w:r>
          </w:p>
        </w:tc>
        <w:tc>
          <w:tcPr>
            <w:tcW w:w="1984" w:type="dxa"/>
            <w:vAlign w:val="center"/>
          </w:tcPr>
          <w:p>
            <w:pPr>
              <w:spacing w:line="400" w:lineRule="exact"/>
              <w:jc w:val="center"/>
              <w:rPr>
                <w:rFonts w:hint="default" w:eastAsia="仿宋_GB2312"/>
                <w:color w:val="auto"/>
                <w:sz w:val="30"/>
                <w:szCs w:val="30"/>
                <w:highlight w:val="none"/>
                <w:lang w:val="en-US" w:eastAsia="zh-CN"/>
              </w:rPr>
            </w:pPr>
            <w:r>
              <w:rPr>
                <w:rFonts w:hint="eastAsia" w:eastAsia="仿宋_GB2312"/>
                <w:color w:val="auto"/>
                <w:sz w:val="30"/>
                <w:szCs w:val="30"/>
                <w:highlight w:val="none"/>
                <w:lang w:val="en-US" w:eastAsia="zh-CN"/>
              </w:rPr>
              <w:t>40493</w:t>
            </w:r>
          </w:p>
        </w:tc>
        <w:tc>
          <w:tcPr>
            <w:tcW w:w="1432" w:type="dxa"/>
            <w:vAlign w:val="center"/>
          </w:tcPr>
          <w:p>
            <w:pPr>
              <w:spacing w:line="400" w:lineRule="exact"/>
              <w:jc w:val="center"/>
              <w:rPr>
                <w:rFonts w:hint="default" w:eastAsia="仿宋_GB2312"/>
                <w:color w:val="auto"/>
                <w:sz w:val="30"/>
                <w:szCs w:val="30"/>
                <w:highlight w:val="none"/>
                <w:lang w:val="en-US" w:eastAsia="zh-CN"/>
              </w:rPr>
            </w:pPr>
            <w:r>
              <w:rPr>
                <w:rFonts w:hint="eastAsia" w:eastAsia="仿宋_GB2312"/>
                <w:color w:val="auto"/>
                <w:sz w:val="30"/>
                <w:szCs w:val="30"/>
                <w:highlight w:val="none"/>
                <w:lang w:val="en-US" w:eastAsia="zh-CN"/>
              </w:rPr>
              <w:t>16.58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73" w:type="dxa"/>
            <w:vAlign w:val="center"/>
          </w:tcPr>
          <w:p>
            <w:pPr>
              <w:spacing w:line="400" w:lineRule="exact"/>
              <w:jc w:val="center"/>
              <w:rPr>
                <w:rFonts w:eastAsia="仿宋_GB2312"/>
                <w:color w:val="auto"/>
                <w:sz w:val="30"/>
                <w:szCs w:val="30"/>
                <w:highlight w:val="none"/>
              </w:rPr>
            </w:pPr>
            <w:r>
              <w:rPr>
                <w:rFonts w:eastAsia="仿宋_GB2312"/>
                <w:color w:val="auto"/>
                <w:sz w:val="30"/>
                <w:szCs w:val="30"/>
                <w:highlight w:val="none"/>
              </w:rPr>
              <w:t>20</w:t>
            </w:r>
            <w:r>
              <w:rPr>
                <w:rFonts w:hint="eastAsia" w:eastAsia="仿宋_GB2312"/>
                <w:color w:val="auto"/>
                <w:sz w:val="30"/>
                <w:szCs w:val="30"/>
                <w:highlight w:val="none"/>
                <w:lang w:val="en-US" w:eastAsia="zh-CN"/>
              </w:rPr>
              <w:t>21</w:t>
            </w:r>
            <w:r>
              <w:rPr>
                <w:rFonts w:eastAsia="仿宋_GB2312"/>
                <w:color w:val="auto"/>
                <w:sz w:val="30"/>
                <w:szCs w:val="30"/>
                <w:highlight w:val="none"/>
              </w:rPr>
              <w:t>年</w:t>
            </w:r>
          </w:p>
        </w:tc>
        <w:tc>
          <w:tcPr>
            <w:tcW w:w="1911" w:type="dxa"/>
            <w:vAlign w:val="center"/>
          </w:tcPr>
          <w:p>
            <w:pPr>
              <w:spacing w:line="400" w:lineRule="exact"/>
              <w:jc w:val="center"/>
              <w:rPr>
                <w:rFonts w:hint="default" w:eastAsia="仿宋_GB2312"/>
                <w:color w:val="auto"/>
                <w:sz w:val="30"/>
                <w:szCs w:val="30"/>
                <w:highlight w:val="none"/>
                <w:lang w:val="en-US" w:eastAsia="zh-CN"/>
              </w:rPr>
            </w:pPr>
            <w:r>
              <w:rPr>
                <w:rFonts w:hint="eastAsia" w:eastAsia="仿宋_GB2312"/>
                <w:color w:val="auto"/>
                <w:sz w:val="30"/>
                <w:szCs w:val="30"/>
                <w:highlight w:val="none"/>
                <w:lang w:val="en-US" w:eastAsia="zh-CN"/>
              </w:rPr>
              <w:t>50706</w:t>
            </w:r>
          </w:p>
        </w:tc>
        <w:tc>
          <w:tcPr>
            <w:tcW w:w="1418" w:type="dxa"/>
            <w:vAlign w:val="center"/>
          </w:tcPr>
          <w:p>
            <w:pPr>
              <w:spacing w:line="400" w:lineRule="exact"/>
              <w:jc w:val="center"/>
              <w:rPr>
                <w:rFonts w:hint="default" w:eastAsia="仿宋_GB2312"/>
                <w:color w:val="auto"/>
                <w:sz w:val="30"/>
                <w:szCs w:val="30"/>
                <w:highlight w:val="none"/>
                <w:lang w:val="en-US" w:eastAsia="zh-CN"/>
              </w:rPr>
            </w:pPr>
            <w:r>
              <w:rPr>
                <w:rFonts w:eastAsia="仿宋_GB2312"/>
                <w:color w:val="auto"/>
                <w:sz w:val="30"/>
                <w:szCs w:val="30"/>
                <w:highlight w:val="none"/>
              </w:rPr>
              <w:t>-</w:t>
            </w:r>
            <w:r>
              <w:rPr>
                <w:rFonts w:hint="eastAsia" w:eastAsia="仿宋_GB2312"/>
                <w:color w:val="auto"/>
                <w:sz w:val="30"/>
                <w:szCs w:val="30"/>
                <w:highlight w:val="none"/>
                <w:lang w:val="en-US" w:eastAsia="zh-CN"/>
              </w:rPr>
              <w:t>2.33</w:t>
            </w:r>
          </w:p>
        </w:tc>
        <w:tc>
          <w:tcPr>
            <w:tcW w:w="1984" w:type="dxa"/>
            <w:vAlign w:val="center"/>
          </w:tcPr>
          <w:p>
            <w:pPr>
              <w:spacing w:line="400" w:lineRule="exact"/>
              <w:jc w:val="center"/>
              <w:rPr>
                <w:rFonts w:hint="default" w:eastAsia="仿宋_GB2312"/>
                <w:color w:val="auto"/>
                <w:sz w:val="30"/>
                <w:szCs w:val="30"/>
                <w:highlight w:val="none"/>
                <w:lang w:val="en-US" w:eastAsia="zh-CN"/>
              </w:rPr>
            </w:pPr>
            <w:r>
              <w:rPr>
                <w:rFonts w:hint="eastAsia" w:eastAsia="仿宋_GB2312"/>
                <w:color w:val="auto"/>
                <w:sz w:val="30"/>
                <w:szCs w:val="30"/>
                <w:highlight w:val="none"/>
                <w:lang w:val="en-US" w:eastAsia="zh-CN"/>
              </w:rPr>
              <w:t>41088</w:t>
            </w:r>
          </w:p>
        </w:tc>
        <w:tc>
          <w:tcPr>
            <w:tcW w:w="1432" w:type="dxa"/>
            <w:vAlign w:val="center"/>
          </w:tcPr>
          <w:p>
            <w:pPr>
              <w:spacing w:line="400" w:lineRule="exact"/>
              <w:jc w:val="center"/>
              <w:rPr>
                <w:rFonts w:hint="default" w:eastAsia="仿宋_GB2312"/>
                <w:color w:val="auto"/>
                <w:sz w:val="30"/>
                <w:szCs w:val="30"/>
                <w:highlight w:val="none"/>
                <w:lang w:val="en-US" w:eastAsia="zh-CN"/>
              </w:rPr>
            </w:pPr>
            <w:r>
              <w:rPr>
                <w:rFonts w:hint="eastAsia" w:eastAsia="仿宋_GB2312"/>
                <w:color w:val="auto"/>
                <w:sz w:val="30"/>
                <w:szCs w:val="30"/>
                <w:highlight w:val="none"/>
                <w:lang w:val="en-US" w:eastAsia="zh-CN"/>
              </w:rPr>
              <w:t>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73" w:type="dxa"/>
            <w:vAlign w:val="center"/>
          </w:tcPr>
          <w:p>
            <w:pPr>
              <w:spacing w:line="400" w:lineRule="exact"/>
              <w:jc w:val="center"/>
              <w:rPr>
                <w:rFonts w:eastAsia="仿宋_GB2312"/>
                <w:color w:val="auto"/>
                <w:sz w:val="30"/>
                <w:szCs w:val="30"/>
                <w:highlight w:val="none"/>
              </w:rPr>
            </w:pPr>
            <w:r>
              <w:rPr>
                <w:rFonts w:eastAsia="仿宋_GB2312"/>
                <w:color w:val="auto"/>
                <w:sz w:val="30"/>
                <w:szCs w:val="30"/>
                <w:highlight w:val="none"/>
              </w:rPr>
              <w:t>20</w:t>
            </w:r>
            <w:r>
              <w:rPr>
                <w:rFonts w:hint="eastAsia" w:eastAsia="仿宋_GB2312"/>
                <w:color w:val="auto"/>
                <w:sz w:val="30"/>
                <w:szCs w:val="30"/>
                <w:highlight w:val="none"/>
                <w:lang w:val="en-US" w:eastAsia="zh-CN"/>
              </w:rPr>
              <w:t>22</w:t>
            </w:r>
            <w:r>
              <w:rPr>
                <w:rFonts w:eastAsia="仿宋_GB2312"/>
                <w:color w:val="auto"/>
                <w:sz w:val="30"/>
                <w:szCs w:val="30"/>
                <w:highlight w:val="none"/>
              </w:rPr>
              <w:t>年</w:t>
            </w:r>
          </w:p>
        </w:tc>
        <w:tc>
          <w:tcPr>
            <w:tcW w:w="1911" w:type="dxa"/>
            <w:vAlign w:val="center"/>
          </w:tcPr>
          <w:p>
            <w:pPr>
              <w:spacing w:line="400" w:lineRule="exact"/>
              <w:jc w:val="center"/>
              <w:rPr>
                <w:rFonts w:hint="default" w:eastAsia="仿宋_GB2312"/>
                <w:color w:val="auto"/>
                <w:sz w:val="30"/>
                <w:szCs w:val="30"/>
                <w:highlight w:val="none"/>
                <w:lang w:val="en-US" w:eastAsia="zh-CN"/>
              </w:rPr>
            </w:pPr>
            <w:r>
              <w:rPr>
                <w:rFonts w:hint="eastAsia" w:eastAsia="仿宋_GB2312"/>
                <w:color w:val="auto"/>
                <w:sz w:val="30"/>
                <w:szCs w:val="30"/>
                <w:highlight w:val="none"/>
                <w:lang w:val="en-US" w:eastAsia="zh-CN"/>
              </w:rPr>
              <w:t>52169</w:t>
            </w:r>
          </w:p>
        </w:tc>
        <w:tc>
          <w:tcPr>
            <w:tcW w:w="1418" w:type="dxa"/>
            <w:vAlign w:val="center"/>
          </w:tcPr>
          <w:p>
            <w:pPr>
              <w:spacing w:line="400" w:lineRule="exact"/>
              <w:jc w:val="center"/>
              <w:rPr>
                <w:rFonts w:hint="default" w:eastAsia="仿宋_GB2312"/>
                <w:color w:val="auto"/>
                <w:sz w:val="30"/>
                <w:szCs w:val="30"/>
                <w:highlight w:val="none"/>
                <w:lang w:val="en-US" w:eastAsia="zh-CN"/>
              </w:rPr>
            </w:pPr>
            <w:r>
              <w:rPr>
                <w:rFonts w:hint="eastAsia" w:eastAsia="仿宋_GB2312"/>
                <w:color w:val="auto"/>
                <w:sz w:val="30"/>
                <w:szCs w:val="30"/>
                <w:highlight w:val="none"/>
                <w:lang w:val="en-US" w:eastAsia="zh-CN"/>
              </w:rPr>
              <w:t>2.89</w:t>
            </w:r>
          </w:p>
        </w:tc>
        <w:tc>
          <w:tcPr>
            <w:tcW w:w="1984" w:type="dxa"/>
            <w:vAlign w:val="center"/>
          </w:tcPr>
          <w:p>
            <w:pPr>
              <w:spacing w:line="400" w:lineRule="exact"/>
              <w:jc w:val="center"/>
              <w:rPr>
                <w:rFonts w:hint="default" w:eastAsia="仿宋_GB2312"/>
                <w:color w:val="auto"/>
                <w:sz w:val="30"/>
                <w:szCs w:val="30"/>
                <w:highlight w:val="none"/>
                <w:lang w:val="en-US" w:eastAsia="zh-CN"/>
              </w:rPr>
            </w:pPr>
            <w:r>
              <w:rPr>
                <w:rFonts w:hint="eastAsia" w:eastAsia="仿宋_GB2312"/>
                <w:color w:val="auto"/>
                <w:sz w:val="30"/>
                <w:szCs w:val="30"/>
                <w:highlight w:val="none"/>
                <w:lang w:val="en-US" w:eastAsia="zh-CN"/>
              </w:rPr>
              <w:t>45582</w:t>
            </w:r>
          </w:p>
        </w:tc>
        <w:tc>
          <w:tcPr>
            <w:tcW w:w="1432" w:type="dxa"/>
            <w:vAlign w:val="center"/>
          </w:tcPr>
          <w:p>
            <w:pPr>
              <w:spacing w:line="400" w:lineRule="exact"/>
              <w:jc w:val="center"/>
              <w:rPr>
                <w:rFonts w:hint="default" w:eastAsia="仿宋_GB2312"/>
                <w:color w:val="auto"/>
                <w:sz w:val="30"/>
                <w:szCs w:val="30"/>
                <w:highlight w:val="none"/>
                <w:lang w:val="en-US" w:eastAsia="zh-CN"/>
              </w:rPr>
            </w:pPr>
            <w:r>
              <w:rPr>
                <w:rFonts w:hint="eastAsia" w:eastAsia="仿宋_GB2312"/>
                <w:color w:val="auto"/>
                <w:sz w:val="30"/>
                <w:szCs w:val="30"/>
                <w:highlight w:val="none"/>
                <w:lang w:val="en-US" w:eastAsia="zh-CN"/>
              </w:rPr>
              <w:t>10.94</w:t>
            </w:r>
          </w:p>
        </w:tc>
      </w:tr>
    </w:tbl>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第二个增长（10分）：生均教育事业费逐年增长</w:t>
      </w:r>
    </w:p>
    <w:p>
      <w:pPr>
        <w:spacing w:line="560" w:lineRule="exact"/>
        <w:ind w:firstLine="640" w:firstLineChars="200"/>
        <w:jc w:val="center"/>
        <w:rPr>
          <w:rFonts w:eastAsia="仿宋_GB2312"/>
          <w:color w:val="auto"/>
          <w:sz w:val="32"/>
          <w:szCs w:val="32"/>
          <w:highlight w:val="none"/>
        </w:rPr>
      </w:pPr>
      <w:r>
        <w:rPr>
          <w:rFonts w:eastAsia="仿宋_GB2312"/>
          <w:color w:val="auto"/>
          <w:sz w:val="32"/>
          <w:szCs w:val="32"/>
          <w:highlight w:val="none"/>
        </w:rPr>
        <w:t>小学生均教育事业费逐年增长</w:t>
      </w:r>
    </w:p>
    <w:tbl>
      <w:tblPr>
        <w:tblStyle w:val="12"/>
        <w:tblW w:w="8262" w:type="dxa"/>
        <w:jc w:val="center"/>
        <w:tblInd w:w="0" w:type="dxa"/>
        <w:tblLayout w:type="fixed"/>
        <w:tblCellMar>
          <w:top w:w="0" w:type="dxa"/>
          <w:left w:w="108" w:type="dxa"/>
          <w:bottom w:w="0" w:type="dxa"/>
          <w:right w:w="108" w:type="dxa"/>
        </w:tblCellMar>
      </w:tblPr>
      <w:tblGrid>
        <w:gridCol w:w="1544"/>
        <w:gridCol w:w="2037"/>
        <w:gridCol w:w="1473"/>
        <w:gridCol w:w="1745"/>
        <w:gridCol w:w="1463"/>
      </w:tblGrid>
      <w:tr>
        <w:tblPrEx>
          <w:tblLayout w:type="fixed"/>
          <w:tblCellMar>
            <w:top w:w="0" w:type="dxa"/>
            <w:left w:w="108" w:type="dxa"/>
            <w:bottom w:w="0" w:type="dxa"/>
            <w:right w:w="108" w:type="dxa"/>
          </w:tblCellMar>
        </w:tblPrEx>
        <w:trPr>
          <w:trHeight w:val="567" w:hRule="atLeast"/>
          <w:jc w:val="center"/>
        </w:trPr>
        <w:tc>
          <w:tcPr>
            <w:tcW w:w="1544" w:type="dxa"/>
            <w:vMerge w:val="restart"/>
            <w:tcBorders>
              <w:top w:val="single" w:color="000000" w:sz="4" w:space="0"/>
              <w:left w:val="single" w:color="000000" w:sz="4" w:space="0"/>
              <w:bottom w:val="single" w:color="000000" w:sz="4" w:space="0"/>
              <w:right w:val="single" w:color="000000" w:sz="4" w:space="0"/>
              <w:tl2br w:val="single" w:color="auto" w:sz="4" w:space="0"/>
            </w:tcBorders>
            <w:vAlign w:val="center"/>
          </w:tcPr>
          <w:p>
            <w:pPr>
              <w:spacing w:line="400" w:lineRule="exact"/>
              <w:ind w:firstLine="600" w:firstLineChars="200"/>
              <w:jc w:val="center"/>
              <w:rPr>
                <w:rFonts w:eastAsia="仿宋_GB2312"/>
                <w:color w:val="auto"/>
                <w:sz w:val="30"/>
                <w:szCs w:val="30"/>
                <w:highlight w:val="none"/>
              </w:rPr>
            </w:pPr>
            <w:r>
              <w:rPr>
                <w:rFonts w:eastAsia="仿宋_GB2312"/>
                <w:color w:val="auto"/>
                <w:sz w:val="30"/>
                <w:szCs w:val="30"/>
                <w:highlight w:val="none"/>
              </w:rPr>
              <w:t>项目</w:t>
            </w:r>
          </w:p>
          <w:p>
            <w:pPr>
              <w:spacing w:line="400" w:lineRule="exact"/>
              <w:rPr>
                <w:rFonts w:eastAsia="仿宋_GB2312"/>
                <w:color w:val="auto"/>
                <w:sz w:val="30"/>
                <w:szCs w:val="30"/>
                <w:highlight w:val="none"/>
              </w:rPr>
            </w:pPr>
            <w:r>
              <w:rPr>
                <w:rFonts w:eastAsia="仿宋_GB2312"/>
                <w:color w:val="auto"/>
                <w:sz w:val="30"/>
                <w:szCs w:val="30"/>
                <w:highlight w:val="none"/>
              </w:rPr>
              <w:t>年度</w:t>
            </w:r>
          </w:p>
        </w:tc>
        <w:tc>
          <w:tcPr>
            <w:tcW w:w="2037" w:type="dxa"/>
            <w:vMerge w:val="restart"/>
            <w:tcBorders>
              <w:top w:val="single" w:color="000000" w:sz="4" w:space="0"/>
              <w:left w:val="nil"/>
              <w:bottom w:val="single" w:color="000000" w:sz="4" w:space="0"/>
              <w:right w:val="single" w:color="000000" w:sz="4" w:space="0"/>
            </w:tcBorders>
            <w:vAlign w:val="center"/>
          </w:tcPr>
          <w:p>
            <w:pPr>
              <w:spacing w:line="400" w:lineRule="exact"/>
              <w:jc w:val="center"/>
              <w:rPr>
                <w:rFonts w:eastAsia="仿宋_GB2312"/>
                <w:color w:val="auto"/>
                <w:sz w:val="30"/>
                <w:szCs w:val="30"/>
                <w:highlight w:val="none"/>
              </w:rPr>
            </w:pPr>
            <w:r>
              <w:rPr>
                <w:rFonts w:eastAsia="仿宋_GB2312"/>
                <w:color w:val="auto"/>
                <w:sz w:val="30"/>
                <w:szCs w:val="30"/>
                <w:highlight w:val="none"/>
              </w:rPr>
              <w:t>教育事业费（元）</w:t>
            </w:r>
          </w:p>
        </w:tc>
        <w:tc>
          <w:tcPr>
            <w:tcW w:w="1473" w:type="dxa"/>
            <w:vMerge w:val="restart"/>
            <w:tcBorders>
              <w:top w:val="single" w:color="000000" w:sz="4" w:space="0"/>
              <w:left w:val="nil"/>
              <w:bottom w:val="single" w:color="000000" w:sz="4" w:space="0"/>
              <w:right w:val="single" w:color="000000" w:sz="4" w:space="0"/>
            </w:tcBorders>
            <w:vAlign w:val="center"/>
          </w:tcPr>
          <w:p>
            <w:pPr>
              <w:spacing w:line="400" w:lineRule="exact"/>
              <w:jc w:val="center"/>
              <w:rPr>
                <w:rFonts w:eastAsia="仿宋_GB2312"/>
                <w:color w:val="auto"/>
                <w:sz w:val="30"/>
                <w:szCs w:val="30"/>
                <w:highlight w:val="none"/>
              </w:rPr>
            </w:pPr>
            <w:r>
              <w:rPr>
                <w:rFonts w:eastAsia="仿宋_GB2312"/>
                <w:color w:val="auto"/>
                <w:sz w:val="30"/>
                <w:szCs w:val="30"/>
                <w:highlight w:val="none"/>
              </w:rPr>
              <w:t>在校生数</w:t>
            </w:r>
          </w:p>
        </w:tc>
        <w:tc>
          <w:tcPr>
            <w:tcW w:w="1745" w:type="dxa"/>
            <w:vMerge w:val="restart"/>
            <w:tcBorders>
              <w:top w:val="single" w:color="000000" w:sz="4" w:space="0"/>
              <w:left w:val="nil"/>
              <w:bottom w:val="single" w:color="000000" w:sz="4" w:space="0"/>
              <w:right w:val="single" w:color="000000" w:sz="4" w:space="0"/>
            </w:tcBorders>
            <w:vAlign w:val="center"/>
          </w:tcPr>
          <w:p>
            <w:pPr>
              <w:spacing w:line="400" w:lineRule="exact"/>
              <w:jc w:val="center"/>
              <w:rPr>
                <w:rFonts w:eastAsia="仿宋_GB2312"/>
                <w:color w:val="auto"/>
                <w:sz w:val="30"/>
                <w:szCs w:val="30"/>
                <w:highlight w:val="none"/>
              </w:rPr>
            </w:pPr>
            <w:r>
              <w:rPr>
                <w:rFonts w:eastAsia="仿宋_GB2312"/>
                <w:color w:val="auto"/>
                <w:sz w:val="30"/>
                <w:szCs w:val="30"/>
                <w:highlight w:val="none"/>
              </w:rPr>
              <w:t>生均教育事业费（元）</w:t>
            </w:r>
          </w:p>
        </w:tc>
        <w:tc>
          <w:tcPr>
            <w:tcW w:w="1463" w:type="dxa"/>
            <w:vMerge w:val="restart"/>
            <w:tcBorders>
              <w:top w:val="single" w:color="000000" w:sz="4" w:space="0"/>
              <w:left w:val="nil"/>
              <w:bottom w:val="single" w:color="000000" w:sz="4" w:space="0"/>
              <w:right w:val="single" w:color="000000" w:sz="4" w:space="0"/>
            </w:tcBorders>
            <w:vAlign w:val="center"/>
          </w:tcPr>
          <w:p>
            <w:pPr>
              <w:spacing w:line="400" w:lineRule="exact"/>
              <w:jc w:val="center"/>
              <w:rPr>
                <w:rFonts w:eastAsia="仿宋_GB2312"/>
                <w:color w:val="auto"/>
                <w:sz w:val="30"/>
                <w:szCs w:val="30"/>
                <w:highlight w:val="none"/>
              </w:rPr>
            </w:pPr>
            <w:r>
              <w:rPr>
                <w:rFonts w:eastAsia="仿宋_GB2312"/>
                <w:color w:val="auto"/>
                <w:sz w:val="30"/>
                <w:szCs w:val="30"/>
                <w:highlight w:val="none"/>
              </w:rPr>
              <w:t>增长率%</w:t>
            </w:r>
          </w:p>
        </w:tc>
      </w:tr>
      <w:tr>
        <w:tblPrEx>
          <w:tblLayout w:type="fixed"/>
          <w:tblCellMar>
            <w:top w:w="0" w:type="dxa"/>
            <w:left w:w="108" w:type="dxa"/>
            <w:bottom w:w="0" w:type="dxa"/>
            <w:right w:w="108" w:type="dxa"/>
          </w:tblCellMar>
        </w:tblPrEx>
        <w:trPr>
          <w:trHeight w:val="400" w:hRule="atLeast"/>
          <w:jc w:val="center"/>
        </w:trPr>
        <w:tc>
          <w:tcPr>
            <w:tcW w:w="1544"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仿宋_GB2312"/>
                <w:color w:val="auto"/>
                <w:sz w:val="30"/>
                <w:szCs w:val="30"/>
                <w:highlight w:val="none"/>
              </w:rPr>
            </w:pPr>
          </w:p>
        </w:tc>
        <w:tc>
          <w:tcPr>
            <w:tcW w:w="2037" w:type="dxa"/>
            <w:vMerge w:val="continue"/>
            <w:tcBorders>
              <w:top w:val="single" w:color="000000" w:sz="4" w:space="0"/>
              <w:left w:val="nil"/>
              <w:bottom w:val="single" w:color="000000" w:sz="4" w:space="0"/>
              <w:right w:val="single" w:color="000000" w:sz="4" w:space="0"/>
            </w:tcBorders>
            <w:vAlign w:val="center"/>
          </w:tcPr>
          <w:p>
            <w:pPr>
              <w:spacing w:line="400" w:lineRule="exact"/>
              <w:jc w:val="center"/>
              <w:rPr>
                <w:rFonts w:eastAsia="仿宋_GB2312"/>
                <w:color w:val="auto"/>
                <w:sz w:val="30"/>
                <w:szCs w:val="30"/>
                <w:highlight w:val="none"/>
              </w:rPr>
            </w:pPr>
          </w:p>
        </w:tc>
        <w:tc>
          <w:tcPr>
            <w:tcW w:w="1473" w:type="dxa"/>
            <w:vMerge w:val="continue"/>
            <w:tcBorders>
              <w:top w:val="single" w:color="000000" w:sz="4" w:space="0"/>
              <w:left w:val="nil"/>
              <w:bottom w:val="single" w:color="000000" w:sz="4" w:space="0"/>
              <w:right w:val="single" w:color="000000" w:sz="4" w:space="0"/>
            </w:tcBorders>
            <w:vAlign w:val="center"/>
          </w:tcPr>
          <w:p>
            <w:pPr>
              <w:spacing w:line="400" w:lineRule="exact"/>
              <w:jc w:val="center"/>
              <w:rPr>
                <w:rFonts w:eastAsia="仿宋_GB2312"/>
                <w:color w:val="auto"/>
                <w:sz w:val="30"/>
                <w:szCs w:val="30"/>
                <w:highlight w:val="none"/>
              </w:rPr>
            </w:pPr>
          </w:p>
        </w:tc>
        <w:tc>
          <w:tcPr>
            <w:tcW w:w="1745" w:type="dxa"/>
            <w:vMerge w:val="continue"/>
            <w:tcBorders>
              <w:top w:val="single" w:color="000000" w:sz="4" w:space="0"/>
              <w:left w:val="nil"/>
              <w:bottom w:val="single" w:color="000000" w:sz="4" w:space="0"/>
              <w:right w:val="single" w:color="000000" w:sz="4" w:space="0"/>
            </w:tcBorders>
            <w:vAlign w:val="center"/>
          </w:tcPr>
          <w:p>
            <w:pPr>
              <w:spacing w:line="400" w:lineRule="exact"/>
              <w:jc w:val="center"/>
              <w:rPr>
                <w:rFonts w:eastAsia="仿宋_GB2312"/>
                <w:color w:val="auto"/>
                <w:sz w:val="30"/>
                <w:szCs w:val="30"/>
                <w:highlight w:val="none"/>
              </w:rPr>
            </w:pPr>
          </w:p>
        </w:tc>
        <w:tc>
          <w:tcPr>
            <w:tcW w:w="1463" w:type="dxa"/>
            <w:vMerge w:val="continue"/>
            <w:tcBorders>
              <w:top w:val="single" w:color="000000" w:sz="4" w:space="0"/>
              <w:left w:val="nil"/>
              <w:bottom w:val="single" w:color="000000" w:sz="4" w:space="0"/>
              <w:right w:val="single" w:color="000000" w:sz="4" w:space="0"/>
            </w:tcBorders>
            <w:vAlign w:val="center"/>
          </w:tcPr>
          <w:p>
            <w:pPr>
              <w:spacing w:line="400" w:lineRule="exact"/>
              <w:jc w:val="center"/>
              <w:rPr>
                <w:rFonts w:eastAsia="仿宋_GB2312"/>
                <w:color w:val="auto"/>
                <w:sz w:val="30"/>
                <w:szCs w:val="30"/>
                <w:highlight w:val="none"/>
              </w:rPr>
            </w:pPr>
          </w:p>
        </w:tc>
      </w:tr>
      <w:tr>
        <w:tblPrEx>
          <w:tblLayout w:type="fixed"/>
          <w:tblCellMar>
            <w:top w:w="0" w:type="dxa"/>
            <w:left w:w="108" w:type="dxa"/>
            <w:bottom w:w="0" w:type="dxa"/>
            <w:right w:w="108" w:type="dxa"/>
          </w:tblCellMar>
        </w:tblPrEx>
        <w:trPr>
          <w:trHeight w:val="454" w:hRule="atLeast"/>
          <w:jc w:val="center"/>
        </w:trPr>
        <w:tc>
          <w:tcPr>
            <w:tcW w:w="154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仿宋_GB2312"/>
                <w:color w:val="auto"/>
                <w:sz w:val="30"/>
                <w:szCs w:val="30"/>
                <w:highlight w:val="none"/>
              </w:rPr>
            </w:pPr>
            <w:r>
              <w:rPr>
                <w:rFonts w:eastAsia="仿宋_GB2312"/>
                <w:color w:val="auto"/>
                <w:sz w:val="30"/>
                <w:szCs w:val="30"/>
                <w:highlight w:val="none"/>
              </w:rPr>
              <w:t>20</w:t>
            </w:r>
            <w:r>
              <w:rPr>
                <w:rFonts w:hint="eastAsia" w:eastAsia="仿宋_GB2312"/>
                <w:color w:val="auto"/>
                <w:sz w:val="30"/>
                <w:szCs w:val="30"/>
                <w:highlight w:val="none"/>
                <w:lang w:val="en-US" w:eastAsia="zh-CN"/>
              </w:rPr>
              <w:t>19</w:t>
            </w:r>
            <w:r>
              <w:rPr>
                <w:rFonts w:eastAsia="仿宋_GB2312"/>
                <w:color w:val="auto"/>
                <w:sz w:val="30"/>
                <w:szCs w:val="30"/>
                <w:highlight w:val="none"/>
              </w:rPr>
              <w:t>年</w:t>
            </w:r>
          </w:p>
        </w:tc>
        <w:tc>
          <w:tcPr>
            <w:tcW w:w="2037" w:type="dxa"/>
            <w:tcBorders>
              <w:top w:val="single" w:color="000000" w:sz="4" w:space="0"/>
              <w:left w:val="nil"/>
              <w:bottom w:val="single" w:color="000000" w:sz="4" w:space="0"/>
              <w:right w:val="single" w:color="000000" w:sz="4" w:space="0"/>
            </w:tcBorders>
            <w:vAlign w:val="center"/>
          </w:tcPr>
          <w:p>
            <w:pPr>
              <w:spacing w:line="400" w:lineRule="exact"/>
              <w:jc w:val="center"/>
              <w:rPr>
                <w:rFonts w:hint="default" w:eastAsia="仿宋_GB2312"/>
                <w:color w:val="auto"/>
                <w:sz w:val="30"/>
                <w:szCs w:val="30"/>
                <w:highlight w:val="none"/>
                <w:lang w:val="en-US" w:eastAsia="zh-CN"/>
              </w:rPr>
            </w:pPr>
            <w:r>
              <w:rPr>
                <w:rFonts w:hint="eastAsia" w:eastAsia="仿宋_GB2312"/>
                <w:color w:val="auto"/>
                <w:sz w:val="30"/>
                <w:szCs w:val="30"/>
                <w:highlight w:val="none"/>
                <w:lang w:val="en-US" w:eastAsia="zh-CN"/>
              </w:rPr>
              <w:t>204849126</w:t>
            </w:r>
          </w:p>
        </w:tc>
        <w:tc>
          <w:tcPr>
            <w:tcW w:w="1473" w:type="dxa"/>
            <w:tcBorders>
              <w:top w:val="single" w:color="000000" w:sz="4" w:space="0"/>
              <w:left w:val="nil"/>
              <w:bottom w:val="single" w:color="000000" w:sz="4" w:space="0"/>
              <w:right w:val="single" w:color="000000" w:sz="4" w:space="0"/>
            </w:tcBorders>
            <w:vAlign w:val="center"/>
          </w:tcPr>
          <w:p>
            <w:pPr>
              <w:spacing w:line="400" w:lineRule="exact"/>
              <w:jc w:val="center"/>
              <w:rPr>
                <w:rFonts w:hint="default" w:eastAsia="仿宋_GB2312"/>
                <w:color w:val="auto"/>
                <w:sz w:val="30"/>
                <w:szCs w:val="30"/>
                <w:highlight w:val="none"/>
                <w:lang w:val="en-US" w:eastAsia="zh-CN"/>
              </w:rPr>
            </w:pPr>
            <w:r>
              <w:rPr>
                <w:rFonts w:eastAsia="仿宋_GB2312"/>
                <w:color w:val="auto"/>
                <w:sz w:val="30"/>
                <w:szCs w:val="30"/>
                <w:highlight w:val="none"/>
              </w:rPr>
              <w:t>1</w:t>
            </w:r>
            <w:r>
              <w:rPr>
                <w:rFonts w:hint="eastAsia" w:eastAsia="仿宋_GB2312"/>
                <w:color w:val="auto"/>
                <w:sz w:val="30"/>
                <w:szCs w:val="30"/>
                <w:highlight w:val="none"/>
                <w:lang w:val="en-US" w:eastAsia="zh-CN"/>
              </w:rPr>
              <w:t>8469</w:t>
            </w:r>
          </w:p>
        </w:tc>
        <w:tc>
          <w:tcPr>
            <w:tcW w:w="1745" w:type="dxa"/>
            <w:tcBorders>
              <w:top w:val="single" w:color="000000" w:sz="4" w:space="0"/>
              <w:left w:val="nil"/>
              <w:bottom w:val="single" w:color="000000" w:sz="4" w:space="0"/>
              <w:right w:val="single" w:color="000000" w:sz="4" w:space="0"/>
            </w:tcBorders>
            <w:vAlign w:val="center"/>
          </w:tcPr>
          <w:p>
            <w:pPr>
              <w:spacing w:line="400" w:lineRule="exact"/>
              <w:jc w:val="center"/>
              <w:rPr>
                <w:rFonts w:hint="default" w:eastAsia="仿宋_GB2312"/>
                <w:color w:val="auto"/>
                <w:sz w:val="30"/>
                <w:szCs w:val="30"/>
                <w:highlight w:val="none"/>
                <w:lang w:val="en-US" w:eastAsia="zh-CN"/>
              </w:rPr>
            </w:pPr>
            <w:r>
              <w:rPr>
                <w:rFonts w:hint="eastAsia" w:eastAsia="仿宋_GB2312"/>
                <w:color w:val="auto"/>
                <w:sz w:val="30"/>
                <w:szCs w:val="30"/>
                <w:highlight w:val="none"/>
                <w:lang w:val="en-US" w:eastAsia="zh-CN"/>
              </w:rPr>
              <w:t>11091.51</w:t>
            </w:r>
          </w:p>
        </w:tc>
        <w:tc>
          <w:tcPr>
            <w:tcW w:w="1463" w:type="dxa"/>
            <w:tcBorders>
              <w:top w:val="single" w:color="000000" w:sz="4" w:space="0"/>
              <w:left w:val="nil"/>
              <w:bottom w:val="single" w:color="000000" w:sz="4" w:space="0"/>
              <w:right w:val="single" w:color="000000" w:sz="4" w:space="0"/>
            </w:tcBorders>
            <w:vAlign w:val="center"/>
          </w:tcPr>
          <w:p>
            <w:pPr>
              <w:spacing w:line="400" w:lineRule="exact"/>
              <w:jc w:val="center"/>
              <w:rPr>
                <w:rFonts w:eastAsia="仿宋_GB2312"/>
                <w:color w:val="auto"/>
                <w:sz w:val="30"/>
                <w:szCs w:val="30"/>
                <w:highlight w:val="none"/>
              </w:rPr>
            </w:pPr>
            <w:r>
              <w:rPr>
                <w:rFonts w:hint="eastAsia" w:eastAsia="仿宋_GB2312"/>
                <w:color w:val="auto"/>
                <w:sz w:val="30"/>
                <w:szCs w:val="3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44" w:type="dxa"/>
            <w:vAlign w:val="center"/>
          </w:tcPr>
          <w:p>
            <w:pPr>
              <w:spacing w:line="400" w:lineRule="exact"/>
              <w:jc w:val="center"/>
              <w:rPr>
                <w:rFonts w:eastAsia="仿宋_GB2312"/>
                <w:color w:val="auto"/>
                <w:sz w:val="30"/>
                <w:szCs w:val="30"/>
                <w:highlight w:val="none"/>
              </w:rPr>
            </w:pPr>
            <w:r>
              <w:rPr>
                <w:rFonts w:eastAsia="仿宋_GB2312"/>
                <w:color w:val="auto"/>
                <w:sz w:val="30"/>
                <w:szCs w:val="30"/>
                <w:highlight w:val="none"/>
              </w:rPr>
              <w:t>20</w:t>
            </w:r>
            <w:r>
              <w:rPr>
                <w:rFonts w:hint="eastAsia" w:eastAsia="仿宋_GB2312"/>
                <w:color w:val="auto"/>
                <w:sz w:val="30"/>
                <w:szCs w:val="30"/>
                <w:highlight w:val="none"/>
                <w:lang w:val="en-US" w:eastAsia="zh-CN"/>
              </w:rPr>
              <w:t>20</w:t>
            </w:r>
            <w:r>
              <w:rPr>
                <w:rFonts w:eastAsia="仿宋_GB2312"/>
                <w:color w:val="auto"/>
                <w:sz w:val="30"/>
                <w:szCs w:val="30"/>
                <w:highlight w:val="none"/>
              </w:rPr>
              <w:t>年</w:t>
            </w:r>
          </w:p>
        </w:tc>
        <w:tc>
          <w:tcPr>
            <w:tcW w:w="2037" w:type="dxa"/>
            <w:vAlign w:val="center"/>
          </w:tcPr>
          <w:p>
            <w:pPr>
              <w:spacing w:line="400" w:lineRule="exact"/>
              <w:jc w:val="center"/>
              <w:rPr>
                <w:rFonts w:hint="default" w:eastAsia="仿宋_GB2312"/>
                <w:color w:val="auto"/>
                <w:sz w:val="30"/>
                <w:szCs w:val="30"/>
                <w:highlight w:val="none"/>
                <w:lang w:val="en-US" w:eastAsia="zh-CN"/>
              </w:rPr>
            </w:pPr>
            <w:r>
              <w:rPr>
                <w:rFonts w:hint="eastAsia" w:eastAsia="仿宋_GB2312"/>
                <w:color w:val="auto"/>
                <w:sz w:val="30"/>
                <w:szCs w:val="30"/>
                <w:highlight w:val="none"/>
                <w:lang w:val="en-US" w:eastAsia="zh-CN"/>
              </w:rPr>
              <w:t>224438058</w:t>
            </w:r>
          </w:p>
        </w:tc>
        <w:tc>
          <w:tcPr>
            <w:tcW w:w="1473" w:type="dxa"/>
            <w:vAlign w:val="center"/>
          </w:tcPr>
          <w:p>
            <w:pPr>
              <w:spacing w:line="400" w:lineRule="exact"/>
              <w:jc w:val="center"/>
              <w:rPr>
                <w:rFonts w:hint="default" w:eastAsia="仿宋_GB2312"/>
                <w:color w:val="auto"/>
                <w:sz w:val="30"/>
                <w:szCs w:val="30"/>
                <w:highlight w:val="none"/>
                <w:lang w:val="en-US" w:eastAsia="zh-CN"/>
              </w:rPr>
            </w:pPr>
            <w:r>
              <w:rPr>
                <w:rFonts w:eastAsia="仿宋_GB2312"/>
                <w:color w:val="auto"/>
                <w:sz w:val="30"/>
                <w:szCs w:val="30"/>
                <w:highlight w:val="none"/>
              </w:rPr>
              <w:t>1</w:t>
            </w:r>
            <w:r>
              <w:rPr>
                <w:rFonts w:hint="eastAsia" w:eastAsia="仿宋_GB2312"/>
                <w:color w:val="auto"/>
                <w:sz w:val="30"/>
                <w:szCs w:val="30"/>
                <w:highlight w:val="none"/>
                <w:lang w:val="en-US" w:eastAsia="zh-CN"/>
              </w:rPr>
              <w:t>8514</w:t>
            </w:r>
          </w:p>
        </w:tc>
        <w:tc>
          <w:tcPr>
            <w:tcW w:w="1745" w:type="dxa"/>
            <w:vAlign w:val="center"/>
          </w:tcPr>
          <w:p>
            <w:pPr>
              <w:spacing w:line="400" w:lineRule="exact"/>
              <w:jc w:val="center"/>
              <w:rPr>
                <w:rFonts w:hint="default" w:eastAsia="仿宋_GB2312"/>
                <w:color w:val="auto"/>
                <w:sz w:val="30"/>
                <w:szCs w:val="30"/>
                <w:highlight w:val="none"/>
                <w:lang w:val="en-US" w:eastAsia="zh-CN"/>
              </w:rPr>
            </w:pPr>
            <w:r>
              <w:rPr>
                <w:rFonts w:hint="eastAsia" w:eastAsia="仿宋_GB2312"/>
                <w:color w:val="auto"/>
                <w:sz w:val="30"/>
                <w:szCs w:val="30"/>
                <w:highlight w:val="none"/>
                <w:lang w:val="en-US" w:eastAsia="zh-CN"/>
              </w:rPr>
              <w:t>12122.61</w:t>
            </w:r>
          </w:p>
        </w:tc>
        <w:tc>
          <w:tcPr>
            <w:tcW w:w="1463" w:type="dxa"/>
            <w:vAlign w:val="center"/>
          </w:tcPr>
          <w:p>
            <w:pPr>
              <w:spacing w:line="400" w:lineRule="exact"/>
              <w:jc w:val="center"/>
              <w:rPr>
                <w:rFonts w:hint="default" w:eastAsia="仿宋_GB2312"/>
                <w:color w:val="auto"/>
                <w:sz w:val="30"/>
                <w:szCs w:val="30"/>
                <w:highlight w:val="none"/>
                <w:lang w:val="en-US" w:eastAsia="zh-CN"/>
              </w:rPr>
            </w:pPr>
            <w:r>
              <w:rPr>
                <w:rFonts w:hint="eastAsia" w:eastAsia="仿宋_GB2312"/>
                <w:color w:val="auto"/>
                <w:sz w:val="30"/>
                <w:szCs w:val="30"/>
                <w:highlight w:val="none"/>
                <w:lang w:val="en-US" w:eastAsia="zh-CN"/>
              </w:rPr>
              <w:t>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44" w:type="dxa"/>
            <w:vAlign w:val="center"/>
          </w:tcPr>
          <w:p>
            <w:pPr>
              <w:spacing w:line="400" w:lineRule="exact"/>
              <w:jc w:val="center"/>
              <w:rPr>
                <w:rFonts w:eastAsia="仿宋_GB2312"/>
                <w:color w:val="auto"/>
                <w:sz w:val="30"/>
                <w:szCs w:val="30"/>
                <w:highlight w:val="none"/>
              </w:rPr>
            </w:pPr>
            <w:r>
              <w:rPr>
                <w:rFonts w:eastAsia="仿宋_GB2312"/>
                <w:color w:val="auto"/>
                <w:sz w:val="30"/>
                <w:szCs w:val="30"/>
                <w:highlight w:val="none"/>
              </w:rPr>
              <w:t>20</w:t>
            </w:r>
            <w:r>
              <w:rPr>
                <w:rFonts w:hint="eastAsia" w:eastAsia="仿宋_GB2312"/>
                <w:color w:val="auto"/>
                <w:sz w:val="30"/>
                <w:szCs w:val="30"/>
                <w:highlight w:val="none"/>
                <w:lang w:val="en-US" w:eastAsia="zh-CN"/>
              </w:rPr>
              <w:t>21</w:t>
            </w:r>
            <w:r>
              <w:rPr>
                <w:rFonts w:eastAsia="仿宋_GB2312"/>
                <w:color w:val="auto"/>
                <w:sz w:val="30"/>
                <w:szCs w:val="30"/>
                <w:highlight w:val="none"/>
              </w:rPr>
              <w:t>年</w:t>
            </w:r>
          </w:p>
        </w:tc>
        <w:tc>
          <w:tcPr>
            <w:tcW w:w="2037" w:type="dxa"/>
            <w:vAlign w:val="center"/>
          </w:tcPr>
          <w:p>
            <w:pPr>
              <w:spacing w:line="400" w:lineRule="exact"/>
              <w:jc w:val="center"/>
              <w:rPr>
                <w:rFonts w:hint="default" w:eastAsia="仿宋_GB2312"/>
                <w:color w:val="auto"/>
                <w:sz w:val="30"/>
                <w:szCs w:val="30"/>
                <w:highlight w:val="none"/>
                <w:lang w:val="en-US" w:eastAsia="zh-CN"/>
              </w:rPr>
            </w:pPr>
            <w:r>
              <w:rPr>
                <w:rFonts w:hint="eastAsia" w:eastAsia="仿宋_GB2312"/>
                <w:color w:val="auto"/>
                <w:sz w:val="30"/>
                <w:szCs w:val="30"/>
                <w:highlight w:val="none"/>
              </w:rPr>
              <w:t>2</w:t>
            </w:r>
            <w:r>
              <w:rPr>
                <w:rFonts w:hint="eastAsia" w:eastAsia="仿宋_GB2312"/>
                <w:color w:val="auto"/>
                <w:sz w:val="30"/>
                <w:szCs w:val="30"/>
                <w:highlight w:val="none"/>
                <w:lang w:val="en-US" w:eastAsia="zh-CN"/>
              </w:rPr>
              <w:t>30265257</w:t>
            </w:r>
          </w:p>
        </w:tc>
        <w:tc>
          <w:tcPr>
            <w:tcW w:w="1473" w:type="dxa"/>
            <w:vAlign w:val="center"/>
          </w:tcPr>
          <w:p>
            <w:pPr>
              <w:spacing w:line="400" w:lineRule="exact"/>
              <w:jc w:val="center"/>
              <w:rPr>
                <w:rFonts w:hint="default" w:eastAsia="仿宋_GB2312"/>
                <w:color w:val="auto"/>
                <w:sz w:val="30"/>
                <w:szCs w:val="30"/>
                <w:highlight w:val="none"/>
                <w:lang w:val="en-US" w:eastAsia="zh-CN"/>
              </w:rPr>
            </w:pPr>
            <w:r>
              <w:rPr>
                <w:rFonts w:eastAsia="仿宋_GB2312"/>
                <w:color w:val="auto"/>
                <w:sz w:val="30"/>
                <w:szCs w:val="30"/>
                <w:highlight w:val="none"/>
              </w:rPr>
              <w:t>18</w:t>
            </w:r>
            <w:r>
              <w:rPr>
                <w:rFonts w:hint="eastAsia" w:eastAsia="仿宋_GB2312"/>
                <w:color w:val="auto"/>
                <w:sz w:val="30"/>
                <w:szCs w:val="30"/>
                <w:highlight w:val="none"/>
                <w:lang w:val="en-US" w:eastAsia="zh-CN"/>
              </w:rPr>
              <w:t>767</w:t>
            </w:r>
          </w:p>
        </w:tc>
        <w:tc>
          <w:tcPr>
            <w:tcW w:w="1745" w:type="dxa"/>
            <w:vAlign w:val="center"/>
          </w:tcPr>
          <w:p>
            <w:pPr>
              <w:spacing w:line="400" w:lineRule="exact"/>
              <w:jc w:val="center"/>
              <w:rPr>
                <w:rFonts w:hint="default" w:eastAsia="仿宋_GB2312"/>
                <w:color w:val="auto"/>
                <w:sz w:val="30"/>
                <w:szCs w:val="30"/>
                <w:highlight w:val="none"/>
                <w:lang w:val="en-US" w:eastAsia="zh-CN"/>
              </w:rPr>
            </w:pPr>
            <w:r>
              <w:rPr>
                <w:rFonts w:hint="eastAsia" w:eastAsia="仿宋_GB2312"/>
                <w:color w:val="auto"/>
                <w:sz w:val="30"/>
                <w:szCs w:val="30"/>
                <w:highlight w:val="none"/>
                <w:lang w:val="en-US" w:eastAsia="zh-CN"/>
              </w:rPr>
              <w:t>12269.69</w:t>
            </w:r>
          </w:p>
        </w:tc>
        <w:tc>
          <w:tcPr>
            <w:tcW w:w="1463" w:type="dxa"/>
            <w:vAlign w:val="center"/>
          </w:tcPr>
          <w:p>
            <w:pPr>
              <w:spacing w:line="400" w:lineRule="exact"/>
              <w:jc w:val="center"/>
              <w:rPr>
                <w:rFonts w:hint="default" w:eastAsia="仿宋_GB2312"/>
                <w:color w:val="auto"/>
                <w:sz w:val="30"/>
                <w:szCs w:val="30"/>
                <w:highlight w:val="none"/>
                <w:lang w:val="en-US" w:eastAsia="zh-CN"/>
              </w:rPr>
            </w:pPr>
            <w:r>
              <w:rPr>
                <w:rFonts w:hint="eastAsia" w:eastAsia="仿宋_GB2312"/>
                <w:color w:val="auto"/>
                <w:sz w:val="30"/>
                <w:szCs w:val="30"/>
                <w:highlight w:val="none"/>
                <w:lang w:val="en-US" w:eastAsia="zh-CN"/>
              </w:rPr>
              <w:t>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44" w:type="dxa"/>
            <w:vAlign w:val="center"/>
          </w:tcPr>
          <w:p>
            <w:pPr>
              <w:spacing w:line="400" w:lineRule="exact"/>
              <w:jc w:val="center"/>
              <w:rPr>
                <w:rFonts w:eastAsia="仿宋_GB2312"/>
                <w:color w:val="auto"/>
                <w:sz w:val="30"/>
                <w:szCs w:val="30"/>
                <w:highlight w:val="none"/>
              </w:rPr>
            </w:pPr>
            <w:r>
              <w:rPr>
                <w:rFonts w:eastAsia="仿宋_GB2312"/>
                <w:color w:val="auto"/>
                <w:sz w:val="30"/>
                <w:szCs w:val="30"/>
                <w:highlight w:val="none"/>
              </w:rPr>
              <w:t>20</w:t>
            </w:r>
            <w:r>
              <w:rPr>
                <w:rFonts w:hint="eastAsia" w:eastAsia="仿宋_GB2312"/>
                <w:color w:val="auto"/>
                <w:sz w:val="30"/>
                <w:szCs w:val="30"/>
                <w:highlight w:val="none"/>
                <w:lang w:val="en-US" w:eastAsia="zh-CN"/>
              </w:rPr>
              <w:t>22</w:t>
            </w:r>
            <w:r>
              <w:rPr>
                <w:rFonts w:eastAsia="仿宋_GB2312"/>
                <w:color w:val="auto"/>
                <w:sz w:val="30"/>
                <w:szCs w:val="30"/>
                <w:highlight w:val="none"/>
              </w:rPr>
              <w:t>年</w:t>
            </w:r>
          </w:p>
        </w:tc>
        <w:tc>
          <w:tcPr>
            <w:tcW w:w="2037" w:type="dxa"/>
            <w:vAlign w:val="center"/>
          </w:tcPr>
          <w:p>
            <w:pPr>
              <w:spacing w:line="400" w:lineRule="exact"/>
              <w:jc w:val="center"/>
              <w:rPr>
                <w:rFonts w:hint="default" w:eastAsia="仿宋_GB2312"/>
                <w:color w:val="auto"/>
                <w:sz w:val="30"/>
                <w:szCs w:val="30"/>
                <w:highlight w:val="none"/>
                <w:lang w:val="en-US" w:eastAsia="zh-CN"/>
              </w:rPr>
            </w:pPr>
            <w:r>
              <w:rPr>
                <w:rFonts w:hint="eastAsia" w:eastAsia="仿宋_GB2312"/>
                <w:color w:val="auto"/>
                <w:sz w:val="30"/>
                <w:szCs w:val="30"/>
                <w:highlight w:val="none"/>
              </w:rPr>
              <w:t>2</w:t>
            </w:r>
            <w:r>
              <w:rPr>
                <w:rFonts w:hint="eastAsia" w:eastAsia="仿宋_GB2312"/>
                <w:color w:val="auto"/>
                <w:sz w:val="30"/>
                <w:szCs w:val="30"/>
                <w:highlight w:val="none"/>
                <w:lang w:val="en-US" w:eastAsia="zh-CN"/>
              </w:rPr>
              <w:t>44831250</w:t>
            </w:r>
          </w:p>
        </w:tc>
        <w:tc>
          <w:tcPr>
            <w:tcW w:w="1473" w:type="dxa"/>
            <w:vAlign w:val="center"/>
          </w:tcPr>
          <w:p>
            <w:pPr>
              <w:spacing w:line="400" w:lineRule="exact"/>
              <w:jc w:val="center"/>
              <w:rPr>
                <w:rFonts w:hint="default" w:eastAsia="仿宋_GB2312"/>
                <w:color w:val="auto"/>
                <w:sz w:val="30"/>
                <w:szCs w:val="30"/>
                <w:highlight w:val="none"/>
                <w:lang w:val="en-US" w:eastAsia="zh-CN"/>
              </w:rPr>
            </w:pPr>
            <w:r>
              <w:rPr>
                <w:rFonts w:eastAsia="仿宋_GB2312"/>
                <w:color w:val="auto"/>
                <w:sz w:val="30"/>
                <w:szCs w:val="30"/>
                <w:highlight w:val="none"/>
              </w:rPr>
              <w:t>18</w:t>
            </w:r>
            <w:r>
              <w:rPr>
                <w:rFonts w:hint="eastAsia" w:eastAsia="仿宋_GB2312"/>
                <w:color w:val="auto"/>
                <w:sz w:val="30"/>
                <w:szCs w:val="30"/>
                <w:highlight w:val="none"/>
                <w:lang w:val="en-US" w:eastAsia="zh-CN"/>
              </w:rPr>
              <w:t>733</w:t>
            </w:r>
          </w:p>
        </w:tc>
        <w:tc>
          <w:tcPr>
            <w:tcW w:w="1745" w:type="dxa"/>
            <w:vAlign w:val="center"/>
          </w:tcPr>
          <w:p>
            <w:pPr>
              <w:spacing w:line="400" w:lineRule="exact"/>
              <w:jc w:val="center"/>
              <w:rPr>
                <w:rFonts w:hint="default" w:eastAsia="仿宋_GB2312"/>
                <w:color w:val="auto"/>
                <w:sz w:val="30"/>
                <w:szCs w:val="30"/>
                <w:highlight w:val="none"/>
                <w:lang w:val="en-US" w:eastAsia="zh-CN"/>
              </w:rPr>
            </w:pPr>
            <w:r>
              <w:rPr>
                <w:rFonts w:hint="eastAsia" w:eastAsia="仿宋_GB2312"/>
                <w:color w:val="auto"/>
                <w:sz w:val="30"/>
                <w:szCs w:val="30"/>
                <w:highlight w:val="none"/>
              </w:rPr>
              <w:t>1</w:t>
            </w:r>
            <w:r>
              <w:rPr>
                <w:rFonts w:hint="eastAsia" w:eastAsia="仿宋_GB2312"/>
                <w:color w:val="auto"/>
                <w:sz w:val="30"/>
                <w:szCs w:val="30"/>
                <w:highlight w:val="none"/>
                <w:lang w:val="en-US" w:eastAsia="zh-CN"/>
              </w:rPr>
              <w:t>3069.52</w:t>
            </w:r>
          </w:p>
        </w:tc>
        <w:tc>
          <w:tcPr>
            <w:tcW w:w="1463" w:type="dxa"/>
            <w:vAlign w:val="center"/>
          </w:tcPr>
          <w:p>
            <w:pPr>
              <w:spacing w:line="400" w:lineRule="exact"/>
              <w:jc w:val="center"/>
              <w:rPr>
                <w:rFonts w:hint="default" w:eastAsia="仿宋_GB2312"/>
                <w:color w:val="auto"/>
                <w:sz w:val="30"/>
                <w:szCs w:val="30"/>
                <w:highlight w:val="none"/>
                <w:lang w:val="en-US" w:eastAsia="zh-CN"/>
              </w:rPr>
            </w:pPr>
            <w:r>
              <w:rPr>
                <w:rFonts w:hint="eastAsia" w:eastAsia="仿宋_GB2312"/>
                <w:color w:val="auto"/>
                <w:sz w:val="30"/>
                <w:szCs w:val="30"/>
                <w:highlight w:val="none"/>
                <w:lang w:val="en-US" w:eastAsia="zh-CN"/>
              </w:rPr>
              <w:t>6.52</w:t>
            </w:r>
          </w:p>
        </w:tc>
      </w:tr>
    </w:tbl>
    <w:p>
      <w:pPr>
        <w:spacing w:line="560" w:lineRule="exact"/>
        <w:ind w:firstLine="640" w:firstLineChars="200"/>
        <w:jc w:val="center"/>
        <w:rPr>
          <w:rFonts w:eastAsia="仿宋_GB2312"/>
          <w:color w:val="auto"/>
          <w:sz w:val="32"/>
          <w:szCs w:val="32"/>
          <w:highlight w:val="none"/>
        </w:rPr>
      </w:pPr>
      <w:r>
        <w:rPr>
          <w:rFonts w:eastAsia="仿宋_GB2312"/>
          <w:color w:val="auto"/>
          <w:sz w:val="32"/>
          <w:szCs w:val="32"/>
          <w:highlight w:val="none"/>
        </w:rPr>
        <w:t>初中生均教育事业费逐年增长</w:t>
      </w:r>
    </w:p>
    <w:tbl>
      <w:tblPr>
        <w:tblStyle w:val="12"/>
        <w:tblW w:w="8321" w:type="dxa"/>
        <w:jc w:val="center"/>
        <w:tblInd w:w="0" w:type="dxa"/>
        <w:tblLayout w:type="fixed"/>
        <w:tblCellMar>
          <w:top w:w="0" w:type="dxa"/>
          <w:left w:w="108" w:type="dxa"/>
          <w:bottom w:w="0" w:type="dxa"/>
          <w:right w:w="108" w:type="dxa"/>
        </w:tblCellMar>
      </w:tblPr>
      <w:tblGrid>
        <w:gridCol w:w="1572"/>
        <w:gridCol w:w="1774"/>
        <w:gridCol w:w="1559"/>
        <w:gridCol w:w="2011"/>
        <w:gridCol w:w="1405"/>
      </w:tblGrid>
      <w:tr>
        <w:tblPrEx>
          <w:tblLayout w:type="fixed"/>
          <w:tblCellMar>
            <w:top w:w="0" w:type="dxa"/>
            <w:left w:w="108" w:type="dxa"/>
            <w:bottom w:w="0" w:type="dxa"/>
            <w:right w:w="108" w:type="dxa"/>
          </w:tblCellMar>
        </w:tblPrEx>
        <w:trPr>
          <w:trHeight w:val="624" w:hRule="atLeast"/>
          <w:jc w:val="center"/>
        </w:trPr>
        <w:tc>
          <w:tcPr>
            <w:tcW w:w="1572" w:type="dxa"/>
            <w:vMerge w:val="restart"/>
            <w:tcBorders>
              <w:top w:val="single" w:color="000000" w:sz="4" w:space="0"/>
              <w:left w:val="single" w:color="000000" w:sz="4" w:space="0"/>
              <w:bottom w:val="single" w:color="000000" w:sz="4" w:space="0"/>
              <w:right w:val="single" w:color="000000" w:sz="4" w:space="0"/>
              <w:tl2br w:val="single" w:color="auto" w:sz="4" w:space="0"/>
            </w:tcBorders>
            <w:vAlign w:val="center"/>
          </w:tcPr>
          <w:p>
            <w:pPr>
              <w:spacing w:line="400" w:lineRule="exact"/>
              <w:ind w:firstLine="600" w:firstLineChars="200"/>
              <w:rPr>
                <w:rFonts w:eastAsia="仿宋_GB2312"/>
                <w:color w:val="auto"/>
                <w:sz w:val="30"/>
                <w:szCs w:val="30"/>
                <w:highlight w:val="none"/>
              </w:rPr>
            </w:pPr>
            <w:r>
              <w:rPr>
                <w:rFonts w:eastAsia="仿宋_GB2312"/>
                <w:color w:val="auto"/>
                <w:sz w:val="30"/>
                <w:szCs w:val="30"/>
                <w:highlight w:val="none"/>
              </w:rPr>
              <w:t>项目</w:t>
            </w:r>
          </w:p>
          <w:p>
            <w:pPr>
              <w:spacing w:line="400" w:lineRule="exact"/>
              <w:rPr>
                <w:rFonts w:eastAsia="仿宋_GB2312"/>
                <w:color w:val="auto"/>
                <w:sz w:val="30"/>
                <w:szCs w:val="30"/>
                <w:highlight w:val="none"/>
              </w:rPr>
            </w:pPr>
            <w:r>
              <w:rPr>
                <w:rFonts w:eastAsia="仿宋_GB2312"/>
                <w:color w:val="auto"/>
                <w:sz w:val="30"/>
                <w:szCs w:val="30"/>
                <w:highlight w:val="none"/>
              </w:rPr>
              <w:t>年度</w:t>
            </w:r>
          </w:p>
        </w:tc>
        <w:tc>
          <w:tcPr>
            <w:tcW w:w="1774" w:type="dxa"/>
            <w:vMerge w:val="restart"/>
            <w:tcBorders>
              <w:top w:val="single" w:color="000000" w:sz="4" w:space="0"/>
              <w:left w:val="nil"/>
              <w:bottom w:val="single" w:color="000000" w:sz="4" w:space="0"/>
              <w:right w:val="single" w:color="000000" w:sz="4" w:space="0"/>
            </w:tcBorders>
            <w:vAlign w:val="center"/>
          </w:tcPr>
          <w:p>
            <w:pPr>
              <w:spacing w:line="400" w:lineRule="exact"/>
              <w:rPr>
                <w:rFonts w:eastAsia="仿宋_GB2312"/>
                <w:color w:val="auto"/>
                <w:sz w:val="30"/>
                <w:szCs w:val="30"/>
                <w:highlight w:val="none"/>
              </w:rPr>
            </w:pPr>
            <w:r>
              <w:rPr>
                <w:rFonts w:eastAsia="仿宋_GB2312"/>
                <w:color w:val="auto"/>
                <w:sz w:val="30"/>
                <w:szCs w:val="30"/>
                <w:highlight w:val="none"/>
              </w:rPr>
              <w:t>教育事业费（元）</w:t>
            </w:r>
          </w:p>
        </w:tc>
        <w:tc>
          <w:tcPr>
            <w:tcW w:w="1559" w:type="dxa"/>
            <w:vMerge w:val="restart"/>
            <w:tcBorders>
              <w:top w:val="single" w:color="000000" w:sz="4" w:space="0"/>
              <w:left w:val="nil"/>
              <w:bottom w:val="single" w:color="000000" w:sz="4" w:space="0"/>
              <w:right w:val="single" w:color="000000" w:sz="4" w:space="0"/>
            </w:tcBorders>
            <w:vAlign w:val="center"/>
          </w:tcPr>
          <w:p>
            <w:pPr>
              <w:spacing w:line="400" w:lineRule="exact"/>
              <w:rPr>
                <w:rFonts w:eastAsia="仿宋_GB2312"/>
                <w:color w:val="auto"/>
                <w:sz w:val="30"/>
                <w:szCs w:val="30"/>
                <w:highlight w:val="none"/>
              </w:rPr>
            </w:pPr>
            <w:r>
              <w:rPr>
                <w:rFonts w:eastAsia="仿宋_GB2312"/>
                <w:color w:val="auto"/>
                <w:sz w:val="30"/>
                <w:szCs w:val="30"/>
                <w:highlight w:val="none"/>
              </w:rPr>
              <w:t>在校生数</w:t>
            </w:r>
          </w:p>
        </w:tc>
        <w:tc>
          <w:tcPr>
            <w:tcW w:w="2011" w:type="dxa"/>
            <w:vMerge w:val="restart"/>
            <w:tcBorders>
              <w:top w:val="single" w:color="000000" w:sz="4" w:space="0"/>
              <w:left w:val="nil"/>
              <w:bottom w:val="single" w:color="000000" w:sz="4" w:space="0"/>
              <w:right w:val="single" w:color="000000" w:sz="4" w:space="0"/>
            </w:tcBorders>
            <w:vAlign w:val="center"/>
          </w:tcPr>
          <w:p>
            <w:pPr>
              <w:spacing w:line="400" w:lineRule="exact"/>
              <w:rPr>
                <w:rFonts w:eastAsia="仿宋_GB2312"/>
                <w:color w:val="auto"/>
                <w:sz w:val="30"/>
                <w:szCs w:val="30"/>
                <w:highlight w:val="none"/>
              </w:rPr>
            </w:pPr>
            <w:r>
              <w:rPr>
                <w:rFonts w:eastAsia="仿宋_GB2312"/>
                <w:color w:val="auto"/>
                <w:sz w:val="30"/>
                <w:szCs w:val="30"/>
                <w:highlight w:val="none"/>
              </w:rPr>
              <w:t>生均教育事业费（元）</w:t>
            </w:r>
          </w:p>
        </w:tc>
        <w:tc>
          <w:tcPr>
            <w:tcW w:w="1405" w:type="dxa"/>
            <w:vMerge w:val="restart"/>
            <w:tcBorders>
              <w:top w:val="single" w:color="000000" w:sz="4" w:space="0"/>
              <w:left w:val="nil"/>
              <w:bottom w:val="single" w:color="000000" w:sz="4" w:space="0"/>
              <w:right w:val="single" w:color="000000" w:sz="4" w:space="0"/>
            </w:tcBorders>
            <w:vAlign w:val="center"/>
          </w:tcPr>
          <w:p>
            <w:pPr>
              <w:spacing w:line="400" w:lineRule="exact"/>
              <w:rPr>
                <w:rFonts w:eastAsia="仿宋_GB2312"/>
                <w:color w:val="auto"/>
                <w:sz w:val="30"/>
                <w:szCs w:val="30"/>
                <w:highlight w:val="none"/>
              </w:rPr>
            </w:pPr>
            <w:r>
              <w:rPr>
                <w:rFonts w:eastAsia="仿宋_GB2312"/>
                <w:color w:val="auto"/>
                <w:sz w:val="30"/>
                <w:szCs w:val="30"/>
                <w:highlight w:val="none"/>
              </w:rPr>
              <w:t>增长率%</w:t>
            </w:r>
          </w:p>
        </w:tc>
      </w:tr>
      <w:tr>
        <w:tblPrEx>
          <w:tblLayout w:type="fixed"/>
          <w:tblCellMar>
            <w:top w:w="0" w:type="dxa"/>
            <w:left w:w="108" w:type="dxa"/>
            <w:bottom w:w="0" w:type="dxa"/>
            <w:right w:w="108" w:type="dxa"/>
          </w:tblCellMar>
        </w:tblPrEx>
        <w:trPr>
          <w:trHeight w:val="400" w:hRule="atLeast"/>
          <w:jc w:val="center"/>
        </w:trPr>
        <w:tc>
          <w:tcPr>
            <w:tcW w:w="1572"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rPr>
                <w:rFonts w:eastAsia="仿宋_GB2312"/>
                <w:color w:val="auto"/>
                <w:sz w:val="30"/>
                <w:szCs w:val="30"/>
                <w:highlight w:val="none"/>
              </w:rPr>
            </w:pPr>
          </w:p>
        </w:tc>
        <w:tc>
          <w:tcPr>
            <w:tcW w:w="1774" w:type="dxa"/>
            <w:vMerge w:val="continue"/>
            <w:tcBorders>
              <w:top w:val="single" w:color="000000" w:sz="4" w:space="0"/>
              <w:left w:val="nil"/>
              <w:bottom w:val="single" w:color="000000" w:sz="4" w:space="0"/>
              <w:right w:val="single" w:color="000000" w:sz="4" w:space="0"/>
            </w:tcBorders>
            <w:vAlign w:val="center"/>
          </w:tcPr>
          <w:p>
            <w:pPr>
              <w:spacing w:line="400" w:lineRule="exact"/>
              <w:rPr>
                <w:rFonts w:eastAsia="仿宋_GB2312"/>
                <w:color w:val="auto"/>
                <w:sz w:val="30"/>
                <w:szCs w:val="30"/>
                <w:highlight w:val="none"/>
              </w:rPr>
            </w:pPr>
          </w:p>
        </w:tc>
        <w:tc>
          <w:tcPr>
            <w:tcW w:w="1559" w:type="dxa"/>
            <w:vMerge w:val="continue"/>
            <w:tcBorders>
              <w:top w:val="single" w:color="000000" w:sz="4" w:space="0"/>
              <w:left w:val="nil"/>
              <w:bottom w:val="single" w:color="000000" w:sz="4" w:space="0"/>
              <w:right w:val="single" w:color="000000" w:sz="4" w:space="0"/>
            </w:tcBorders>
            <w:vAlign w:val="center"/>
          </w:tcPr>
          <w:p>
            <w:pPr>
              <w:spacing w:line="400" w:lineRule="exact"/>
              <w:rPr>
                <w:rFonts w:eastAsia="仿宋_GB2312"/>
                <w:color w:val="auto"/>
                <w:sz w:val="30"/>
                <w:szCs w:val="30"/>
                <w:highlight w:val="none"/>
              </w:rPr>
            </w:pPr>
          </w:p>
        </w:tc>
        <w:tc>
          <w:tcPr>
            <w:tcW w:w="2011" w:type="dxa"/>
            <w:vMerge w:val="continue"/>
            <w:tcBorders>
              <w:top w:val="single" w:color="000000" w:sz="4" w:space="0"/>
              <w:left w:val="nil"/>
              <w:bottom w:val="single" w:color="000000" w:sz="4" w:space="0"/>
              <w:right w:val="single" w:color="000000" w:sz="4" w:space="0"/>
            </w:tcBorders>
            <w:vAlign w:val="center"/>
          </w:tcPr>
          <w:p>
            <w:pPr>
              <w:spacing w:line="400" w:lineRule="exact"/>
              <w:rPr>
                <w:rFonts w:eastAsia="仿宋_GB2312"/>
                <w:color w:val="auto"/>
                <w:sz w:val="30"/>
                <w:szCs w:val="30"/>
                <w:highlight w:val="none"/>
              </w:rPr>
            </w:pPr>
          </w:p>
        </w:tc>
        <w:tc>
          <w:tcPr>
            <w:tcW w:w="1405" w:type="dxa"/>
            <w:vMerge w:val="continue"/>
            <w:tcBorders>
              <w:top w:val="single" w:color="000000" w:sz="4" w:space="0"/>
              <w:left w:val="nil"/>
              <w:bottom w:val="single" w:color="000000" w:sz="4" w:space="0"/>
              <w:right w:val="single" w:color="000000" w:sz="4" w:space="0"/>
            </w:tcBorders>
            <w:vAlign w:val="center"/>
          </w:tcPr>
          <w:p>
            <w:pPr>
              <w:spacing w:line="400" w:lineRule="exact"/>
              <w:rPr>
                <w:rFonts w:eastAsia="仿宋_GB2312"/>
                <w:color w:val="auto"/>
                <w:sz w:val="30"/>
                <w:szCs w:val="30"/>
                <w:highlight w:val="none"/>
              </w:rPr>
            </w:pPr>
          </w:p>
        </w:tc>
      </w:tr>
      <w:tr>
        <w:tblPrEx>
          <w:tblLayout w:type="fixed"/>
          <w:tblCellMar>
            <w:top w:w="0" w:type="dxa"/>
            <w:left w:w="108" w:type="dxa"/>
            <w:bottom w:w="0" w:type="dxa"/>
            <w:right w:w="108" w:type="dxa"/>
          </w:tblCellMar>
        </w:tblPrEx>
        <w:trPr>
          <w:trHeight w:val="454" w:hRule="atLeast"/>
          <w:jc w:val="center"/>
        </w:trPr>
        <w:tc>
          <w:tcPr>
            <w:tcW w:w="157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仿宋_GB2312"/>
                <w:color w:val="auto"/>
                <w:sz w:val="30"/>
                <w:szCs w:val="30"/>
                <w:highlight w:val="none"/>
              </w:rPr>
            </w:pPr>
            <w:r>
              <w:rPr>
                <w:rFonts w:eastAsia="仿宋_GB2312"/>
                <w:color w:val="auto"/>
                <w:sz w:val="30"/>
                <w:szCs w:val="30"/>
                <w:highlight w:val="none"/>
              </w:rPr>
              <w:t>20</w:t>
            </w:r>
            <w:r>
              <w:rPr>
                <w:rFonts w:hint="eastAsia" w:eastAsia="仿宋_GB2312"/>
                <w:color w:val="auto"/>
                <w:sz w:val="30"/>
                <w:szCs w:val="30"/>
                <w:highlight w:val="none"/>
                <w:lang w:val="en-US" w:eastAsia="zh-CN"/>
              </w:rPr>
              <w:t>19</w:t>
            </w:r>
            <w:r>
              <w:rPr>
                <w:rFonts w:eastAsia="仿宋_GB2312"/>
                <w:color w:val="auto"/>
                <w:sz w:val="30"/>
                <w:szCs w:val="30"/>
                <w:highlight w:val="none"/>
              </w:rPr>
              <w:t>年</w:t>
            </w:r>
          </w:p>
        </w:tc>
        <w:tc>
          <w:tcPr>
            <w:tcW w:w="1774" w:type="dxa"/>
            <w:tcBorders>
              <w:top w:val="single" w:color="000000" w:sz="4" w:space="0"/>
              <w:left w:val="nil"/>
              <w:bottom w:val="single" w:color="000000" w:sz="4" w:space="0"/>
              <w:right w:val="single" w:color="000000" w:sz="4" w:space="0"/>
            </w:tcBorders>
            <w:vAlign w:val="center"/>
          </w:tcPr>
          <w:p>
            <w:pPr>
              <w:spacing w:line="400" w:lineRule="exact"/>
              <w:jc w:val="center"/>
              <w:rPr>
                <w:rFonts w:hint="default" w:eastAsia="仿宋_GB2312"/>
                <w:color w:val="auto"/>
                <w:sz w:val="30"/>
                <w:szCs w:val="30"/>
                <w:highlight w:val="none"/>
                <w:lang w:val="en-US" w:eastAsia="zh-CN"/>
              </w:rPr>
            </w:pPr>
            <w:r>
              <w:rPr>
                <w:rFonts w:hint="eastAsia" w:eastAsia="仿宋_GB2312"/>
                <w:color w:val="auto"/>
                <w:sz w:val="30"/>
                <w:szCs w:val="30"/>
                <w:highlight w:val="none"/>
                <w:lang w:val="en-US" w:eastAsia="zh-CN"/>
              </w:rPr>
              <w:t>85485632</w:t>
            </w:r>
          </w:p>
        </w:tc>
        <w:tc>
          <w:tcPr>
            <w:tcW w:w="1559" w:type="dxa"/>
            <w:tcBorders>
              <w:top w:val="single" w:color="000000" w:sz="4" w:space="0"/>
              <w:left w:val="nil"/>
              <w:bottom w:val="single" w:color="000000" w:sz="4" w:space="0"/>
              <w:right w:val="single" w:color="000000" w:sz="4" w:space="0"/>
            </w:tcBorders>
            <w:vAlign w:val="center"/>
          </w:tcPr>
          <w:p>
            <w:pPr>
              <w:spacing w:line="400" w:lineRule="exact"/>
              <w:jc w:val="center"/>
              <w:rPr>
                <w:rFonts w:hint="default" w:eastAsia="仿宋_GB2312"/>
                <w:color w:val="auto"/>
                <w:sz w:val="30"/>
                <w:szCs w:val="30"/>
                <w:highlight w:val="none"/>
                <w:lang w:val="en-US" w:eastAsia="zh-CN"/>
              </w:rPr>
            </w:pPr>
            <w:r>
              <w:rPr>
                <w:rFonts w:hint="eastAsia" w:eastAsia="仿宋_GB2312"/>
                <w:color w:val="auto"/>
                <w:sz w:val="30"/>
                <w:szCs w:val="30"/>
                <w:highlight w:val="none"/>
                <w:lang w:val="en-US" w:eastAsia="zh-CN"/>
              </w:rPr>
              <w:t>6801</w:t>
            </w:r>
          </w:p>
        </w:tc>
        <w:tc>
          <w:tcPr>
            <w:tcW w:w="2011" w:type="dxa"/>
            <w:tcBorders>
              <w:top w:val="single" w:color="000000" w:sz="4" w:space="0"/>
              <w:left w:val="nil"/>
              <w:bottom w:val="single" w:color="000000" w:sz="4" w:space="0"/>
              <w:right w:val="single" w:color="000000" w:sz="4" w:space="0"/>
            </w:tcBorders>
            <w:vAlign w:val="center"/>
          </w:tcPr>
          <w:p>
            <w:pPr>
              <w:spacing w:line="400" w:lineRule="exact"/>
              <w:jc w:val="center"/>
              <w:rPr>
                <w:rFonts w:hint="default" w:eastAsia="仿宋_GB2312"/>
                <w:color w:val="auto"/>
                <w:sz w:val="30"/>
                <w:szCs w:val="30"/>
                <w:highlight w:val="none"/>
                <w:lang w:val="en-US" w:eastAsia="zh-CN"/>
              </w:rPr>
            </w:pPr>
            <w:r>
              <w:rPr>
                <w:rFonts w:eastAsia="仿宋_GB2312"/>
                <w:color w:val="auto"/>
                <w:sz w:val="30"/>
                <w:szCs w:val="30"/>
                <w:highlight w:val="none"/>
              </w:rPr>
              <w:t>1</w:t>
            </w:r>
            <w:r>
              <w:rPr>
                <w:rFonts w:hint="eastAsia" w:eastAsia="仿宋_GB2312"/>
                <w:color w:val="auto"/>
                <w:sz w:val="30"/>
                <w:szCs w:val="30"/>
                <w:highlight w:val="none"/>
                <w:lang w:val="en-US" w:eastAsia="zh-CN"/>
              </w:rPr>
              <w:t>2569.57</w:t>
            </w:r>
          </w:p>
        </w:tc>
        <w:tc>
          <w:tcPr>
            <w:tcW w:w="1405" w:type="dxa"/>
            <w:tcBorders>
              <w:top w:val="single" w:color="000000" w:sz="4" w:space="0"/>
              <w:left w:val="nil"/>
              <w:bottom w:val="single" w:color="000000" w:sz="4" w:space="0"/>
              <w:right w:val="single" w:color="000000" w:sz="4" w:space="0"/>
            </w:tcBorders>
            <w:vAlign w:val="center"/>
          </w:tcPr>
          <w:p>
            <w:pPr>
              <w:spacing w:line="400" w:lineRule="exact"/>
              <w:jc w:val="center"/>
              <w:rPr>
                <w:rFonts w:eastAsia="仿宋_GB2312"/>
                <w:color w:val="auto"/>
                <w:sz w:val="30"/>
                <w:szCs w:val="30"/>
                <w:highlight w:val="none"/>
              </w:rPr>
            </w:pPr>
            <w:r>
              <w:rPr>
                <w:rFonts w:hint="eastAsia" w:eastAsia="仿宋_GB2312"/>
                <w:color w:val="auto"/>
                <w:sz w:val="30"/>
                <w:szCs w:val="3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72" w:type="dxa"/>
            <w:vAlign w:val="center"/>
          </w:tcPr>
          <w:p>
            <w:pPr>
              <w:spacing w:line="400" w:lineRule="exact"/>
              <w:jc w:val="center"/>
              <w:rPr>
                <w:rFonts w:eastAsia="仿宋_GB2312"/>
                <w:color w:val="auto"/>
                <w:sz w:val="30"/>
                <w:szCs w:val="30"/>
                <w:highlight w:val="none"/>
              </w:rPr>
            </w:pPr>
            <w:r>
              <w:rPr>
                <w:rFonts w:eastAsia="仿宋_GB2312"/>
                <w:color w:val="auto"/>
                <w:sz w:val="30"/>
                <w:szCs w:val="30"/>
                <w:highlight w:val="none"/>
              </w:rPr>
              <w:t>20</w:t>
            </w:r>
            <w:r>
              <w:rPr>
                <w:rFonts w:hint="eastAsia" w:eastAsia="仿宋_GB2312"/>
                <w:color w:val="auto"/>
                <w:sz w:val="30"/>
                <w:szCs w:val="30"/>
                <w:highlight w:val="none"/>
                <w:lang w:val="en-US" w:eastAsia="zh-CN"/>
              </w:rPr>
              <w:t>20</w:t>
            </w:r>
            <w:r>
              <w:rPr>
                <w:rFonts w:eastAsia="仿宋_GB2312"/>
                <w:color w:val="auto"/>
                <w:sz w:val="30"/>
                <w:szCs w:val="30"/>
                <w:highlight w:val="none"/>
              </w:rPr>
              <w:t>年</w:t>
            </w:r>
          </w:p>
        </w:tc>
        <w:tc>
          <w:tcPr>
            <w:tcW w:w="1774" w:type="dxa"/>
            <w:vAlign w:val="center"/>
          </w:tcPr>
          <w:p>
            <w:pPr>
              <w:spacing w:line="400" w:lineRule="exact"/>
              <w:jc w:val="center"/>
              <w:rPr>
                <w:rFonts w:hint="default" w:eastAsia="仿宋_GB2312"/>
                <w:color w:val="auto"/>
                <w:sz w:val="30"/>
                <w:szCs w:val="30"/>
                <w:highlight w:val="none"/>
                <w:lang w:val="en-US" w:eastAsia="zh-CN"/>
              </w:rPr>
            </w:pPr>
            <w:r>
              <w:rPr>
                <w:rFonts w:hint="eastAsia" w:eastAsia="仿宋_GB2312"/>
                <w:color w:val="auto"/>
                <w:sz w:val="30"/>
                <w:szCs w:val="30"/>
                <w:highlight w:val="none"/>
                <w:lang w:val="en-US" w:eastAsia="zh-CN"/>
              </w:rPr>
              <w:t>123277868</w:t>
            </w:r>
          </w:p>
        </w:tc>
        <w:tc>
          <w:tcPr>
            <w:tcW w:w="1559" w:type="dxa"/>
            <w:vAlign w:val="center"/>
          </w:tcPr>
          <w:p>
            <w:pPr>
              <w:spacing w:line="400" w:lineRule="exact"/>
              <w:jc w:val="center"/>
              <w:rPr>
                <w:rFonts w:hint="default" w:eastAsia="仿宋_GB2312"/>
                <w:color w:val="auto"/>
                <w:sz w:val="30"/>
                <w:szCs w:val="30"/>
                <w:highlight w:val="none"/>
                <w:lang w:val="en-US" w:eastAsia="zh-CN"/>
              </w:rPr>
            </w:pPr>
            <w:r>
              <w:rPr>
                <w:rFonts w:hint="eastAsia" w:eastAsia="仿宋_GB2312"/>
                <w:color w:val="auto"/>
                <w:sz w:val="30"/>
                <w:szCs w:val="30"/>
                <w:highlight w:val="none"/>
                <w:lang w:val="en-US" w:eastAsia="zh-CN"/>
              </w:rPr>
              <w:t>7131</w:t>
            </w:r>
          </w:p>
        </w:tc>
        <w:tc>
          <w:tcPr>
            <w:tcW w:w="2011" w:type="dxa"/>
            <w:vAlign w:val="center"/>
          </w:tcPr>
          <w:p>
            <w:pPr>
              <w:spacing w:line="400" w:lineRule="exact"/>
              <w:jc w:val="center"/>
              <w:rPr>
                <w:rFonts w:hint="default" w:eastAsia="仿宋_GB2312"/>
                <w:color w:val="auto"/>
                <w:sz w:val="30"/>
                <w:szCs w:val="30"/>
                <w:highlight w:val="none"/>
                <w:lang w:val="en-US" w:eastAsia="zh-CN"/>
              </w:rPr>
            </w:pPr>
            <w:r>
              <w:rPr>
                <w:rFonts w:eastAsia="仿宋_GB2312"/>
                <w:color w:val="auto"/>
                <w:sz w:val="30"/>
                <w:szCs w:val="30"/>
                <w:highlight w:val="none"/>
              </w:rPr>
              <w:t>1</w:t>
            </w:r>
            <w:r>
              <w:rPr>
                <w:rFonts w:hint="eastAsia" w:eastAsia="仿宋_GB2312"/>
                <w:color w:val="auto"/>
                <w:sz w:val="30"/>
                <w:szCs w:val="30"/>
                <w:highlight w:val="none"/>
                <w:lang w:val="en-US" w:eastAsia="zh-CN"/>
              </w:rPr>
              <w:t>7287.6</w:t>
            </w:r>
          </w:p>
        </w:tc>
        <w:tc>
          <w:tcPr>
            <w:tcW w:w="1405" w:type="dxa"/>
            <w:vAlign w:val="center"/>
          </w:tcPr>
          <w:p>
            <w:pPr>
              <w:spacing w:line="400" w:lineRule="exact"/>
              <w:jc w:val="center"/>
              <w:rPr>
                <w:rFonts w:hint="default" w:eastAsia="仿宋_GB2312"/>
                <w:color w:val="auto"/>
                <w:sz w:val="30"/>
                <w:szCs w:val="30"/>
                <w:highlight w:val="none"/>
                <w:lang w:val="en-US" w:eastAsia="zh-CN"/>
              </w:rPr>
            </w:pPr>
            <w:r>
              <w:rPr>
                <w:rFonts w:hint="eastAsia" w:eastAsia="仿宋_GB2312"/>
                <w:color w:val="auto"/>
                <w:sz w:val="30"/>
                <w:szCs w:val="30"/>
                <w:highlight w:val="none"/>
                <w:lang w:val="en-US" w:eastAsia="zh-CN"/>
              </w:rPr>
              <w:t>37.54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72" w:type="dxa"/>
            <w:vAlign w:val="center"/>
          </w:tcPr>
          <w:p>
            <w:pPr>
              <w:spacing w:line="400" w:lineRule="exact"/>
              <w:jc w:val="center"/>
              <w:rPr>
                <w:rFonts w:eastAsia="仿宋_GB2312"/>
                <w:color w:val="auto"/>
                <w:sz w:val="30"/>
                <w:szCs w:val="30"/>
                <w:highlight w:val="none"/>
              </w:rPr>
            </w:pPr>
            <w:r>
              <w:rPr>
                <w:rFonts w:eastAsia="仿宋_GB2312"/>
                <w:color w:val="auto"/>
                <w:sz w:val="30"/>
                <w:szCs w:val="30"/>
                <w:highlight w:val="none"/>
              </w:rPr>
              <w:t>20</w:t>
            </w:r>
            <w:r>
              <w:rPr>
                <w:rFonts w:hint="eastAsia" w:eastAsia="仿宋_GB2312"/>
                <w:color w:val="auto"/>
                <w:sz w:val="30"/>
                <w:szCs w:val="30"/>
                <w:highlight w:val="none"/>
                <w:lang w:val="en-US" w:eastAsia="zh-CN"/>
              </w:rPr>
              <w:t>21</w:t>
            </w:r>
            <w:r>
              <w:rPr>
                <w:rFonts w:eastAsia="仿宋_GB2312"/>
                <w:color w:val="auto"/>
                <w:sz w:val="30"/>
                <w:szCs w:val="30"/>
                <w:highlight w:val="none"/>
              </w:rPr>
              <w:t>年</w:t>
            </w:r>
          </w:p>
        </w:tc>
        <w:tc>
          <w:tcPr>
            <w:tcW w:w="1774" w:type="dxa"/>
            <w:vAlign w:val="center"/>
          </w:tcPr>
          <w:p>
            <w:pPr>
              <w:spacing w:line="400" w:lineRule="exact"/>
              <w:jc w:val="center"/>
              <w:rPr>
                <w:rFonts w:hint="default" w:eastAsia="仿宋_GB2312"/>
                <w:color w:val="auto"/>
                <w:sz w:val="30"/>
                <w:szCs w:val="30"/>
                <w:highlight w:val="none"/>
                <w:lang w:val="en-US" w:eastAsia="zh-CN"/>
              </w:rPr>
            </w:pPr>
            <w:r>
              <w:rPr>
                <w:rFonts w:hint="eastAsia" w:eastAsia="仿宋_GB2312"/>
                <w:color w:val="auto"/>
                <w:sz w:val="30"/>
                <w:szCs w:val="30"/>
                <w:highlight w:val="none"/>
                <w:lang w:val="en-US" w:eastAsia="zh-CN"/>
              </w:rPr>
              <w:t>129023030</w:t>
            </w:r>
          </w:p>
        </w:tc>
        <w:tc>
          <w:tcPr>
            <w:tcW w:w="1559" w:type="dxa"/>
            <w:vAlign w:val="center"/>
          </w:tcPr>
          <w:p>
            <w:pPr>
              <w:spacing w:line="400" w:lineRule="exact"/>
              <w:jc w:val="center"/>
              <w:rPr>
                <w:rFonts w:hint="default" w:eastAsia="仿宋_GB2312"/>
                <w:color w:val="auto"/>
                <w:sz w:val="30"/>
                <w:szCs w:val="30"/>
                <w:highlight w:val="none"/>
                <w:lang w:val="en-US" w:eastAsia="zh-CN"/>
              </w:rPr>
            </w:pPr>
            <w:r>
              <w:rPr>
                <w:rFonts w:hint="eastAsia" w:eastAsia="仿宋_GB2312"/>
                <w:color w:val="auto"/>
                <w:sz w:val="30"/>
                <w:szCs w:val="30"/>
                <w:highlight w:val="none"/>
                <w:lang w:val="en-US" w:eastAsia="zh-CN"/>
              </w:rPr>
              <w:t>7359</w:t>
            </w:r>
          </w:p>
        </w:tc>
        <w:tc>
          <w:tcPr>
            <w:tcW w:w="2011" w:type="dxa"/>
            <w:vAlign w:val="center"/>
          </w:tcPr>
          <w:p>
            <w:pPr>
              <w:spacing w:line="400" w:lineRule="exact"/>
              <w:jc w:val="center"/>
              <w:rPr>
                <w:rFonts w:hint="default" w:eastAsia="仿宋_GB2312"/>
                <w:color w:val="auto"/>
                <w:sz w:val="30"/>
                <w:szCs w:val="30"/>
                <w:highlight w:val="none"/>
                <w:lang w:val="en-US" w:eastAsia="zh-CN"/>
              </w:rPr>
            </w:pPr>
            <w:r>
              <w:rPr>
                <w:rFonts w:eastAsia="仿宋_GB2312"/>
                <w:color w:val="auto"/>
                <w:sz w:val="30"/>
                <w:szCs w:val="30"/>
                <w:highlight w:val="none"/>
              </w:rPr>
              <w:t>1</w:t>
            </w:r>
            <w:r>
              <w:rPr>
                <w:rFonts w:hint="eastAsia" w:eastAsia="仿宋_GB2312"/>
                <w:color w:val="auto"/>
                <w:sz w:val="30"/>
                <w:szCs w:val="30"/>
                <w:highlight w:val="none"/>
                <w:lang w:val="en-US" w:eastAsia="zh-CN"/>
              </w:rPr>
              <w:t>7532.69</w:t>
            </w:r>
          </w:p>
        </w:tc>
        <w:tc>
          <w:tcPr>
            <w:tcW w:w="1405" w:type="dxa"/>
            <w:vAlign w:val="center"/>
          </w:tcPr>
          <w:p>
            <w:pPr>
              <w:spacing w:line="400" w:lineRule="exact"/>
              <w:jc w:val="center"/>
              <w:rPr>
                <w:rFonts w:hint="default" w:eastAsia="仿宋_GB2312"/>
                <w:color w:val="auto"/>
                <w:sz w:val="30"/>
                <w:szCs w:val="30"/>
                <w:highlight w:val="none"/>
                <w:lang w:val="en-US" w:eastAsia="zh-CN"/>
              </w:rPr>
            </w:pPr>
            <w:r>
              <w:rPr>
                <w:rFonts w:hint="eastAsia" w:eastAsia="仿宋_GB2312"/>
                <w:color w:val="auto"/>
                <w:sz w:val="30"/>
                <w:szCs w:val="30"/>
                <w:highlight w:val="none"/>
                <w:lang w:val="en-US" w:eastAsia="zh-CN"/>
              </w:rPr>
              <w:t>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72" w:type="dxa"/>
            <w:vAlign w:val="center"/>
          </w:tcPr>
          <w:p>
            <w:pPr>
              <w:spacing w:line="400" w:lineRule="exact"/>
              <w:jc w:val="center"/>
              <w:rPr>
                <w:rFonts w:eastAsia="仿宋_GB2312"/>
                <w:color w:val="auto"/>
                <w:sz w:val="30"/>
                <w:szCs w:val="30"/>
                <w:highlight w:val="none"/>
              </w:rPr>
            </w:pPr>
            <w:r>
              <w:rPr>
                <w:rFonts w:eastAsia="仿宋_GB2312"/>
                <w:color w:val="auto"/>
                <w:sz w:val="30"/>
                <w:szCs w:val="30"/>
                <w:highlight w:val="none"/>
              </w:rPr>
              <w:t>20</w:t>
            </w:r>
            <w:r>
              <w:rPr>
                <w:rFonts w:hint="eastAsia" w:eastAsia="仿宋_GB2312"/>
                <w:color w:val="auto"/>
                <w:sz w:val="30"/>
                <w:szCs w:val="30"/>
                <w:highlight w:val="none"/>
                <w:lang w:val="en-US" w:eastAsia="zh-CN"/>
              </w:rPr>
              <w:t>22</w:t>
            </w:r>
            <w:r>
              <w:rPr>
                <w:rFonts w:eastAsia="仿宋_GB2312"/>
                <w:color w:val="auto"/>
                <w:sz w:val="30"/>
                <w:szCs w:val="30"/>
                <w:highlight w:val="none"/>
              </w:rPr>
              <w:t>年</w:t>
            </w:r>
          </w:p>
        </w:tc>
        <w:tc>
          <w:tcPr>
            <w:tcW w:w="1774" w:type="dxa"/>
            <w:vAlign w:val="center"/>
          </w:tcPr>
          <w:p>
            <w:pPr>
              <w:spacing w:line="400" w:lineRule="exact"/>
              <w:jc w:val="center"/>
              <w:rPr>
                <w:rFonts w:hint="default" w:eastAsia="仿宋_GB2312"/>
                <w:color w:val="auto"/>
                <w:sz w:val="30"/>
                <w:szCs w:val="30"/>
                <w:highlight w:val="none"/>
                <w:lang w:val="en-US" w:eastAsia="zh-CN"/>
              </w:rPr>
            </w:pPr>
            <w:r>
              <w:rPr>
                <w:rFonts w:hint="eastAsia" w:eastAsia="仿宋_GB2312"/>
                <w:color w:val="auto"/>
                <w:sz w:val="30"/>
                <w:szCs w:val="30"/>
                <w:highlight w:val="none"/>
                <w:lang w:val="en-US" w:eastAsia="zh-CN"/>
              </w:rPr>
              <w:t>138316120</w:t>
            </w:r>
          </w:p>
        </w:tc>
        <w:tc>
          <w:tcPr>
            <w:tcW w:w="1559" w:type="dxa"/>
            <w:vAlign w:val="center"/>
          </w:tcPr>
          <w:p>
            <w:pPr>
              <w:spacing w:line="400" w:lineRule="exact"/>
              <w:jc w:val="center"/>
              <w:rPr>
                <w:rFonts w:hint="default" w:eastAsia="仿宋_GB2312"/>
                <w:color w:val="auto"/>
                <w:sz w:val="30"/>
                <w:szCs w:val="30"/>
                <w:highlight w:val="none"/>
                <w:lang w:val="en-US" w:eastAsia="zh-CN"/>
              </w:rPr>
            </w:pPr>
            <w:r>
              <w:rPr>
                <w:rFonts w:hint="eastAsia" w:eastAsia="仿宋_GB2312"/>
                <w:color w:val="auto"/>
                <w:sz w:val="30"/>
                <w:szCs w:val="30"/>
                <w:highlight w:val="none"/>
                <w:lang w:val="en-US" w:eastAsia="zh-CN"/>
              </w:rPr>
              <w:t>7728</w:t>
            </w:r>
          </w:p>
        </w:tc>
        <w:tc>
          <w:tcPr>
            <w:tcW w:w="2011" w:type="dxa"/>
            <w:vAlign w:val="center"/>
          </w:tcPr>
          <w:p>
            <w:pPr>
              <w:spacing w:line="400" w:lineRule="exact"/>
              <w:jc w:val="center"/>
              <w:rPr>
                <w:rFonts w:hint="default" w:eastAsia="仿宋_GB2312"/>
                <w:color w:val="auto"/>
                <w:sz w:val="30"/>
                <w:szCs w:val="30"/>
                <w:highlight w:val="none"/>
                <w:lang w:val="en-US" w:eastAsia="zh-CN"/>
              </w:rPr>
            </w:pPr>
            <w:r>
              <w:rPr>
                <w:rFonts w:eastAsia="仿宋_GB2312"/>
                <w:color w:val="auto"/>
                <w:sz w:val="30"/>
                <w:szCs w:val="30"/>
                <w:highlight w:val="none"/>
              </w:rPr>
              <w:t>1</w:t>
            </w:r>
            <w:r>
              <w:rPr>
                <w:rFonts w:hint="eastAsia" w:eastAsia="仿宋_GB2312"/>
                <w:color w:val="auto"/>
                <w:sz w:val="30"/>
                <w:szCs w:val="30"/>
                <w:highlight w:val="none"/>
                <w:lang w:val="en-US" w:eastAsia="zh-CN"/>
              </w:rPr>
              <w:t>7898.05</w:t>
            </w:r>
          </w:p>
        </w:tc>
        <w:tc>
          <w:tcPr>
            <w:tcW w:w="1405" w:type="dxa"/>
            <w:vAlign w:val="center"/>
          </w:tcPr>
          <w:p>
            <w:pPr>
              <w:spacing w:line="400" w:lineRule="exact"/>
              <w:jc w:val="center"/>
              <w:rPr>
                <w:rFonts w:hint="default" w:eastAsia="仿宋_GB2312"/>
                <w:color w:val="auto"/>
                <w:sz w:val="30"/>
                <w:szCs w:val="30"/>
                <w:highlight w:val="none"/>
                <w:lang w:val="en-US" w:eastAsia="zh-CN"/>
              </w:rPr>
            </w:pPr>
            <w:r>
              <w:rPr>
                <w:rFonts w:hint="eastAsia" w:eastAsia="仿宋_GB2312"/>
                <w:color w:val="auto"/>
                <w:sz w:val="30"/>
                <w:szCs w:val="30"/>
                <w:highlight w:val="none"/>
                <w:lang w:val="en-US" w:eastAsia="zh-CN"/>
              </w:rPr>
              <w:t>2.08</w:t>
            </w:r>
          </w:p>
        </w:tc>
      </w:tr>
    </w:tbl>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 xml:space="preserve"> 第三个增长（10分）：生均预算内公用经费逐年增长</w:t>
      </w:r>
    </w:p>
    <w:p>
      <w:pPr>
        <w:spacing w:line="560" w:lineRule="exact"/>
        <w:ind w:firstLine="640" w:firstLineChars="200"/>
        <w:jc w:val="center"/>
        <w:rPr>
          <w:rFonts w:eastAsia="仿宋_GB2312"/>
          <w:color w:val="auto"/>
          <w:sz w:val="32"/>
          <w:szCs w:val="32"/>
          <w:highlight w:val="none"/>
        </w:rPr>
      </w:pPr>
      <w:r>
        <w:rPr>
          <w:rFonts w:eastAsia="仿宋_GB2312"/>
          <w:color w:val="auto"/>
          <w:sz w:val="32"/>
          <w:szCs w:val="32"/>
          <w:highlight w:val="none"/>
        </w:rPr>
        <w:t>小学生均预算内公用经费</w:t>
      </w:r>
    </w:p>
    <w:tbl>
      <w:tblPr>
        <w:tblStyle w:val="12"/>
        <w:tblW w:w="8390" w:type="dxa"/>
        <w:jc w:val="center"/>
        <w:tblInd w:w="0" w:type="dxa"/>
        <w:tblLayout w:type="fixed"/>
        <w:tblCellMar>
          <w:top w:w="0" w:type="dxa"/>
          <w:left w:w="108" w:type="dxa"/>
          <w:bottom w:w="0" w:type="dxa"/>
          <w:right w:w="108" w:type="dxa"/>
        </w:tblCellMar>
      </w:tblPr>
      <w:tblGrid>
        <w:gridCol w:w="1368"/>
        <w:gridCol w:w="2137"/>
        <w:gridCol w:w="1586"/>
        <w:gridCol w:w="2024"/>
        <w:gridCol w:w="1275"/>
      </w:tblGrid>
      <w:tr>
        <w:tblPrEx>
          <w:tblLayout w:type="fixed"/>
          <w:tblCellMar>
            <w:top w:w="0" w:type="dxa"/>
            <w:left w:w="108" w:type="dxa"/>
            <w:bottom w:w="0" w:type="dxa"/>
            <w:right w:w="108" w:type="dxa"/>
          </w:tblCellMar>
        </w:tblPrEx>
        <w:trPr>
          <w:trHeight w:val="624" w:hRule="atLeast"/>
          <w:jc w:val="center"/>
        </w:trPr>
        <w:tc>
          <w:tcPr>
            <w:tcW w:w="1368" w:type="dxa"/>
            <w:vMerge w:val="restart"/>
            <w:tcBorders>
              <w:top w:val="single" w:color="000000" w:sz="4" w:space="0"/>
              <w:left w:val="single" w:color="000000" w:sz="4" w:space="0"/>
              <w:bottom w:val="single" w:color="000000" w:sz="4" w:space="0"/>
              <w:right w:val="single" w:color="000000" w:sz="4" w:space="0"/>
              <w:tl2br w:val="single" w:color="auto" w:sz="4" w:space="0"/>
            </w:tcBorders>
            <w:vAlign w:val="center"/>
          </w:tcPr>
          <w:p>
            <w:pPr>
              <w:spacing w:line="400" w:lineRule="exact"/>
              <w:ind w:firstLine="450" w:firstLineChars="150"/>
              <w:jc w:val="center"/>
              <w:rPr>
                <w:rFonts w:eastAsia="仿宋_GB2312"/>
                <w:color w:val="auto"/>
                <w:sz w:val="30"/>
                <w:szCs w:val="30"/>
                <w:highlight w:val="none"/>
              </w:rPr>
            </w:pPr>
            <w:r>
              <w:rPr>
                <w:rFonts w:eastAsia="仿宋_GB2312"/>
                <w:color w:val="auto"/>
                <w:sz w:val="30"/>
                <w:szCs w:val="30"/>
                <w:highlight w:val="none"/>
              </w:rPr>
              <w:t>项目</w:t>
            </w:r>
          </w:p>
          <w:p>
            <w:pPr>
              <w:spacing w:line="400" w:lineRule="exact"/>
              <w:rPr>
                <w:rFonts w:eastAsia="仿宋_GB2312"/>
                <w:color w:val="auto"/>
                <w:sz w:val="30"/>
                <w:szCs w:val="30"/>
                <w:highlight w:val="none"/>
              </w:rPr>
            </w:pPr>
            <w:r>
              <w:rPr>
                <w:rFonts w:eastAsia="仿宋_GB2312"/>
                <w:color w:val="auto"/>
                <w:sz w:val="30"/>
                <w:szCs w:val="30"/>
                <w:highlight w:val="none"/>
              </w:rPr>
              <w:t>年度</w:t>
            </w:r>
          </w:p>
        </w:tc>
        <w:tc>
          <w:tcPr>
            <w:tcW w:w="2137" w:type="dxa"/>
            <w:vMerge w:val="restart"/>
            <w:tcBorders>
              <w:top w:val="single" w:color="000000" w:sz="4" w:space="0"/>
              <w:left w:val="nil"/>
              <w:bottom w:val="single" w:color="000000" w:sz="4" w:space="0"/>
              <w:right w:val="single" w:color="000000" w:sz="4" w:space="0"/>
            </w:tcBorders>
            <w:vAlign w:val="center"/>
          </w:tcPr>
          <w:p>
            <w:pPr>
              <w:spacing w:line="400" w:lineRule="exact"/>
              <w:jc w:val="center"/>
              <w:rPr>
                <w:rFonts w:eastAsia="仿宋_GB2312"/>
                <w:color w:val="auto"/>
                <w:sz w:val="30"/>
                <w:szCs w:val="30"/>
                <w:highlight w:val="none"/>
              </w:rPr>
            </w:pPr>
            <w:r>
              <w:rPr>
                <w:rFonts w:eastAsia="仿宋_GB2312"/>
                <w:color w:val="auto"/>
                <w:sz w:val="30"/>
                <w:szCs w:val="30"/>
                <w:highlight w:val="none"/>
              </w:rPr>
              <w:t>公用经费（元）</w:t>
            </w:r>
          </w:p>
        </w:tc>
        <w:tc>
          <w:tcPr>
            <w:tcW w:w="1586" w:type="dxa"/>
            <w:vMerge w:val="restart"/>
            <w:tcBorders>
              <w:top w:val="single" w:color="000000" w:sz="4" w:space="0"/>
              <w:left w:val="nil"/>
              <w:bottom w:val="single" w:color="000000" w:sz="4" w:space="0"/>
              <w:right w:val="single" w:color="000000" w:sz="4" w:space="0"/>
            </w:tcBorders>
            <w:vAlign w:val="center"/>
          </w:tcPr>
          <w:p>
            <w:pPr>
              <w:spacing w:line="400" w:lineRule="exact"/>
              <w:jc w:val="center"/>
              <w:rPr>
                <w:rFonts w:eastAsia="仿宋_GB2312"/>
                <w:color w:val="auto"/>
                <w:sz w:val="30"/>
                <w:szCs w:val="30"/>
                <w:highlight w:val="none"/>
              </w:rPr>
            </w:pPr>
            <w:r>
              <w:rPr>
                <w:rFonts w:eastAsia="仿宋_GB2312"/>
                <w:color w:val="auto"/>
                <w:sz w:val="30"/>
                <w:szCs w:val="30"/>
                <w:highlight w:val="none"/>
              </w:rPr>
              <w:t>在校生数</w:t>
            </w:r>
          </w:p>
        </w:tc>
        <w:tc>
          <w:tcPr>
            <w:tcW w:w="2024" w:type="dxa"/>
            <w:vMerge w:val="restart"/>
            <w:tcBorders>
              <w:top w:val="single" w:color="000000" w:sz="4" w:space="0"/>
              <w:left w:val="nil"/>
              <w:bottom w:val="single" w:color="000000" w:sz="4" w:space="0"/>
              <w:right w:val="single" w:color="000000" w:sz="4" w:space="0"/>
            </w:tcBorders>
            <w:vAlign w:val="center"/>
          </w:tcPr>
          <w:p>
            <w:pPr>
              <w:spacing w:line="400" w:lineRule="exact"/>
              <w:jc w:val="center"/>
              <w:rPr>
                <w:rFonts w:eastAsia="仿宋_GB2312"/>
                <w:color w:val="auto"/>
                <w:sz w:val="30"/>
                <w:szCs w:val="30"/>
                <w:highlight w:val="none"/>
              </w:rPr>
            </w:pPr>
            <w:r>
              <w:rPr>
                <w:rFonts w:eastAsia="仿宋_GB2312"/>
                <w:color w:val="auto"/>
                <w:sz w:val="30"/>
                <w:szCs w:val="30"/>
                <w:highlight w:val="none"/>
              </w:rPr>
              <w:t>生均公用经费（元）</w:t>
            </w:r>
          </w:p>
        </w:tc>
        <w:tc>
          <w:tcPr>
            <w:tcW w:w="1275" w:type="dxa"/>
            <w:vMerge w:val="restart"/>
            <w:tcBorders>
              <w:top w:val="single" w:color="000000" w:sz="4" w:space="0"/>
              <w:left w:val="nil"/>
              <w:bottom w:val="single" w:color="000000" w:sz="4" w:space="0"/>
              <w:right w:val="single" w:color="000000" w:sz="4" w:space="0"/>
            </w:tcBorders>
            <w:vAlign w:val="center"/>
          </w:tcPr>
          <w:p>
            <w:pPr>
              <w:spacing w:line="400" w:lineRule="exact"/>
              <w:jc w:val="center"/>
              <w:rPr>
                <w:rFonts w:eastAsia="仿宋_GB2312"/>
                <w:color w:val="auto"/>
                <w:sz w:val="30"/>
                <w:szCs w:val="30"/>
                <w:highlight w:val="none"/>
              </w:rPr>
            </w:pPr>
            <w:r>
              <w:rPr>
                <w:rFonts w:eastAsia="仿宋_GB2312"/>
                <w:color w:val="auto"/>
                <w:sz w:val="30"/>
                <w:szCs w:val="30"/>
                <w:highlight w:val="none"/>
              </w:rPr>
              <w:t>增长率%</w:t>
            </w:r>
          </w:p>
        </w:tc>
      </w:tr>
      <w:tr>
        <w:tblPrEx>
          <w:tblLayout w:type="fixed"/>
          <w:tblCellMar>
            <w:top w:w="0" w:type="dxa"/>
            <w:left w:w="108" w:type="dxa"/>
            <w:bottom w:w="0" w:type="dxa"/>
            <w:right w:w="108" w:type="dxa"/>
          </w:tblCellMar>
        </w:tblPrEx>
        <w:trPr>
          <w:trHeight w:val="400" w:hRule="atLeast"/>
          <w:jc w:val="center"/>
        </w:trPr>
        <w:tc>
          <w:tcPr>
            <w:tcW w:w="1368"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仿宋_GB2312"/>
                <w:color w:val="auto"/>
                <w:sz w:val="32"/>
                <w:szCs w:val="32"/>
                <w:highlight w:val="none"/>
              </w:rPr>
            </w:pPr>
          </w:p>
        </w:tc>
        <w:tc>
          <w:tcPr>
            <w:tcW w:w="2137" w:type="dxa"/>
            <w:vMerge w:val="continue"/>
            <w:tcBorders>
              <w:top w:val="single" w:color="000000" w:sz="4" w:space="0"/>
              <w:left w:val="nil"/>
              <w:bottom w:val="single" w:color="000000" w:sz="4" w:space="0"/>
              <w:right w:val="single" w:color="000000" w:sz="4" w:space="0"/>
            </w:tcBorders>
            <w:vAlign w:val="center"/>
          </w:tcPr>
          <w:p>
            <w:pPr>
              <w:spacing w:line="400" w:lineRule="exact"/>
              <w:jc w:val="center"/>
              <w:rPr>
                <w:rFonts w:eastAsia="仿宋_GB2312"/>
                <w:color w:val="auto"/>
                <w:sz w:val="32"/>
                <w:szCs w:val="32"/>
                <w:highlight w:val="none"/>
              </w:rPr>
            </w:pPr>
          </w:p>
        </w:tc>
        <w:tc>
          <w:tcPr>
            <w:tcW w:w="1586" w:type="dxa"/>
            <w:vMerge w:val="continue"/>
            <w:tcBorders>
              <w:top w:val="single" w:color="000000" w:sz="4" w:space="0"/>
              <w:left w:val="nil"/>
              <w:bottom w:val="single" w:color="000000" w:sz="4" w:space="0"/>
              <w:right w:val="single" w:color="000000" w:sz="4" w:space="0"/>
            </w:tcBorders>
            <w:vAlign w:val="center"/>
          </w:tcPr>
          <w:p>
            <w:pPr>
              <w:spacing w:line="400" w:lineRule="exact"/>
              <w:jc w:val="center"/>
              <w:rPr>
                <w:rFonts w:eastAsia="仿宋_GB2312"/>
                <w:color w:val="auto"/>
                <w:sz w:val="32"/>
                <w:szCs w:val="32"/>
                <w:highlight w:val="none"/>
              </w:rPr>
            </w:pPr>
          </w:p>
        </w:tc>
        <w:tc>
          <w:tcPr>
            <w:tcW w:w="2024" w:type="dxa"/>
            <w:vMerge w:val="continue"/>
            <w:tcBorders>
              <w:top w:val="single" w:color="000000" w:sz="4" w:space="0"/>
              <w:left w:val="nil"/>
              <w:bottom w:val="single" w:color="000000" w:sz="4" w:space="0"/>
              <w:right w:val="single" w:color="000000" w:sz="4" w:space="0"/>
            </w:tcBorders>
            <w:vAlign w:val="center"/>
          </w:tcPr>
          <w:p>
            <w:pPr>
              <w:spacing w:line="400" w:lineRule="exact"/>
              <w:jc w:val="center"/>
              <w:rPr>
                <w:rFonts w:eastAsia="仿宋_GB2312"/>
                <w:color w:val="auto"/>
                <w:sz w:val="32"/>
                <w:szCs w:val="32"/>
                <w:highlight w:val="none"/>
              </w:rPr>
            </w:pPr>
          </w:p>
        </w:tc>
        <w:tc>
          <w:tcPr>
            <w:tcW w:w="1275" w:type="dxa"/>
            <w:vMerge w:val="continue"/>
            <w:tcBorders>
              <w:top w:val="single" w:color="000000" w:sz="4" w:space="0"/>
              <w:left w:val="nil"/>
              <w:bottom w:val="single" w:color="000000" w:sz="4" w:space="0"/>
              <w:right w:val="single" w:color="000000" w:sz="4" w:space="0"/>
            </w:tcBorders>
            <w:vAlign w:val="center"/>
          </w:tcPr>
          <w:p>
            <w:pPr>
              <w:spacing w:line="400" w:lineRule="exact"/>
              <w:jc w:val="center"/>
              <w:rPr>
                <w:rFonts w:eastAsia="仿宋_GB2312"/>
                <w:color w:val="auto"/>
                <w:sz w:val="32"/>
                <w:szCs w:val="32"/>
                <w:highlight w:val="none"/>
              </w:rPr>
            </w:pPr>
          </w:p>
        </w:tc>
      </w:tr>
      <w:tr>
        <w:tblPrEx>
          <w:tblLayout w:type="fixed"/>
          <w:tblCellMar>
            <w:top w:w="0" w:type="dxa"/>
            <w:left w:w="108" w:type="dxa"/>
            <w:bottom w:w="0" w:type="dxa"/>
            <w:right w:w="108" w:type="dxa"/>
          </w:tblCellMar>
        </w:tblPrEx>
        <w:trPr>
          <w:trHeight w:val="454" w:hRule="atLeast"/>
          <w:jc w:val="center"/>
        </w:trPr>
        <w:tc>
          <w:tcPr>
            <w:tcW w:w="136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仿宋_GB2312"/>
                <w:color w:val="auto"/>
                <w:sz w:val="32"/>
                <w:szCs w:val="32"/>
                <w:highlight w:val="none"/>
              </w:rPr>
            </w:pPr>
            <w:r>
              <w:rPr>
                <w:rFonts w:eastAsia="仿宋_GB2312"/>
                <w:color w:val="auto"/>
                <w:sz w:val="30"/>
                <w:szCs w:val="30"/>
                <w:highlight w:val="none"/>
              </w:rPr>
              <w:t>20</w:t>
            </w:r>
            <w:r>
              <w:rPr>
                <w:rFonts w:hint="eastAsia" w:eastAsia="仿宋_GB2312"/>
                <w:color w:val="auto"/>
                <w:sz w:val="30"/>
                <w:szCs w:val="30"/>
                <w:highlight w:val="none"/>
                <w:lang w:val="en-US" w:eastAsia="zh-CN"/>
              </w:rPr>
              <w:t>19</w:t>
            </w:r>
            <w:r>
              <w:rPr>
                <w:rFonts w:eastAsia="仿宋_GB2312"/>
                <w:color w:val="auto"/>
                <w:sz w:val="30"/>
                <w:szCs w:val="30"/>
                <w:highlight w:val="none"/>
              </w:rPr>
              <w:t>年</w:t>
            </w:r>
          </w:p>
        </w:tc>
        <w:tc>
          <w:tcPr>
            <w:tcW w:w="2137" w:type="dxa"/>
            <w:tcBorders>
              <w:top w:val="single" w:color="000000" w:sz="4" w:space="0"/>
              <w:left w:val="nil"/>
              <w:bottom w:val="single" w:color="000000" w:sz="4" w:space="0"/>
              <w:right w:val="single" w:color="000000" w:sz="4" w:space="0"/>
            </w:tcBorders>
            <w:vAlign w:val="center"/>
          </w:tcPr>
          <w:p>
            <w:pPr>
              <w:spacing w:line="400" w:lineRule="exact"/>
              <w:jc w:val="center"/>
              <w:rPr>
                <w:rFonts w:hint="default" w:eastAsia="仿宋_GB2312"/>
                <w:color w:val="auto"/>
                <w:sz w:val="32"/>
                <w:szCs w:val="32"/>
                <w:highlight w:val="none"/>
                <w:lang w:val="en-US" w:eastAsia="zh-CN"/>
              </w:rPr>
            </w:pPr>
            <w:r>
              <w:rPr>
                <w:rFonts w:eastAsia="仿宋_GB2312"/>
                <w:color w:val="auto"/>
                <w:sz w:val="32"/>
                <w:szCs w:val="32"/>
                <w:highlight w:val="none"/>
              </w:rPr>
              <w:t>2</w:t>
            </w:r>
            <w:r>
              <w:rPr>
                <w:rFonts w:hint="eastAsia" w:eastAsia="仿宋_GB2312"/>
                <w:color w:val="auto"/>
                <w:sz w:val="32"/>
                <w:szCs w:val="32"/>
                <w:highlight w:val="none"/>
                <w:lang w:val="en-US" w:eastAsia="zh-CN"/>
              </w:rPr>
              <w:t>2820301</w:t>
            </w:r>
          </w:p>
        </w:tc>
        <w:tc>
          <w:tcPr>
            <w:tcW w:w="1586" w:type="dxa"/>
            <w:tcBorders>
              <w:top w:val="single" w:color="000000" w:sz="4" w:space="0"/>
              <w:left w:val="nil"/>
              <w:bottom w:val="single" w:color="000000" w:sz="4" w:space="0"/>
              <w:right w:val="single" w:color="000000" w:sz="4" w:space="0"/>
            </w:tcBorders>
            <w:vAlign w:val="center"/>
          </w:tcPr>
          <w:p>
            <w:pPr>
              <w:spacing w:line="400" w:lineRule="exact"/>
              <w:jc w:val="center"/>
              <w:rPr>
                <w:rFonts w:hint="default" w:eastAsia="仿宋_GB2312"/>
                <w:color w:val="auto"/>
                <w:sz w:val="32"/>
                <w:szCs w:val="32"/>
                <w:highlight w:val="none"/>
                <w:lang w:val="en-US" w:eastAsia="zh-CN"/>
              </w:rPr>
            </w:pPr>
            <w:r>
              <w:rPr>
                <w:rFonts w:eastAsia="仿宋_GB2312"/>
                <w:color w:val="auto"/>
                <w:sz w:val="32"/>
                <w:szCs w:val="32"/>
                <w:highlight w:val="none"/>
              </w:rPr>
              <w:t>1</w:t>
            </w:r>
            <w:r>
              <w:rPr>
                <w:rFonts w:hint="eastAsia" w:eastAsia="仿宋_GB2312"/>
                <w:color w:val="auto"/>
                <w:sz w:val="32"/>
                <w:szCs w:val="32"/>
                <w:highlight w:val="none"/>
                <w:lang w:val="en-US" w:eastAsia="zh-CN"/>
              </w:rPr>
              <w:t>8469</w:t>
            </w:r>
          </w:p>
        </w:tc>
        <w:tc>
          <w:tcPr>
            <w:tcW w:w="2024" w:type="dxa"/>
            <w:tcBorders>
              <w:top w:val="single" w:color="000000" w:sz="4" w:space="0"/>
              <w:left w:val="nil"/>
              <w:bottom w:val="single" w:color="000000" w:sz="4" w:space="0"/>
              <w:right w:val="single" w:color="000000" w:sz="4" w:space="0"/>
            </w:tcBorders>
            <w:vAlign w:val="center"/>
          </w:tcPr>
          <w:p>
            <w:pPr>
              <w:spacing w:line="400" w:lineRule="exact"/>
              <w:jc w:val="center"/>
              <w:rPr>
                <w:rFonts w:hint="default" w:eastAsia="仿宋_GB2312"/>
                <w:color w:val="auto"/>
                <w:sz w:val="32"/>
                <w:szCs w:val="32"/>
                <w:highlight w:val="none"/>
                <w:lang w:val="en-US" w:eastAsia="zh-CN"/>
              </w:rPr>
            </w:pPr>
            <w:r>
              <w:rPr>
                <w:rFonts w:eastAsia="仿宋_GB2312"/>
                <w:color w:val="auto"/>
                <w:sz w:val="32"/>
                <w:szCs w:val="32"/>
                <w:highlight w:val="none"/>
              </w:rPr>
              <w:t>1</w:t>
            </w:r>
            <w:r>
              <w:rPr>
                <w:rFonts w:hint="eastAsia" w:eastAsia="仿宋_GB2312"/>
                <w:color w:val="auto"/>
                <w:sz w:val="32"/>
                <w:szCs w:val="32"/>
                <w:highlight w:val="none"/>
                <w:lang w:val="en-US" w:eastAsia="zh-CN"/>
              </w:rPr>
              <w:t>235.60</w:t>
            </w:r>
          </w:p>
        </w:tc>
        <w:tc>
          <w:tcPr>
            <w:tcW w:w="1275" w:type="dxa"/>
            <w:tcBorders>
              <w:top w:val="single" w:color="000000" w:sz="4" w:space="0"/>
              <w:left w:val="nil"/>
              <w:bottom w:val="single" w:color="000000" w:sz="4" w:space="0"/>
              <w:right w:val="single" w:color="000000" w:sz="4" w:space="0"/>
            </w:tcBorders>
            <w:vAlign w:val="center"/>
          </w:tcPr>
          <w:p>
            <w:pPr>
              <w:spacing w:line="400" w:lineRule="exact"/>
              <w:jc w:val="center"/>
              <w:rPr>
                <w:rFonts w:eastAsia="仿宋_GB2312"/>
                <w:color w:val="auto"/>
                <w:sz w:val="32"/>
                <w:szCs w:val="32"/>
                <w:highlight w:val="none"/>
              </w:rPr>
            </w:pPr>
            <w:r>
              <w:rPr>
                <w:rFonts w:hint="eastAsia" w:eastAsia="仿宋_GB2312"/>
                <w:color w:val="auto"/>
                <w:sz w:val="32"/>
                <w:szCs w:val="3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8" w:type="dxa"/>
            <w:vAlign w:val="center"/>
          </w:tcPr>
          <w:p>
            <w:pPr>
              <w:spacing w:line="400" w:lineRule="exact"/>
              <w:jc w:val="center"/>
              <w:rPr>
                <w:rFonts w:eastAsia="仿宋_GB2312"/>
                <w:color w:val="auto"/>
                <w:sz w:val="32"/>
                <w:szCs w:val="32"/>
                <w:highlight w:val="none"/>
              </w:rPr>
            </w:pPr>
            <w:r>
              <w:rPr>
                <w:rFonts w:eastAsia="仿宋_GB2312"/>
                <w:color w:val="auto"/>
                <w:sz w:val="30"/>
                <w:szCs w:val="30"/>
                <w:highlight w:val="none"/>
              </w:rPr>
              <w:t>20</w:t>
            </w:r>
            <w:r>
              <w:rPr>
                <w:rFonts w:hint="eastAsia" w:eastAsia="仿宋_GB2312"/>
                <w:color w:val="auto"/>
                <w:sz w:val="30"/>
                <w:szCs w:val="30"/>
                <w:highlight w:val="none"/>
                <w:lang w:val="en-US" w:eastAsia="zh-CN"/>
              </w:rPr>
              <w:t>20</w:t>
            </w:r>
            <w:r>
              <w:rPr>
                <w:rFonts w:eastAsia="仿宋_GB2312"/>
                <w:color w:val="auto"/>
                <w:sz w:val="30"/>
                <w:szCs w:val="30"/>
                <w:highlight w:val="none"/>
              </w:rPr>
              <w:t>年</w:t>
            </w:r>
          </w:p>
        </w:tc>
        <w:tc>
          <w:tcPr>
            <w:tcW w:w="2137" w:type="dxa"/>
            <w:vAlign w:val="center"/>
          </w:tcPr>
          <w:p>
            <w:pPr>
              <w:spacing w:line="400" w:lineRule="exact"/>
              <w:jc w:val="center"/>
              <w:rPr>
                <w:rFonts w:hint="default" w:eastAsia="仿宋_GB2312"/>
                <w:color w:val="auto"/>
                <w:sz w:val="32"/>
                <w:szCs w:val="32"/>
                <w:highlight w:val="none"/>
                <w:lang w:val="en-US" w:eastAsia="zh-CN"/>
              </w:rPr>
            </w:pPr>
            <w:r>
              <w:rPr>
                <w:rFonts w:eastAsia="仿宋_GB2312"/>
                <w:color w:val="auto"/>
                <w:sz w:val="32"/>
                <w:szCs w:val="32"/>
                <w:highlight w:val="none"/>
              </w:rPr>
              <w:t>2</w:t>
            </w:r>
            <w:r>
              <w:rPr>
                <w:rFonts w:hint="eastAsia" w:eastAsia="仿宋_GB2312"/>
                <w:color w:val="auto"/>
                <w:sz w:val="32"/>
                <w:szCs w:val="32"/>
                <w:highlight w:val="none"/>
                <w:lang w:val="en-US" w:eastAsia="zh-CN"/>
              </w:rPr>
              <w:t>2889294</w:t>
            </w:r>
          </w:p>
        </w:tc>
        <w:tc>
          <w:tcPr>
            <w:tcW w:w="1586" w:type="dxa"/>
            <w:vAlign w:val="center"/>
          </w:tcPr>
          <w:p>
            <w:pPr>
              <w:spacing w:line="400" w:lineRule="exact"/>
              <w:jc w:val="center"/>
              <w:rPr>
                <w:rFonts w:hint="default" w:eastAsia="仿宋_GB2312"/>
                <w:color w:val="auto"/>
                <w:sz w:val="32"/>
                <w:szCs w:val="32"/>
                <w:highlight w:val="none"/>
                <w:lang w:val="en-US" w:eastAsia="zh-CN"/>
              </w:rPr>
            </w:pPr>
            <w:r>
              <w:rPr>
                <w:rFonts w:hint="eastAsia" w:eastAsia="仿宋_GB2312"/>
                <w:color w:val="auto"/>
                <w:sz w:val="32"/>
                <w:szCs w:val="32"/>
                <w:highlight w:val="none"/>
                <w:lang w:val="en-US" w:eastAsia="zh-CN"/>
              </w:rPr>
              <w:t>18514</w:t>
            </w:r>
          </w:p>
        </w:tc>
        <w:tc>
          <w:tcPr>
            <w:tcW w:w="2024" w:type="dxa"/>
            <w:vAlign w:val="center"/>
          </w:tcPr>
          <w:p>
            <w:pPr>
              <w:spacing w:line="400" w:lineRule="exact"/>
              <w:jc w:val="center"/>
              <w:rPr>
                <w:rFonts w:hint="default" w:eastAsia="仿宋_GB2312"/>
                <w:color w:val="auto"/>
                <w:sz w:val="32"/>
                <w:szCs w:val="32"/>
                <w:highlight w:val="none"/>
                <w:lang w:val="en-US" w:eastAsia="zh-CN"/>
              </w:rPr>
            </w:pPr>
            <w:r>
              <w:rPr>
                <w:rFonts w:eastAsia="仿宋_GB2312"/>
                <w:color w:val="auto"/>
                <w:sz w:val="32"/>
                <w:szCs w:val="32"/>
                <w:highlight w:val="none"/>
              </w:rPr>
              <w:t>12</w:t>
            </w:r>
            <w:r>
              <w:rPr>
                <w:rFonts w:hint="eastAsia" w:eastAsia="仿宋_GB2312"/>
                <w:color w:val="auto"/>
                <w:sz w:val="32"/>
                <w:szCs w:val="32"/>
                <w:highlight w:val="none"/>
                <w:lang w:val="en-US" w:eastAsia="zh-CN"/>
              </w:rPr>
              <w:t>36.32</w:t>
            </w:r>
          </w:p>
        </w:tc>
        <w:tc>
          <w:tcPr>
            <w:tcW w:w="1275" w:type="dxa"/>
            <w:vAlign w:val="center"/>
          </w:tcPr>
          <w:p>
            <w:pPr>
              <w:spacing w:line="400" w:lineRule="exact"/>
              <w:jc w:val="center"/>
              <w:rPr>
                <w:rFonts w:hint="default" w:eastAsia="仿宋_GB2312"/>
                <w:color w:val="auto"/>
                <w:sz w:val="32"/>
                <w:szCs w:val="32"/>
                <w:highlight w:val="none"/>
                <w:lang w:val="en-US" w:eastAsia="zh-CN"/>
              </w:rPr>
            </w:pPr>
            <w:r>
              <w:rPr>
                <w:rFonts w:hint="eastAsia" w:eastAsia="仿宋_GB2312"/>
                <w:color w:val="auto"/>
                <w:sz w:val="32"/>
                <w:szCs w:val="32"/>
                <w:highlight w:val="none"/>
                <w:lang w:val="en-US" w:eastAsia="zh-CN"/>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8" w:type="dxa"/>
            <w:vAlign w:val="center"/>
          </w:tcPr>
          <w:p>
            <w:pPr>
              <w:spacing w:line="400" w:lineRule="exact"/>
              <w:jc w:val="center"/>
              <w:rPr>
                <w:rFonts w:eastAsia="仿宋_GB2312"/>
                <w:color w:val="auto"/>
                <w:sz w:val="32"/>
                <w:szCs w:val="32"/>
                <w:highlight w:val="none"/>
              </w:rPr>
            </w:pPr>
            <w:r>
              <w:rPr>
                <w:rFonts w:eastAsia="仿宋_GB2312"/>
                <w:color w:val="auto"/>
                <w:sz w:val="30"/>
                <w:szCs w:val="30"/>
                <w:highlight w:val="none"/>
              </w:rPr>
              <w:t>20</w:t>
            </w:r>
            <w:r>
              <w:rPr>
                <w:rFonts w:hint="eastAsia" w:eastAsia="仿宋_GB2312"/>
                <w:color w:val="auto"/>
                <w:sz w:val="30"/>
                <w:szCs w:val="30"/>
                <w:highlight w:val="none"/>
                <w:lang w:val="en-US" w:eastAsia="zh-CN"/>
              </w:rPr>
              <w:t>21</w:t>
            </w:r>
            <w:r>
              <w:rPr>
                <w:rFonts w:eastAsia="仿宋_GB2312"/>
                <w:color w:val="auto"/>
                <w:sz w:val="30"/>
                <w:szCs w:val="30"/>
                <w:highlight w:val="none"/>
              </w:rPr>
              <w:t>年</w:t>
            </w:r>
          </w:p>
        </w:tc>
        <w:tc>
          <w:tcPr>
            <w:tcW w:w="2137" w:type="dxa"/>
            <w:vAlign w:val="center"/>
          </w:tcPr>
          <w:p>
            <w:pPr>
              <w:spacing w:line="400" w:lineRule="exact"/>
              <w:jc w:val="center"/>
              <w:rPr>
                <w:rFonts w:hint="default" w:eastAsia="仿宋_GB2312"/>
                <w:color w:val="auto"/>
                <w:sz w:val="32"/>
                <w:szCs w:val="32"/>
                <w:highlight w:val="none"/>
                <w:lang w:val="en-US" w:eastAsia="zh-CN"/>
              </w:rPr>
            </w:pPr>
            <w:r>
              <w:rPr>
                <w:rFonts w:eastAsia="仿宋_GB2312"/>
                <w:color w:val="auto"/>
                <w:sz w:val="32"/>
                <w:szCs w:val="32"/>
                <w:highlight w:val="none"/>
              </w:rPr>
              <w:t>2</w:t>
            </w:r>
            <w:r>
              <w:rPr>
                <w:rFonts w:hint="eastAsia" w:eastAsia="仿宋_GB2312"/>
                <w:color w:val="auto"/>
                <w:sz w:val="32"/>
                <w:szCs w:val="32"/>
                <w:highlight w:val="none"/>
                <w:lang w:val="en-US" w:eastAsia="zh-CN"/>
              </w:rPr>
              <w:t>3211531</w:t>
            </w:r>
          </w:p>
        </w:tc>
        <w:tc>
          <w:tcPr>
            <w:tcW w:w="1586" w:type="dxa"/>
            <w:vAlign w:val="center"/>
          </w:tcPr>
          <w:p>
            <w:pPr>
              <w:spacing w:line="400" w:lineRule="exact"/>
              <w:jc w:val="center"/>
              <w:rPr>
                <w:rFonts w:hint="default" w:eastAsia="仿宋_GB2312"/>
                <w:color w:val="auto"/>
                <w:sz w:val="32"/>
                <w:szCs w:val="32"/>
                <w:highlight w:val="none"/>
                <w:lang w:val="en-US" w:eastAsia="zh-CN"/>
              </w:rPr>
            </w:pPr>
            <w:r>
              <w:rPr>
                <w:rFonts w:eastAsia="仿宋_GB2312"/>
                <w:color w:val="auto"/>
                <w:sz w:val="32"/>
                <w:szCs w:val="32"/>
                <w:highlight w:val="none"/>
              </w:rPr>
              <w:t>1</w:t>
            </w:r>
            <w:r>
              <w:rPr>
                <w:rFonts w:hint="eastAsia" w:eastAsia="仿宋_GB2312"/>
                <w:color w:val="auto"/>
                <w:sz w:val="32"/>
                <w:szCs w:val="32"/>
                <w:highlight w:val="none"/>
                <w:lang w:val="en-US" w:eastAsia="zh-CN"/>
              </w:rPr>
              <w:t>8767</w:t>
            </w:r>
          </w:p>
        </w:tc>
        <w:tc>
          <w:tcPr>
            <w:tcW w:w="2024" w:type="dxa"/>
            <w:vAlign w:val="center"/>
          </w:tcPr>
          <w:p>
            <w:pPr>
              <w:spacing w:line="400" w:lineRule="exact"/>
              <w:jc w:val="center"/>
              <w:rPr>
                <w:rFonts w:hint="default" w:eastAsia="仿宋_GB2312"/>
                <w:color w:val="auto"/>
                <w:sz w:val="32"/>
                <w:szCs w:val="32"/>
                <w:highlight w:val="none"/>
                <w:lang w:val="en-US" w:eastAsia="zh-CN"/>
              </w:rPr>
            </w:pPr>
            <w:r>
              <w:rPr>
                <w:rFonts w:eastAsia="仿宋_GB2312"/>
                <w:color w:val="auto"/>
                <w:sz w:val="32"/>
                <w:szCs w:val="32"/>
                <w:highlight w:val="none"/>
              </w:rPr>
              <w:t>12</w:t>
            </w:r>
            <w:r>
              <w:rPr>
                <w:rFonts w:hint="eastAsia" w:eastAsia="仿宋_GB2312"/>
                <w:color w:val="auto"/>
                <w:sz w:val="32"/>
                <w:szCs w:val="32"/>
                <w:highlight w:val="none"/>
                <w:lang w:val="en-US" w:eastAsia="zh-CN"/>
              </w:rPr>
              <w:t>36.83</w:t>
            </w:r>
          </w:p>
        </w:tc>
        <w:tc>
          <w:tcPr>
            <w:tcW w:w="1275" w:type="dxa"/>
            <w:vAlign w:val="center"/>
          </w:tcPr>
          <w:p>
            <w:pPr>
              <w:spacing w:line="400" w:lineRule="exact"/>
              <w:jc w:val="center"/>
              <w:rPr>
                <w:rFonts w:hint="default" w:eastAsia="仿宋_GB2312"/>
                <w:color w:val="auto"/>
                <w:sz w:val="32"/>
                <w:szCs w:val="32"/>
                <w:highlight w:val="none"/>
                <w:lang w:val="en-US" w:eastAsia="zh-CN"/>
              </w:rPr>
            </w:pPr>
            <w:r>
              <w:rPr>
                <w:rFonts w:eastAsia="仿宋_GB2312"/>
                <w:color w:val="auto"/>
                <w:sz w:val="32"/>
                <w:szCs w:val="32"/>
                <w:highlight w:val="none"/>
              </w:rPr>
              <w:t>0.</w:t>
            </w:r>
            <w:r>
              <w:rPr>
                <w:rFonts w:hint="eastAsia" w:eastAsia="仿宋_GB2312"/>
                <w:color w:val="auto"/>
                <w:sz w:val="32"/>
                <w:szCs w:val="32"/>
                <w:highlight w:val="none"/>
                <w:lang w:val="en-US" w:eastAsia="zh-CN"/>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8" w:type="dxa"/>
            <w:vAlign w:val="center"/>
          </w:tcPr>
          <w:p>
            <w:pPr>
              <w:spacing w:line="400" w:lineRule="exact"/>
              <w:jc w:val="center"/>
              <w:rPr>
                <w:rFonts w:eastAsia="仿宋_GB2312"/>
                <w:color w:val="auto"/>
                <w:sz w:val="32"/>
                <w:szCs w:val="32"/>
                <w:highlight w:val="none"/>
              </w:rPr>
            </w:pPr>
            <w:r>
              <w:rPr>
                <w:rFonts w:eastAsia="仿宋_GB2312"/>
                <w:color w:val="auto"/>
                <w:sz w:val="30"/>
                <w:szCs w:val="30"/>
                <w:highlight w:val="none"/>
              </w:rPr>
              <w:t>20</w:t>
            </w:r>
            <w:r>
              <w:rPr>
                <w:rFonts w:hint="eastAsia" w:eastAsia="仿宋_GB2312"/>
                <w:color w:val="auto"/>
                <w:sz w:val="30"/>
                <w:szCs w:val="30"/>
                <w:highlight w:val="none"/>
                <w:lang w:val="en-US" w:eastAsia="zh-CN"/>
              </w:rPr>
              <w:t>22</w:t>
            </w:r>
            <w:r>
              <w:rPr>
                <w:rFonts w:eastAsia="仿宋_GB2312"/>
                <w:color w:val="auto"/>
                <w:sz w:val="30"/>
                <w:szCs w:val="30"/>
                <w:highlight w:val="none"/>
              </w:rPr>
              <w:t>年</w:t>
            </w:r>
          </w:p>
        </w:tc>
        <w:tc>
          <w:tcPr>
            <w:tcW w:w="2137" w:type="dxa"/>
            <w:vAlign w:val="center"/>
          </w:tcPr>
          <w:p>
            <w:pPr>
              <w:spacing w:line="400" w:lineRule="exact"/>
              <w:jc w:val="center"/>
              <w:rPr>
                <w:rFonts w:hint="default" w:eastAsia="仿宋_GB2312"/>
                <w:color w:val="auto"/>
                <w:sz w:val="32"/>
                <w:szCs w:val="32"/>
                <w:highlight w:val="none"/>
                <w:lang w:val="en-US" w:eastAsia="zh-CN"/>
              </w:rPr>
            </w:pPr>
            <w:r>
              <w:rPr>
                <w:rFonts w:eastAsia="仿宋_GB2312"/>
                <w:color w:val="auto"/>
                <w:sz w:val="32"/>
                <w:szCs w:val="32"/>
                <w:highlight w:val="none"/>
              </w:rPr>
              <w:t>2</w:t>
            </w:r>
            <w:r>
              <w:rPr>
                <w:rFonts w:hint="eastAsia" w:eastAsia="仿宋_GB2312"/>
                <w:color w:val="auto"/>
                <w:sz w:val="32"/>
                <w:szCs w:val="32"/>
                <w:highlight w:val="none"/>
                <w:lang w:val="en-US" w:eastAsia="zh-CN"/>
              </w:rPr>
              <w:t>3172581</w:t>
            </w:r>
          </w:p>
        </w:tc>
        <w:tc>
          <w:tcPr>
            <w:tcW w:w="1586" w:type="dxa"/>
            <w:vAlign w:val="center"/>
          </w:tcPr>
          <w:p>
            <w:pPr>
              <w:spacing w:line="400" w:lineRule="exact"/>
              <w:jc w:val="center"/>
              <w:rPr>
                <w:rFonts w:hint="default" w:eastAsia="仿宋_GB2312"/>
                <w:color w:val="auto"/>
                <w:sz w:val="32"/>
                <w:szCs w:val="32"/>
                <w:highlight w:val="none"/>
                <w:lang w:val="en-US" w:eastAsia="zh-CN"/>
              </w:rPr>
            </w:pPr>
            <w:r>
              <w:rPr>
                <w:rFonts w:eastAsia="仿宋_GB2312"/>
                <w:color w:val="auto"/>
                <w:sz w:val="32"/>
                <w:szCs w:val="32"/>
                <w:highlight w:val="none"/>
              </w:rPr>
              <w:t>18</w:t>
            </w:r>
            <w:r>
              <w:rPr>
                <w:rFonts w:hint="eastAsia" w:eastAsia="仿宋_GB2312"/>
                <w:color w:val="auto"/>
                <w:sz w:val="32"/>
                <w:szCs w:val="32"/>
                <w:highlight w:val="none"/>
                <w:lang w:val="en-US" w:eastAsia="zh-CN"/>
              </w:rPr>
              <w:t>733</w:t>
            </w:r>
          </w:p>
        </w:tc>
        <w:tc>
          <w:tcPr>
            <w:tcW w:w="2024" w:type="dxa"/>
            <w:vAlign w:val="center"/>
          </w:tcPr>
          <w:p>
            <w:pPr>
              <w:spacing w:line="400" w:lineRule="exact"/>
              <w:jc w:val="center"/>
              <w:rPr>
                <w:rFonts w:hint="default" w:eastAsia="仿宋_GB2312"/>
                <w:color w:val="auto"/>
                <w:sz w:val="32"/>
                <w:szCs w:val="32"/>
                <w:highlight w:val="none"/>
                <w:lang w:val="en-US" w:eastAsia="zh-CN"/>
              </w:rPr>
            </w:pPr>
            <w:r>
              <w:rPr>
                <w:rFonts w:eastAsia="仿宋_GB2312"/>
                <w:color w:val="auto"/>
                <w:sz w:val="32"/>
                <w:szCs w:val="32"/>
                <w:highlight w:val="none"/>
              </w:rPr>
              <w:t>12</w:t>
            </w:r>
            <w:r>
              <w:rPr>
                <w:rFonts w:hint="eastAsia" w:eastAsia="仿宋_GB2312"/>
                <w:color w:val="auto"/>
                <w:sz w:val="32"/>
                <w:szCs w:val="32"/>
                <w:highlight w:val="none"/>
                <w:lang w:val="en-US" w:eastAsia="zh-CN"/>
              </w:rPr>
              <w:t>36.99</w:t>
            </w:r>
          </w:p>
        </w:tc>
        <w:tc>
          <w:tcPr>
            <w:tcW w:w="1275" w:type="dxa"/>
            <w:vAlign w:val="center"/>
          </w:tcPr>
          <w:p>
            <w:pPr>
              <w:spacing w:line="400" w:lineRule="exact"/>
              <w:jc w:val="center"/>
              <w:rPr>
                <w:rFonts w:hint="default" w:eastAsia="仿宋_GB2312"/>
                <w:color w:val="auto"/>
                <w:sz w:val="32"/>
                <w:szCs w:val="32"/>
                <w:highlight w:val="none"/>
                <w:lang w:val="en-US" w:eastAsia="zh-CN"/>
              </w:rPr>
            </w:pPr>
            <w:r>
              <w:rPr>
                <w:rFonts w:eastAsia="仿宋_GB2312"/>
                <w:color w:val="auto"/>
                <w:sz w:val="32"/>
                <w:szCs w:val="32"/>
                <w:highlight w:val="none"/>
              </w:rPr>
              <w:t>0.</w:t>
            </w:r>
            <w:r>
              <w:rPr>
                <w:rFonts w:hint="eastAsia" w:eastAsia="仿宋_GB2312"/>
                <w:color w:val="auto"/>
                <w:sz w:val="32"/>
                <w:szCs w:val="32"/>
                <w:highlight w:val="none"/>
                <w:lang w:val="en-US" w:eastAsia="zh-CN"/>
              </w:rPr>
              <w:t>01</w:t>
            </w:r>
          </w:p>
        </w:tc>
      </w:tr>
    </w:tbl>
    <w:p>
      <w:pPr>
        <w:spacing w:line="560" w:lineRule="exact"/>
        <w:ind w:firstLine="640" w:firstLineChars="200"/>
        <w:jc w:val="center"/>
        <w:rPr>
          <w:rFonts w:eastAsia="仿宋_GB2312"/>
          <w:color w:val="auto"/>
          <w:sz w:val="32"/>
          <w:szCs w:val="32"/>
          <w:highlight w:val="none"/>
        </w:rPr>
      </w:pPr>
      <w:r>
        <w:rPr>
          <w:rFonts w:eastAsia="仿宋_GB2312"/>
          <w:color w:val="auto"/>
          <w:sz w:val="32"/>
          <w:szCs w:val="32"/>
          <w:highlight w:val="none"/>
        </w:rPr>
        <w:t>初中生均预算内公用经费逐年增长（5分）</w:t>
      </w:r>
    </w:p>
    <w:tbl>
      <w:tblPr>
        <w:tblStyle w:val="12"/>
        <w:tblW w:w="8413" w:type="dxa"/>
        <w:jc w:val="center"/>
        <w:tblInd w:w="0" w:type="dxa"/>
        <w:tblLayout w:type="fixed"/>
        <w:tblCellMar>
          <w:top w:w="0" w:type="dxa"/>
          <w:left w:w="108" w:type="dxa"/>
          <w:bottom w:w="0" w:type="dxa"/>
          <w:right w:w="108" w:type="dxa"/>
        </w:tblCellMar>
      </w:tblPr>
      <w:tblGrid>
        <w:gridCol w:w="1363"/>
        <w:gridCol w:w="1872"/>
        <w:gridCol w:w="1637"/>
        <w:gridCol w:w="1985"/>
        <w:gridCol w:w="1556"/>
      </w:tblGrid>
      <w:tr>
        <w:tblPrEx>
          <w:tblLayout w:type="fixed"/>
          <w:tblCellMar>
            <w:top w:w="0" w:type="dxa"/>
            <w:left w:w="108" w:type="dxa"/>
            <w:bottom w:w="0" w:type="dxa"/>
            <w:right w:w="108" w:type="dxa"/>
          </w:tblCellMar>
        </w:tblPrEx>
        <w:trPr>
          <w:trHeight w:val="624" w:hRule="atLeast"/>
          <w:jc w:val="center"/>
        </w:trPr>
        <w:tc>
          <w:tcPr>
            <w:tcW w:w="1363" w:type="dxa"/>
            <w:vMerge w:val="restart"/>
            <w:tcBorders>
              <w:top w:val="single" w:color="000000" w:sz="4" w:space="0"/>
              <w:left w:val="single" w:color="000000" w:sz="4" w:space="0"/>
              <w:bottom w:val="single" w:color="000000" w:sz="4" w:space="0"/>
              <w:right w:val="single" w:color="000000" w:sz="4" w:space="0"/>
              <w:tl2br w:val="single" w:color="auto" w:sz="4" w:space="0"/>
            </w:tcBorders>
            <w:vAlign w:val="center"/>
          </w:tcPr>
          <w:p>
            <w:pPr>
              <w:spacing w:line="400" w:lineRule="exact"/>
              <w:ind w:firstLine="450" w:firstLineChars="150"/>
              <w:rPr>
                <w:rFonts w:eastAsia="仿宋_GB2312"/>
                <w:color w:val="auto"/>
                <w:sz w:val="30"/>
                <w:szCs w:val="30"/>
                <w:highlight w:val="none"/>
              </w:rPr>
            </w:pPr>
            <w:r>
              <w:rPr>
                <w:rFonts w:eastAsia="仿宋_GB2312"/>
                <w:color w:val="auto"/>
                <w:sz w:val="30"/>
                <w:szCs w:val="30"/>
                <w:highlight w:val="none"/>
              </w:rPr>
              <w:t>项目</w:t>
            </w:r>
          </w:p>
          <w:p>
            <w:pPr>
              <w:spacing w:line="400" w:lineRule="exact"/>
              <w:rPr>
                <w:rFonts w:eastAsia="仿宋_GB2312"/>
                <w:color w:val="auto"/>
                <w:sz w:val="30"/>
                <w:szCs w:val="30"/>
                <w:highlight w:val="none"/>
              </w:rPr>
            </w:pPr>
            <w:r>
              <w:rPr>
                <w:rFonts w:eastAsia="仿宋_GB2312"/>
                <w:color w:val="auto"/>
                <w:sz w:val="30"/>
                <w:szCs w:val="30"/>
                <w:highlight w:val="none"/>
              </w:rPr>
              <w:t>年度</w:t>
            </w:r>
          </w:p>
        </w:tc>
        <w:tc>
          <w:tcPr>
            <w:tcW w:w="1872" w:type="dxa"/>
            <w:vMerge w:val="restart"/>
            <w:tcBorders>
              <w:top w:val="single" w:color="000000" w:sz="4" w:space="0"/>
              <w:left w:val="nil"/>
              <w:bottom w:val="single" w:color="000000" w:sz="4" w:space="0"/>
              <w:right w:val="single" w:color="000000" w:sz="4" w:space="0"/>
            </w:tcBorders>
            <w:vAlign w:val="center"/>
          </w:tcPr>
          <w:p>
            <w:pPr>
              <w:spacing w:line="400" w:lineRule="exact"/>
              <w:rPr>
                <w:rFonts w:eastAsia="仿宋_GB2312"/>
                <w:color w:val="auto"/>
                <w:sz w:val="30"/>
                <w:szCs w:val="30"/>
                <w:highlight w:val="none"/>
              </w:rPr>
            </w:pPr>
            <w:r>
              <w:rPr>
                <w:rFonts w:eastAsia="仿宋_GB2312"/>
                <w:color w:val="auto"/>
                <w:sz w:val="30"/>
                <w:szCs w:val="30"/>
                <w:highlight w:val="none"/>
              </w:rPr>
              <w:t>公用经费（元）</w:t>
            </w:r>
          </w:p>
        </w:tc>
        <w:tc>
          <w:tcPr>
            <w:tcW w:w="1637" w:type="dxa"/>
            <w:vMerge w:val="restart"/>
            <w:tcBorders>
              <w:top w:val="single" w:color="000000" w:sz="4" w:space="0"/>
              <w:left w:val="nil"/>
              <w:bottom w:val="single" w:color="000000" w:sz="4" w:space="0"/>
              <w:right w:val="single" w:color="000000" w:sz="4" w:space="0"/>
            </w:tcBorders>
            <w:vAlign w:val="center"/>
          </w:tcPr>
          <w:p>
            <w:pPr>
              <w:spacing w:line="400" w:lineRule="exact"/>
              <w:rPr>
                <w:rFonts w:eastAsia="仿宋_GB2312"/>
                <w:color w:val="auto"/>
                <w:sz w:val="30"/>
                <w:szCs w:val="30"/>
                <w:highlight w:val="none"/>
              </w:rPr>
            </w:pPr>
            <w:r>
              <w:rPr>
                <w:rFonts w:eastAsia="仿宋_GB2312"/>
                <w:color w:val="auto"/>
                <w:sz w:val="30"/>
                <w:szCs w:val="30"/>
                <w:highlight w:val="none"/>
              </w:rPr>
              <w:t>在校生数</w:t>
            </w:r>
          </w:p>
        </w:tc>
        <w:tc>
          <w:tcPr>
            <w:tcW w:w="1985" w:type="dxa"/>
            <w:vMerge w:val="restart"/>
            <w:tcBorders>
              <w:top w:val="single" w:color="000000" w:sz="4" w:space="0"/>
              <w:left w:val="nil"/>
              <w:bottom w:val="single" w:color="000000" w:sz="4" w:space="0"/>
              <w:right w:val="single" w:color="000000" w:sz="4" w:space="0"/>
            </w:tcBorders>
            <w:vAlign w:val="center"/>
          </w:tcPr>
          <w:p>
            <w:pPr>
              <w:spacing w:line="400" w:lineRule="exact"/>
              <w:rPr>
                <w:rFonts w:eastAsia="仿宋_GB2312"/>
                <w:color w:val="auto"/>
                <w:sz w:val="30"/>
                <w:szCs w:val="30"/>
                <w:highlight w:val="none"/>
              </w:rPr>
            </w:pPr>
            <w:r>
              <w:rPr>
                <w:rFonts w:eastAsia="仿宋_GB2312"/>
                <w:color w:val="auto"/>
                <w:sz w:val="30"/>
                <w:szCs w:val="30"/>
                <w:highlight w:val="none"/>
              </w:rPr>
              <w:t>生均公用经费（元）</w:t>
            </w:r>
          </w:p>
        </w:tc>
        <w:tc>
          <w:tcPr>
            <w:tcW w:w="1556" w:type="dxa"/>
            <w:vMerge w:val="restart"/>
            <w:tcBorders>
              <w:top w:val="single" w:color="000000" w:sz="4" w:space="0"/>
              <w:left w:val="nil"/>
              <w:bottom w:val="single" w:color="000000" w:sz="4" w:space="0"/>
              <w:right w:val="single" w:color="000000" w:sz="4" w:space="0"/>
            </w:tcBorders>
            <w:vAlign w:val="center"/>
          </w:tcPr>
          <w:p>
            <w:pPr>
              <w:spacing w:line="400" w:lineRule="exact"/>
              <w:rPr>
                <w:rFonts w:eastAsia="仿宋_GB2312"/>
                <w:color w:val="auto"/>
                <w:sz w:val="30"/>
                <w:szCs w:val="30"/>
                <w:highlight w:val="none"/>
              </w:rPr>
            </w:pPr>
            <w:r>
              <w:rPr>
                <w:rFonts w:eastAsia="仿宋_GB2312"/>
                <w:color w:val="auto"/>
                <w:sz w:val="30"/>
                <w:szCs w:val="30"/>
                <w:highlight w:val="none"/>
              </w:rPr>
              <w:t>增长率%</w:t>
            </w:r>
          </w:p>
        </w:tc>
      </w:tr>
      <w:tr>
        <w:tblPrEx>
          <w:tblLayout w:type="fixed"/>
          <w:tblCellMar>
            <w:top w:w="0" w:type="dxa"/>
            <w:left w:w="108" w:type="dxa"/>
            <w:bottom w:w="0" w:type="dxa"/>
            <w:right w:w="108" w:type="dxa"/>
          </w:tblCellMar>
        </w:tblPrEx>
        <w:trPr>
          <w:trHeight w:val="400" w:hRule="atLeast"/>
          <w:jc w:val="center"/>
        </w:trPr>
        <w:tc>
          <w:tcPr>
            <w:tcW w:w="1363"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rPr>
                <w:rFonts w:eastAsia="仿宋_GB2312"/>
                <w:color w:val="auto"/>
                <w:sz w:val="32"/>
                <w:szCs w:val="32"/>
                <w:highlight w:val="none"/>
              </w:rPr>
            </w:pPr>
          </w:p>
        </w:tc>
        <w:tc>
          <w:tcPr>
            <w:tcW w:w="1872" w:type="dxa"/>
            <w:vMerge w:val="continue"/>
            <w:tcBorders>
              <w:top w:val="single" w:color="000000" w:sz="4" w:space="0"/>
              <w:left w:val="nil"/>
              <w:bottom w:val="single" w:color="000000" w:sz="4" w:space="0"/>
              <w:right w:val="single" w:color="000000" w:sz="4" w:space="0"/>
            </w:tcBorders>
            <w:vAlign w:val="center"/>
          </w:tcPr>
          <w:p>
            <w:pPr>
              <w:spacing w:line="400" w:lineRule="exact"/>
              <w:rPr>
                <w:rFonts w:eastAsia="仿宋_GB2312"/>
                <w:color w:val="auto"/>
                <w:sz w:val="32"/>
                <w:szCs w:val="32"/>
                <w:highlight w:val="none"/>
              </w:rPr>
            </w:pPr>
          </w:p>
        </w:tc>
        <w:tc>
          <w:tcPr>
            <w:tcW w:w="1637" w:type="dxa"/>
            <w:vMerge w:val="continue"/>
            <w:tcBorders>
              <w:top w:val="single" w:color="000000" w:sz="4" w:space="0"/>
              <w:left w:val="nil"/>
              <w:bottom w:val="single" w:color="000000" w:sz="4" w:space="0"/>
              <w:right w:val="single" w:color="000000" w:sz="4" w:space="0"/>
            </w:tcBorders>
            <w:vAlign w:val="center"/>
          </w:tcPr>
          <w:p>
            <w:pPr>
              <w:spacing w:line="400" w:lineRule="exact"/>
              <w:rPr>
                <w:rFonts w:eastAsia="仿宋_GB2312"/>
                <w:color w:val="auto"/>
                <w:sz w:val="32"/>
                <w:szCs w:val="32"/>
                <w:highlight w:val="none"/>
              </w:rPr>
            </w:pPr>
          </w:p>
        </w:tc>
        <w:tc>
          <w:tcPr>
            <w:tcW w:w="1985" w:type="dxa"/>
            <w:vMerge w:val="continue"/>
            <w:tcBorders>
              <w:top w:val="single" w:color="000000" w:sz="4" w:space="0"/>
              <w:left w:val="nil"/>
              <w:bottom w:val="single" w:color="000000" w:sz="4" w:space="0"/>
              <w:right w:val="single" w:color="000000" w:sz="4" w:space="0"/>
            </w:tcBorders>
            <w:vAlign w:val="center"/>
          </w:tcPr>
          <w:p>
            <w:pPr>
              <w:spacing w:line="400" w:lineRule="exact"/>
              <w:rPr>
                <w:rFonts w:eastAsia="仿宋_GB2312"/>
                <w:color w:val="auto"/>
                <w:sz w:val="32"/>
                <w:szCs w:val="32"/>
                <w:highlight w:val="none"/>
              </w:rPr>
            </w:pPr>
          </w:p>
        </w:tc>
        <w:tc>
          <w:tcPr>
            <w:tcW w:w="1556" w:type="dxa"/>
            <w:vMerge w:val="continue"/>
            <w:tcBorders>
              <w:top w:val="single" w:color="000000" w:sz="4" w:space="0"/>
              <w:left w:val="nil"/>
              <w:bottom w:val="single" w:color="000000" w:sz="4" w:space="0"/>
              <w:right w:val="single" w:color="000000" w:sz="4" w:space="0"/>
            </w:tcBorders>
            <w:vAlign w:val="center"/>
          </w:tcPr>
          <w:p>
            <w:pPr>
              <w:spacing w:line="400" w:lineRule="exact"/>
              <w:rPr>
                <w:rFonts w:eastAsia="仿宋_GB2312"/>
                <w:color w:val="auto"/>
                <w:sz w:val="32"/>
                <w:szCs w:val="32"/>
                <w:highlight w:val="none"/>
              </w:rPr>
            </w:pPr>
          </w:p>
        </w:tc>
      </w:tr>
      <w:tr>
        <w:tblPrEx>
          <w:tblLayout w:type="fixed"/>
          <w:tblCellMar>
            <w:top w:w="0" w:type="dxa"/>
            <w:left w:w="108" w:type="dxa"/>
            <w:bottom w:w="0" w:type="dxa"/>
            <w:right w:w="108" w:type="dxa"/>
          </w:tblCellMar>
        </w:tblPrEx>
        <w:trPr>
          <w:trHeight w:val="454" w:hRule="atLeast"/>
          <w:jc w:val="center"/>
        </w:trPr>
        <w:tc>
          <w:tcPr>
            <w:tcW w:w="136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仿宋_GB2312"/>
                <w:color w:val="auto"/>
                <w:sz w:val="32"/>
                <w:szCs w:val="32"/>
                <w:highlight w:val="none"/>
              </w:rPr>
            </w:pPr>
            <w:r>
              <w:rPr>
                <w:rFonts w:eastAsia="仿宋_GB2312"/>
                <w:color w:val="auto"/>
                <w:sz w:val="30"/>
                <w:szCs w:val="30"/>
                <w:highlight w:val="none"/>
              </w:rPr>
              <w:t>20</w:t>
            </w:r>
            <w:r>
              <w:rPr>
                <w:rFonts w:hint="eastAsia" w:eastAsia="仿宋_GB2312"/>
                <w:color w:val="auto"/>
                <w:sz w:val="30"/>
                <w:szCs w:val="30"/>
                <w:highlight w:val="none"/>
                <w:lang w:val="en-US" w:eastAsia="zh-CN"/>
              </w:rPr>
              <w:t>19</w:t>
            </w:r>
            <w:r>
              <w:rPr>
                <w:rFonts w:eastAsia="仿宋_GB2312"/>
                <w:color w:val="auto"/>
                <w:sz w:val="30"/>
                <w:szCs w:val="30"/>
                <w:highlight w:val="none"/>
              </w:rPr>
              <w:t>年</w:t>
            </w:r>
          </w:p>
        </w:tc>
        <w:tc>
          <w:tcPr>
            <w:tcW w:w="1872" w:type="dxa"/>
            <w:tcBorders>
              <w:top w:val="single" w:color="000000" w:sz="4" w:space="0"/>
              <w:left w:val="nil"/>
              <w:bottom w:val="single" w:color="000000" w:sz="4" w:space="0"/>
              <w:right w:val="single" w:color="000000" w:sz="4" w:space="0"/>
            </w:tcBorders>
            <w:vAlign w:val="center"/>
          </w:tcPr>
          <w:p>
            <w:pPr>
              <w:spacing w:line="400" w:lineRule="exact"/>
              <w:jc w:val="center"/>
              <w:rPr>
                <w:rFonts w:hint="default" w:eastAsia="仿宋_GB2312"/>
                <w:color w:val="auto"/>
                <w:sz w:val="32"/>
                <w:szCs w:val="32"/>
                <w:highlight w:val="none"/>
                <w:lang w:val="en-US" w:eastAsia="zh-CN"/>
              </w:rPr>
            </w:pPr>
            <w:r>
              <w:rPr>
                <w:rFonts w:hint="eastAsia" w:eastAsia="仿宋_GB2312"/>
                <w:color w:val="auto"/>
                <w:sz w:val="32"/>
                <w:szCs w:val="32"/>
                <w:highlight w:val="none"/>
                <w:lang w:val="en-US" w:eastAsia="zh-CN"/>
              </w:rPr>
              <w:t>10955203</w:t>
            </w:r>
          </w:p>
        </w:tc>
        <w:tc>
          <w:tcPr>
            <w:tcW w:w="1637" w:type="dxa"/>
            <w:tcBorders>
              <w:top w:val="single" w:color="000000" w:sz="4" w:space="0"/>
              <w:left w:val="nil"/>
              <w:bottom w:val="single" w:color="000000" w:sz="4" w:space="0"/>
              <w:right w:val="single" w:color="000000" w:sz="4" w:space="0"/>
            </w:tcBorders>
            <w:vAlign w:val="center"/>
          </w:tcPr>
          <w:p>
            <w:pPr>
              <w:spacing w:line="400" w:lineRule="exact"/>
              <w:jc w:val="center"/>
              <w:rPr>
                <w:rFonts w:hint="default" w:eastAsia="仿宋_GB2312"/>
                <w:color w:val="auto"/>
                <w:sz w:val="32"/>
                <w:szCs w:val="32"/>
                <w:highlight w:val="none"/>
                <w:lang w:val="en-US" w:eastAsia="zh-CN"/>
              </w:rPr>
            </w:pPr>
            <w:r>
              <w:rPr>
                <w:rFonts w:hint="eastAsia" w:eastAsia="仿宋_GB2312"/>
                <w:color w:val="auto"/>
                <w:sz w:val="32"/>
                <w:szCs w:val="32"/>
                <w:highlight w:val="none"/>
                <w:lang w:val="en-US" w:eastAsia="zh-CN"/>
              </w:rPr>
              <w:t>6801</w:t>
            </w:r>
          </w:p>
        </w:tc>
        <w:tc>
          <w:tcPr>
            <w:tcW w:w="1985" w:type="dxa"/>
            <w:tcBorders>
              <w:top w:val="single" w:color="000000" w:sz="4" w:space="0"/>
              <w:left w:val="nil"/>
              <w:bottom w:val="single" w:color="000000" w:sz="4" w:space="0"/>
              <w:right w:val="single" w:color="000000" w:sz="4" w:space="0"/>
            </w:tcBorders>
            <w:vAlign w:val="center"/>
          </w:tcPr>
          <w:p>
            <w:pPr>
              <w:spacing w:line="400" w:lineRule="exact"/>
              <w:jc w:val="center"/>
              <w:rPr>
                <w:rFonts w:hint="default" w:eastAsia="仿宋_GB2312"/>
                <w:color w:val="auto"/>
                <w:sz w:val="32"/>
                <w:szCs w:val="32"/>
                <w:highlight w:val="none"/>
                <w:lang w:val="en-US" w:eastAsia="zh-CN"/>
              </w:rPr>
            </w:pPr>
            <w:r>
              <w:rPr>
                <w:rFonts w:eastAsia="仿宋_GB2312"/>
                <w:color w:val="auto"/>
                <w:sz w:val="32"/>
                <w:szCs w:val="32"/>
                <w:highlight w:val="none"/>
              </w:rPr>
              <w:t>1</w:t>
            </w:r>
            <w:r>
              <w:rPr>
                <w:rFonts w:hint="eastAsia" w:eastAsia="仿宋_GB2312"/>
                <w:color w:val="auto"/>
                <w:sz w:val="32"/>
                <w:szCs w:val="32"/>
                <w:highlight w:val="none"/>
                <w:lang w:val="en-US" w:eastAsia="zh-CN"/>
              </w:rPr>
              <w:t>610.82</w:t>
            </w:r>
          </w:p>
        </w:tc>
        <w:tc>
          <w:tcPr>
            <w:tcW w:w="1556" w:type="dxa"/>
            <w:tcBorders>
              <w:top w:val="single" w:color="000000" w:sz="4" w:space="0"/>
              <w:left w:val="nil"/>
              <w:bottom w:val="single" w:color="000000" w:sz="4" w:space="0"/>
              <w:right w:val="single" w:color="000000" w:sz="4" w:space="0"/>
            </w:tcBorders>
            <w:vAlign w:val="center"/>
          </w:tcPr>
          <w:p>
            <w:pPr>
              <w:spacing w:line="400" w:lineRule="exact"/>
              <w:jc w:val="center"/>
              <w:rPr>
                <w:rFonts w:eastAsia="仿宋_GB2312"/>
                <w:color w:val="auto"/>
                <w:sz w:val="32"/>
                <w:szCs w:val="32"/>
                <w:highlight w:val="none"/>
              </w:rPr>
            </w:pPr>
            <w:r>
              <w:rPr>
                <w:rFonts w:hint="eastAsia" w:eastAsia="仿宋_GB2312"/>
                <w:color w:val="auto"/>
                <w:sz w:val="32"/>
                <w:szCs w:val="3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3" w:type="dxa"/>
            <w:vAlign w:val="center"/>
          </w:tcPr>
          <w:p>
            <w:pPr>
              <w:spacing w:line="400" w:lineRule="exact"/>
              <w:jc w:val="center"/>
              <w:rPr>
                <w:rFonts w:eastAsia="仿宋_GB2312"/>
                <w:color w:val="auto"/>
                <w:sz w:val="32"/>
                <w:szCs w:val="32"/>
                <w:highlight w:val="none"/>
              </w:rPr>
            </w:pPr>
            <w:r>
              <w:rPr>
                <w:rFonts w:eastAsia="仿宋_GB2312"/>
                <w:color w:val="auto"/>
                <w:sz w:val="30"/>
                <w:szCs w:val="30"/>
                <w:highlight w:val="none"/>
              </w:rPr>
              <w:t>20</w:t>
            </w:r>
            <w:r>
              <w:rPr>
                <w:rFonts w:hint="eastAsia" w:eastAsia="仿宋_GB2312"/>
                <w:color w:val="auto"/>
                <w:sz w:val="30"/>
                <w:szCs w:val="30"/>
                <w:highlight w:val="none"/>
                <w:lang w:val="en-US" w:eastAsia="zh-CN"/>
              </w:rPr>
              <w:t>20</w:t>
            </w:r>
            <w:r>
              <w:rPr>
                <w:rFonts w:eastAsia="仿宋_GB2312"/>
                <w:color w:val="auto"/>
                <w:sz w:val="30"/>
                <w:szCs w:val="30"/>
                <w:highlight w:val="none"/>
              </w:rPr>
              <w:t>年</w:t>
            </w:r>
          </w:p>
        </w:tc>
        <w:tc>
          <w:tcPr>
            <w:tcW w:w="1872" w:type="dxa"/>
            <w:vAlign w:val="center"/>
          </w:tcPr>
          <w:p>
            <w:pPr>
              <w:spacing w:line="400" w:lineRule="exact"/>
              <w:jc w:val="center"/>
              <w:rPr>
                <w:rFonts w:hint="default" w:eastAsia="仿宋_GB2312"/>
                <w:color w:val="auto"/>
                <w:sz w:val="32"/>
                <w:szCs w:val="32"/>
                <w:highlight w:val="none"/>
                <w:lang w:val="en-US" w:eastAsia="zh-CN"/>
              </w:rPr>
            </w:pPr>
            <w:r>
              <w:rPr>
                <w:rFonts w:hint="eastAsia" w:eastAsia="仿宋_GB2312"/>
                <w:color w:val="auto"/>
                <w:sz w:val="32"/>
                <w:szCs w:val="32"/>
                <w:highlight w:val="none"/>
                <w:lang w:val="en-US" w:eastAsia="zh-CN"/>
              </w:rPr>
              <w:t>11493469</w:t>
            </w:r>
          </w:p>
        </w:tc>
        <w:tc>
          <w:tcPr>
            <w:tcW w:w="1637" w:type="dxa"/>
            <w:vAlign w:val="center"/>
          </w:tcPr>
          <w:p>
            <w:pPr>
              <w:spacing w:line="400" w:lineRule="exact"/>
              <w:jc w:val="center"/>
              <w:rPr>
                <w:rFonts w:hint="default" w:eastAsia="仿宋_GB2312"/>
                <w:color w:val="auto"/>
                <w:sz w:val="32"/>
                <w:szCs w:val="32"/>
                <w:highlight w:val="none"/>
                <w:lang w:val="en-US" w:eastAsia="zh-CN"/>
              </w:rPr>
            </w:pPr>
            <w:r>
              <w:rPr>
                <w:rFonts w:hint="eastAsia" w:eastAsia="仿宋_GB2312"/>
                <w:color w:val="auto"/>
                <w:sz w:val="32"/>
                <w:szCs w:val="32"/>
                <w:highlight w:val="none"/>
                <w:lang w:val="en-US" w:eastAsia="zh-CN"/>
              </w:rPr>
              <w:t>7131</w:t>
            </w:r>
          </w:p>
        </w:tc>
        <w:tc>
          <w:tcPr>
            <w:tcW w:w="1985" w:type="dxa"/>
            <w:vAlign w:val="center"/>
          </w:tcPr>
          <w:p>
            <w:pPr>
              <w:spacing w:line="400" w:lineRule="exact"/>
              <w:jc w:val="center"/>
              <w:rPr>
                <w:rFonts w:hint="default" w:eastAsia="仿宋_GB2312"/>
                <w:color w:val="auto"/>
                <w:sz w:val="32"/>
                <w:szCs w:val="32"/>
                <w:highlight w:val="none"/>
                <w:lang w:val="en-US" w:eastAsia="zh-CN"/>
              </w:rPr>
            </w:pPr>
            <w:r>
              <w:rPr>
                <w:rFonts w:eastAsia="仿宋_GB2312"/>
                <w:color w:val="auto"/>
                <w:sz w:val="32"/>
                <w:szCs w:val="32"/>
                <w:highlight w:val="none"/>
              </w:rPr>
              <w:t>1</w:t>
            </w:r>
            <w:r>
              <w:rPr>
                <w:rFonts w:hint="eastAsia" w:eastAsia="仿宋_GB2312"/>
                <w:color w:val="auto"/>
                <w:sz w:val="32"/>
                <w:szCs w:val="32"/>
                <w:highlight w:val="none"/>
                <w:lang w:val="en-US" w:eastAsia="zh-CN"/>
              </w:rPr>
              <w:t>611.76</w:t>
            </w:r>
          </w:p>
        </w:tc>
        <w:tc>
          <w:tcPr>
            <w:tcW w:w="1556" w:type="dxa"/>
            <w:vAlign w:val="center"/>
          </w:tcPr>
          <w:p>
            <w:pPr>
              <w:spacing w:line="400" w:lineRule="exact"/>
              <w:jc w:val="center"/>
              <w:rPr>
                <w:rFonts w:hint="default" w:eastAsia="仿宋_GB2312"/>
                <w:color w:val="auto"/>
                <w:sz w:val="32"/>
                <w:szCs w:val="32"/>
                <w:highlight w:val="none"/>
                <w:lang w:val="en-US" w:eastAsia="zh-CN"/>
              </w:rPr>
            </w:pPr>
            <w:r>
              <w:rPr>
                <w:rFonts w:hint="eastAsia" w:eastAsia="仿宋_GB2312"/>
                <w:color w:val="auto"/>
                <w:sz w:val="32"/>
                <w:szCs w:val="32"/>
                <w:highlight w:val="none"/>
                <w:lang w:val="en-US" w:eastAsia="zh-CN"/>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3" w:type="dxa"/>
            <w:vAlign w:val="center"/>
          </w:tcPr>
          <w:p>
            <w:pPr>
              <w:spacing w:line="400" w:lineRule="exact"/>
              <w:jc w:val="center"/>
              <w:rPr>
                <w:rFonts w:eastAsia="仿宋_GB2312"/>
                <w:color w:val="auto"/>
                <w:sz w:val="32"/>
                <w:szCs w:val="32"/>
                <w:highlight w:val="none"/>
              </w:rPr>
            </w:pPr>
            <w:r>
              <w:rPr>
                <w:rFonts w:eastAsia="仿宋_GB2312"/>
                <w:color w:val="auto"/>
                <w:sz w:val="30"/>
                <w:szCs w:val="30"/>
                <w:highlight w:val="none"/>
              </w:rPr>
              <w:t>20</w:t>
            </w:r>
            <w:r>
              <w:rPr>
                <w:rFonts w:hint="eastAsia" w:eastAsia="仿宋_GB2312"/>
                <w:color w:val="auto"/>
                <w:sz w:val="30"/>
                <w:szCs w:val="30"/>
                <w:highlight w:val="none"/>
                <w:lang w:val="en-US" w:eastAsia="zh-CN"/>
              </w:rPr>
              <w:t>21</w:t>
            </w:r>
            <w:r>
              <w:rPr>
                <w:rFonts w:eastAsia="仿宋_GB2312"/>
                <w:color w:val="auto"/>
                <w:sz w:val="30"/>
                <w:szCs w:val="30"/>
                <w:highlight w:val="none"/>
              </w:rPr>
              <w:t>年</w:t>
            </w:r>
          </w:p>
        </w:tc>
        <w:tc>
          <w:tcPr>
            <w:tcW w:w="1872" w:type="dxa"/>
            <w:vAlign w:val="center"/>
          </w:tcPr>
          <w:p>
            <w:pPr>
              <w:spacing w:line="400" w:lineRule="exact"/>
              <w:jc w:val="center"/>
              <w:rPr>
                <w:rFonts w:hint="default" w:eastAsia="仿宋_GB2312"/>
                <w:color w:val="auto"/>
                <w:sz w:val="32"/>
                <w:szCs w:val="32"/>
                <w:highlight w:val="none"/>
                <w:lang w:val="en-US" w:eastAsia="zh-CN"/>
              </w:rPr>
            </w:pPr>
            <w:r>
              <w:rPr>
                <w:rFonts w:eastAsia="仿宋_GB2312"/>
                <w:color w:val="auto"/>
                <w:sz w:val="32"/>
                <w:szCs w:val="32"/>
                <w:highlight w:val="none"/>
              </w:rPr>
              <w:t>1</w:t>
            </w:r>
            <w:r>
              <w:rPr>
                <w:rFonts w:hint="eastAsia" w:eastAsia="仿宋_GB2312"/>
                <w:color w:val="auto"/>
                <w:sz w:val="32"/>
                <w:szCs w:val="32"/>
                <w:highlight w:val="none"/>
                <w:lang w:val="en-US" w:eastAsia="zh-CN"/>
              </w:rPr>
              <w:t>1864455</w:t>
            </w:r>
          </w:p>
        </w:tc>
        <w:tc>
          <w:tcPr>
            <w:tcW w:w="1637" w:type="dxa"/>
            <w:vAlign w:val="center"/>
          </w:tcPr>
          <w:p>
            <w:pPr>
              <w:spacing w:line="400" w:lineRule="exact"/>
              <w:jc w:val="center"/>
              <w:rPr>
                <w:rFonts w:hint="default" w:eastAsia="仿宋_GB2312"/>
                <w:color w:val="auto"/>
                <w:sz w:val="32"/>
                <w:szCs w:val="32"/>
                <w:highlight w:val="none"/>
                <w:lang w:val="en-US" w:eastAsia="zh-CN"/>
              </w:rPr>
            </w:pPr>
            <w:r>
              <w:rPr>
                <w:rFonts w:hint="eastAsia" w:eastAsia="仿宋_GB2312"/>
                <w:color w:val="auto"/>
                <w:sz w:val="32"/>
                <w:szCs w:val="32"/>
                <w:highlight w:val="none"/>
                <w:lang w:val="en-US" w:eastAsia="zh-CN"/>
              </w:rPr>
              <w:t>7359</w:t>
            </w:r>
          </w:p>
        </w:tc>
        <w:tc>
          <w:tcPr>
            <w:tcW w:w="1985" w:type="dxa"/>
            <w:vAlign w:val="center"/>
          </w:tcPr>
          <w:p>
            <w:pPr>
              <w:spacing w:line="400" w:lineRule="exact"/>
              <w:jc w:val="center"/>
              <w:rPr>
                <w:rFonts w:hint="default" w:eastAsia="仿宋_GB2312"/>
                <w:color w:val="auto"/>
                <w:sz w:val="32"/>
                <w:szCs w:val="32"/>
                <w:highlight w:val="none"/>
                <w:lang w:val="en-US" w:eastAsia="zh-CN"/>
              </w:rPr>
            </w:pPr>
            <w:r>
              <w:rPr>
                <w:rFonts w:eastAsia="仿宋_GB2312"/>
                <w:color w:val="auto"/>
                <w:sz w:val="32"/>
                <w:szCs w:val="32"/>
                <w:highlight w:val="none"/>
              </w:rPr>
              <w:t>1</w:t>
            </w:r>
            <w:r>
              <w:rPr>
                <w:rFonts w:hint="eastAsia" w:eastAsia="仿宋_GB2312"/>
                <w:color w:val="auto"/>
                <w:sz w:val="32"/>
                <w:szCs w:val="32"/>
                <w:highlight w:val="none"/>
                <w:lang w:val="en-US" w:eastAsia="zh-CN"/>
              </w:rPr>
              <w:t>612.24</w:t>
            </w:r>
          </w:p>
        </w:tc>
        <w:tc>
          <w:tcPr>
            <w:tcW w:w="1556" w:type="dxa"/>
            <w:vAlign w:val="center"/>
          </w:tcPr>
          <w:p>
            <w:pPr>
              <w:spacing w:line="400" w:lineRule="exact"/>
              <w:jc w:val="center"/>
              <w:rPr>
                <w:rFonts w:hint="default" w:eastAsia="仿宋_GB2312"/>
                <w:color w:val="auto"/>
                <w:sz w:val="32"/>
                <w:szCs w:val="32"/>
                <w:highlight w:val="none"/>
                <w:lang w:val="en-US" w:eastAsia="zh-CN"/>
              </w:rPr>
            </w:pPr>
            <w:r>
              <w:rPr>
                <w:rFonts w:eastAsia="仿宋_GB2312"/>
                <w:color w:val="auto"/>
                <w:sz w:val="32"/>
                <w:szCs w:val="32"/>
                <w:highlight w:val="none"/>
              </w:rPr>
              <w:t>0.</w:t>
            </w:r>
            <w:r>
              <w:rPr>
                <w:rFonts w:hint="eastAsia" w:eastAsia="仿宋_GB2312"/>
                <w:color w:val="auto"/>
                <w:sz w:val="32"/>
                <w:szCs w:val="32"/>
                <w:highlight w:val="none"/>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3" w:type="dxa"/>
            <w:vAlign w:val="center"/>
          </w:tcPr>
          <w:p>
            <w:pPr>
              <w:spacing w:line="400" w:lineRule="exact"/>
              <w:jc w:val="center"/>
              <w:rPr>
                <w:rFonts w:eastAsia="仿宋_GB2312"/>
                <w:color w:val="auto"/>
                <w:sz w:val="32"/>
                <w:szCs w:val="32"/>
                <w:highlight w:val="none"/>
              </w:rPr>
            </w:pPr>
            <w:r>
              <w:rPr>
                <w:rFonts w:eastAsia="仿宋_GB2312"/>
                <w:color w:val="auto"/>
                <w:sz w:val="30"/>
                <w:szCs w:val="30"/>
                <w:highlight w:val="none"/>
              </w:rPr>
              <w:t>20</w:t>
            </w:r>
            <w:r>
              <w:rPr>
                <w:rFonts w:hint="eastAsia" w:eastAsia="仿宋_GB2312"/>
                <w:color w:val="auto"/>
                <w:sz w:val="30"/>
                <w:szCs w:val="30"/>
                <w:highlight w:val="none"/>
                <w:lang w:val="en-US" w:eastAsia="zh-CN"/>
              </w:rPr>
              <w:t>22</w:t>
            </w:r>
            <w:r>
              <w:rPr>
                <w:rFonts w:eastAsia="仿宋_GB2312"/>
                <w:color w:val="auto"/>
                <w:sz w:val="30"/>
                <w:szCs w:val="30"/>
                <w:highlight w:val="none"/>
              </w:rPr>
              <w:t>年</w:t>
            </w:r>
          </w:p>
        </w:tc>
        <w:tc>
          <w:tcPr>
            <w:tcW w:w="1872" w:type="dxa"/>
            <w:vAlign w:val="center"/>
          </w:tcPr>
          <w:p>
            <w:pPr>
              <w:spacing w:line="400" w:lineRule="exact"/>
              <w:jc w:val="center"/>
              <w:rPr>
                <w:rFonts w:hint="default" w:eastAsia="仿宋_GB2312"/>
                <w:color w:val="auto"/>
                <w:sz w:val="32"/>
                <w:szCs w:val="32"/>
                <w:highlight w:val="none"/>
                <w:lang w:val="en-US" w:eastAsia="zh-CN"/>
              </w:rPr>
            </w:pPr>
            <w:r>
              <w:rPr>
                <w:rFonts w:eastAsia="仿宋_GB2312"/>
                <w:color w:val="auto"/>
                <w:sz w:val="32"/>
                <w:szCs w:val="32"/>
                <w:highlight w:val="none"/>
              </w:rPr>
              <w:t>1</w:t>
            </w:r>
            <w:r>
              <w:rPr>
                <w:rFonts w:hint="eastAsia" w:eastAsia="仿宋_GB2312"/>
                <w:color w:val="auto"/>
                <w:sz w:val="32"/>
                <w:szCs w:val="32"/>
                <w:highlight w:val="none"/>
                <w:lang w:val="en-US" w:eastAsia="zh-CN"/>
              </w:rPr>
              <w:t>2460560</w:t>
            </w:r>
          </w:p>
        </w:tc>
        <w:tc>
          <w:tcPr>
            <w:tcW w:w="1637" w:type="dxa"/>
            <w:vAlign w:val="center"/>
          </w:tcPr>
          <w:p>
            <w:pPr>
              <w:spacing w:line="400" w:lineRule="exact"/>
              <w:jc w:val="center"/>
              <w:rPr>
                <w:rFonts w:hint="default" w:eastAsia="仿宋_GB2312"/>
                <w:color w:val="auto"/>
                <w:sz w:val="32"/>
                <w:szCs w:val="32"/>
                <w:highlight w:val="none"/>
                <w:lang w:val="en-US" w:eastAsia="zh-CN"/>
              </w:rPr>
            </w:pPr>
            <w:r>
              <w:rPr>
                <w:rFonts w:hint="eastAsia" w:eastAsia="仿宋_GB2312"/>
                <w:color w:val="auto"/>
                <w:sz w:val="32"/>
                <w:szCs w:val="32"/>
                <w:highlight w:val="none"/>
                <w:lang w:val="en-US" w:eastAsia="zh-CN"/>
              </w:rPr>
              <w:t>7728</w:t>
            </w:r>
          </w:p>
        </w:tc>
        <w:tc>
          <w:tcPr>
            <w:tcW w:w="1985" w:type="dxa"/>
            <w:vAlign w:val="center"/>
          </w:tcPr>
          <w:p>
            <w:pPr>
              <w:spacing w:line="400" w:lineRule="exact"/>
              <w:jc w:val="center"/>
              <w:rPr>
                <w:rFonts w:hint="default" w:eastAsia="仿宋_GB2312"/>
                <w:color w:val="auto"/>
                <w:sz w:val="32"/>
                <w:szCs w:val="32"/>
                <w:highlight w:val="none"/>
                <w:lang w:val="en-US" w:eastAsia="zh-CN"/>
              </w:rPr>
            </w:pPr>
            <w:r>
              <w:rPr>
                <w:rFonts w:eastAsia="仿宋_GB2312"/>
                <w:color w:val="auto"/>
                <w:sz w:val="32"/>
                <w:szCs w:val="32"/>
                <w:highlight w:val="none"/>
              </w:rPr>
              <w:t>1</w:t>
            </w:r>
            <w:r>
              <w:rPr>
                <w:rFonts w:hint="eastAsia" w:eastAsia="仿宋_GB2312"/>
                <w:color w:val="auto"/>
                <w:sz w:val="32"/>
                <w:szCs w:val="32"/>
                <w:highlight w:val="none"/>
                <w:lang w:val="en-US" w:eastAsia="zh-CN"/>
              </w:rPr>
              <w:t>612.39</w:t>
            </w:r>
          </w:p>
        </w:tc>
        <w:tc>
          <w:tcPr>
            <w:tcW w:w="1556" w:type="dxa"/>
            <w:vAlign w:val="center"/>
          </w:tcPr>
          <w:p>
            <w:pPr>
              <w:spacing w:line="400" w:lineRule="exact"/>
              <w:jc w:val="center"/>
              <w:rPr>
                <w:rFonts w:hint="default" w:eastAsia="仿宋_GB2312"/>
                <w:color w:val="auto"/>
                <w:sz w:val="32"/>
                <w:szCs w:val="32"/>
                <w:highlight w:val="none"/>
                <w:lang w:val="en-US" w:eastAsia="zh-CN"/>
              </w:rPr>
            </w:pPr>
            <w:r>
              <w:rPr>
                <w:rFonts w:eastAsia="仿宋_GB2312"/>
                <w:color w:val="auto"/>
                <w:sz w:val="32"/>
                <w:szCs w:val="32"/>
                <w:highlight w:val="none"/>
              </w:rPr>
              <w:t>0.</w:t>
            </w:r>
            <w:r>
              <w:rPr>
                <w:rFonts w:hint="eastAsia" w:eastAsia="仿宋_GB2312"/>
                <w:color w:val="auto"/>
                <w:sz w:val="32"/>
                <w:szCs w:val="32"/>
                <w:highlight w:val="none"/>
                <w:lang w:val="en-US" w:eastAsia="zh-CN"/>
              </w:rPr>
              <w:t>01</w:t>
            </w:r>
          </w:p>
        </w:tc>
      </w:tr>
    </w:tbl>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两个比例：</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第一个比例（5分）：国家财政性教育经费支出占国民生产总值的比例逐步提高。</w:t>
      </w:r>
    </w:p>
    <w:tbl>
      <w:tblPr>
        <w:tblStyle w:val="12"/>
        <w:tblW w:w="8399" w:type="dxa"/>
        <w:jc w:val="center"/>
        <w:tblInd w:w="0" w:type="dxa"/>
        <w:tblLayout w:type="fixed"/>
        <w:tblCellMar>
          <w:top w:w="0" w:type="dxa"/>
          <w:left w:w="108" w:type="dxa"/>
          <w:bottom w:w="0" w:type="dxa"/>
          <w:right w:w="108" w:type="dxa"/>
        </w:tblCellMar>
      </w:tblPr>
      <w:tblGrid>
        <w:gridCol w:w="1466"/>
        <w:gridCol w:w="1846"/>
        <w:gridCol w:w="2041"/>
        <w:gridCol w:w="1569"/>
        <w:gridCol w:w="1477"/>
      </w:tblGrid>
      <w:tr>
        <w:tblPrEx>
          <w:tblLayout w:type="fixed"/>
          <w:tblCellMar>
            <w:top w:w="0" w:type="dxa"/>
            <w:left w:w="108" w:type="dxa"/>
            <w:bottom w:w="0" w:type="dxa"/>
            <w:right w:w="108" w:type="dxa"/>
          </w:tblCellMar>
        </w:tblPrEx>
        <w:trPr>
          <w:trHeight w:val="1281" w:hRule="atLeast"/>
          <w:jc w:val="center"/>
        </w:trPr>
        <w:tc>
          <w:tcPr>
            <w:tcW w:w="1466" w:type="dxa"/>
            <w:tcBorders>
              <w:top w:val="single" w:color="000000" w:sz="4" w:space="0"/>
              <w:left w:val="single" w:color="000000" w:sz="4" w:space="0"/>
              <w:bottom w:val="single" w:color="000000" w:sz="4" w:space="0"/>
              <w:right w:val="single" w:color="000000" w:sz="4" w:space="0"/>
              <w:tl2br w:val="single" w:color="auto" w:sz="4" w:space="0"/>
            </w:tcBorders>
            <w:vAlign w:val="center"/>
          </w:tcPr>
          <w:p>
            <w:pPr>
              <w:spacing w:line="400" w:lineRule="exact"/>
              <w:ind w:firstLine="450" w:firstLineChars="150"/>
              <w:rPr>
                <w:rFonts w:eastAsia="仿宋_GB2312"/>
                <w:color w:val="auto"/>
                <w:sz w:val="30"/>
                <w:szCs w:val="30"/>
                <w:highlight w:val="none"/>
              </w:rPr>
            </w:pPr>
            <w:r>
              <w:rPr>
                <w:rFonts w:eastAsia="仿宋_GB2312"/>
                <w:color w:val="auto"/>
                <w:sz w:val="30"/>
                <w:szCs w:val="30"/>
                <w:highlight w:val="none"/>
              </w:rPr>
              <w:t>项目</w:t>
            </w:r>
          </w:p>
          <w:p>
            <w:pPr>
              <w:spacing w:line="400" w:lineRule="exact"/>
              <w:rPr>
                <w:rFonts w:eastAsia="仿宋_GB2312"/>
                <w:color w:val="auto"/>
                <w:sz w:val="30"/>
                <w:szCs w:val="30"/>
                <w:highlight w:val="none"/>
              </w:rPr>
            </w:pPr>
            <w:r>
              <w:rPr>
                <w:rFonts w:eastAsia="仿宋_GB2312"/>
                <w:color w:val="auto"/>
                <w:sz w:val="30"/>
                <w:szCs w:val="30"/>
                <w:highlight w:val="none"/>
              </w:rPr>
              <w:t>年度</w:t>
            </w:r>
          </w:p>
        </w:tc>
        <w:tc>
          <w:tcPr>
            <w:tcW w:w="1846" w:type="dxa"/>
            <w:tcBorders>
              <w:top w:val="single" w:color="000000" w:sz="4" w:space="0"/>
              <w:left w:val="nil"/>
              <w:bottom w:val="single" w:color="000000" w:sz="4" w:space="0"/>
              <w:right w:val="single" w:color="000000" w:sz="4" w:space="0"/>
            </w:tcBorders>
            <w:vAlign w:val="center"/>
          </w:tcPr>
          <w:p>
            <w:pPr>
              <w:spacing w:line="400" w:lineRule="exact"/>
              <w:jc w:val="center"/>
              <w:rPr>
                <w:rFonts w:eastAsia="仿宋_GB2312"/>
                <w:color w:val="auto"/>
                <w:sz w:val="30"/>
                <w:szCs w:val="30"/>
                <w:highlight w:val="none"/>
              </w:rPr>
            </w:pPr>
            <w:r>
              <w:rPr>
                <w:rFonts w:eastAsia="仿宋_GB2312"/>
                <w:color w:val="auto"/>
                <w:sz w:val="30"/>
                <w:szCs w:val="30"/>
                <w:highlight w:val="none"/>
              </w:rPr>
              <w:t>国家财政性教育经费</w:t>
            </w:r>
          </w:p>
          <w:p>
            <w:pPr>
              <w:spacing w:line="400" w:lineRule="exact"/>
              <w:jc w:val="center"/>
              <w:rPr>
                <w:rFonts w:eastAsia="仿宋_GB2312"/>
                <w:color w:val="auto"/>
                <w:sz w:val="30"/>
                <w:szCs w:val="30"/>
                <w:highlight w:val="none"/>
              </w:rPr>
            </w:pPr>
            <w:r>
              <w:rPr>
                <w:rFonts w:eastAsia="仿宋_GB2312"/>
                <w:color w:val="auto"/>
                <w:sz w:val="30"/>
                <w:szCs w:val="30"/>
                <w:highlight w:val="none"/>
              </w:rPr>
              <w:t>（万元）</w:t>
            </w:r>
          </w:p>
        </w:tc>
        <w:tc>
          <w:tcPr>
            <w:tcW w:w="2041" w:type="dxa"/>
            <w:tcBorders>
              <w:top w:val="single" w:color="000000" w:sz="4" w:space="0"/>
              <w:left w:val="nil"/>
              <w:bottom w:val="single" w:color="000000" w:sz="4" w:space="0"/>
              <w:right w:val="single" w:color="000000" w:sz="4" w:space="0"/>
            </w:tcBorders>
            <w:vAlign w:val="center"/>
          </w:tcPr>
          <w:p>
            <w:pPr>
              <w:spacing w:line="400" w:lineRule="exact"/>
              <w:jc w:val="center"/>
              <w:rPr>
                <w:rFonts w:eastAsia="仿宋_GB2312"/>
                <w:color w:val="auto"/>
                <w:sz w:val="30"/>
                <w:szCs w:val="30"/>
                <w:highlight w:val="none"/>
              </w:rPr>
            </w:pPr>
            <w:r>
              <w:rPr>
                <w:rFonts w:eastAsia="仿宋_GB2312"/>
                <w:color w:val="auto"/>
                <w:sz w:val="30"/>
                <w:szCs w:val="30"/>
                <w:highlight w:val="none"/>
              </w:rPr>
              <w:t>国民生产总值（万元）</w:t>
            </w:r>
          </w:p>
        </w:tc>
        <w:tc>
          <w:tcPr>
            <w:tcW w:w="1569" w:type="dxa"/>
            <w:tcBorders>
              <w:top w:val="single" w:color="000000" w:sz="4" w:space="0"/>
              <w:left w:val="nil"/>
              <w:bottom w:val="single" w:color="000000" w:sz="4" w:space="0"/>
              <w:right w:val="single" w:color="auto" w:sz="4" w:space="0"/>
            </w:tcBorders>
            <w:vAlign w:val="center"/>
          </w:tcPr>
          <w:p>
            <w:pPr>
              <w:spacing w:line="400" w:lineRule="exact"/>
              <w:jc w:val="center"/>
              <w:rPr>
                <w:rFonts w:eastAsia="仿宋_GB2312"/>
                <w:color w:val="auto"/>
                <w:sz w:val="30"/>
                <w:szCs w:val="30"/>
                <w:highlight w:val="none"/>
              </w:rPr>
            </w:pPr>
            <w:r>
              <w:rPr>
                <w:rFonts w:eastAsia="仿宋_GB2312"/>
                <w:color w:val="auto"/>
                <w:sz w:val="30"/>
                <w:szCs w:val="30"/>
                <w:highlight w:val="none"/>
              </w:rPr>
              <w:t>所占比例%</w:t>
            </w:r>
          </w:p>
        </w:tc>
        <w:tc>
          <w:tcPr>
            <w:tcW w:w="1477" w:type="dxa"/>
            <w:tcBorders>
              <w:top w:val="single" w:color="000000" w:sz="4" w:space="0"/>
              <w:left w:val="single" w:color="auto" w:sz="4" w:space="0"/>
              <w:bottom w:val="single" w:color="000000" w:sz="4" w:space="0"/>
              <w:right w:val="single" w:color="000000" w:sz="4" w:space="0"/>
            </w:tcBorders>
            <w:vAlign w:val="center"/>
          </w:tcPr>
          <w:p>
            <w:pPr>
              <w:spacing w:line="400" w:lineRule="exact"/>
              <w:jc w:val="center"/>
              <w:rPr>
                <w:rFonts w:eastAsia="仿宋_GB2312"/>
                <w:color w:val="auto"/>
                <w:sz w:val="30"/>
                <w:szCs w:val="30"/>
                <w:highlight w:val="none"/>
              </w:rPr>
            </w:pPr>
            <w:r>
              <w:rPr>
                <w:rFonts w:eastAsia="仿宋_GB2312"/>
                <w:color w:val="auto"/>
                <w:sz w:val="30"/>
                <w:szCs w:val="30"/>
                <w:highlight w:val="none"/>
              </w:rPr>
              <w:t>与上年比例之差</w:t>
            </w:r>
          </w:p>
        </w:tc>
      </w:tr>
      <w:tr>
        <w:tblPrEx>
          <w:tblLayout w:type="fixed"/>
          <w:tblCellMar>
            <w:top w:w="0" w:type="dxa"/>
            <w:left w:w="108" w:type="dxa"/>
            <w:bottom w:w="0" w:type="dxa"/>
            <w:right w:w="108" w:type="dxa"/>
          </w:tblCellMar>
        </w:tblPrEx>
        <w:trPr>
          <w:trHeight w:val="454" w:hRule="atLeas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仿宋_GB2312"/>
                <w:color w:val="auto"/>
                <w:sz w:val="32"/>
                <w:szCs w:val="32"/>
                <w:highlight w:val="none"/>
              </w:rPr>
            </w:pPr>
            <w:r>
              <w:rPr>
                <w:rFonts w:eastAsia="仿宋_GB2312"/>
                <w:color w:val="auto"/>
                <w:sz w:val="30"/>
                <w:szCs w:val="30"/>
                <w:highlight w:val="none"/>
              </w:rPr>
              <w:t>20</w:t>
            </w:r>
            <w:r>
              <w:rPr>
                <w:rFonts w:hint="eastAsia" w:eastAsia="仿宋_GB2312"/>
                <w:color w:val="auto"/>
                <w:sz w:val="30"/>
                <w:szCs w:val="30"/>
                <w:highlight w:val="none"/>
                <w:lang w:val="en-US" w:eastAsia="zh-CN"/>
              </w:rPr>
              <w:t>19</w:t>
            </w:r>
            <w:r>
              <w:rPr>
                <w:rFonts w:eastAsia="仿宋_GB2312"/>
                <w:color w:val="auto"/>
                <w:sz w:val="30"/>
                <w:szCs w:val="30"/>
                <w:highlight w:val="none"/>
              </w:rPr>
              <w:t>年</w:t>
            </w:r>
          </w:p>
        </w:tc>
        <w:tc>
          <w:tcPr>
            <w:tcW w:w="1846" w:type="dxa"/>
            <w:tcBorders>
              <w:top w:val="single" w:color="000000" w:sz="4" w:space="0"/>
              <w:left w:val="nil"/>
              <w:bottom w:val="single" w:color="000000" w:sz="4" w:space="0"/>
              <w:right w:val="single" w:color="000000" w:sz="4" w:space="0"/>
            </w:tcBorders>
            <w:vAlign w:val="center"/>
          </w:tcPr>
          <w:p>
            <w:pPr>
              <w:spacing w:line="400" w:lineRule="exact"/>
              <w:jc w:val="center"/>
              <w:rPr>
                <w:rFonts w:hint="default" w:eastAsia="仿宋_GB2312"/>
                <w:color w:val="auto"/>
                <w:sz w:val="32"/>
                <w:szCs w:val="32"/>
                <w:highlight w:val="none"/>
                <w:lang w:val="en-US" w:eastAsia="zh-CN"/>
              </w:rPr>
            </w:pPr>
            <w:r>
              <w:rPr>
                <w:rFonts w:hint="eastAsia" w:eastAsia="仿宋_GB2312"/>
                <w:color w:val="auto"/>
                <w:sz w:val="32"/>
                <w:szCs w:val="32"/>
                <w:highlight w:val="none"/>
                <w:lang w:val="en-US" w:eastAsia="zh-CN"/>
              </w:rPr>
              <w:t>53906</w:t>
            </w:r>
          </w:p>
        </w:tc>
        <w:tc>
          <w:tcPr>
            <w:tcW w:w="2041" w:type="dxa"/>
            <w:tcBorders>
              <w:top w:val="single" w:color="000000" w:sz="4" w:space="0"/>
              <w:left w:val="nil"/>
              <w:bottom w:val="single" w:color="000000" w:sz="4" w:space="0"/>
              <w:right w:val="single" w:color="000000" w:sz="4" w:space="0"/>
            </w:tcBorders>
            <w:vAlign w:val="center"/>
          </w:tcPr>
          <w:p>
            <w:pPr>
              <w:spacing w:line="400" w:lineRule="exact"/>
              <w:jc w:val="center"/>
              <w:rPr>
                <w:rFonts w:hint="default" w:eastAsia="仿宋_GB2312"/>
                <w:color w:val="auto"/>
                <w:sz w:val="32"/>
                <w:szCs w:val="32"/>
                <w:highlight w:val="none"/>
                <w:lang w:val="en-US" w:eastAsia="zh-CN"/>
              </w:rPr>
            </w:pPr>
            <w:r>
              <w:rPr>
                <w:rFonts w:hint="eastAsia" w:eastAsia="仿宋_GB2312"/>
                <w:color w:val="auto"/>
                <w:sz w:val="32"/>
                <w:szCs w:val="32"/>
                <w:highlight w:val="none"/>
                <w:lang w:val="en-US" w:eastAsia="zh-CN"/>
              </w:rPr>
              <w:t>343695</w:t>
            </w:r>
          </w:p>
        </w:tc>
        <w:tc>
          <w:tcPr>
            <w:tcW w:w="1569" w:type="dxa"/>
            <w:tcBorders>
              <w:top w:val="single" w:color="000000" w:sz="4" w:space="0"/>
              <w:left w:val="nil"/>
              <w:bottom w:val="single" w:color="000000" w:sz="4" w:space="0"/>
              <w:right w:val="single" w:color="auto" w:sz="4" w:space="0"/>
            </w:tcBorders>
            <w:vAlign w:val="center"/>
          </w:tcPr>
          <w:p>
            <w:pPr>
              <w:spacing w:line="400" w:lineRule="exact"/>
              <w:jc w:val="center"/>
              <w:rPr>
                <w:rFonts w:hint="default" w:eastAsia="仿宋_GB2312"/>
                <w:color w:val="auto"/>
                <w:sz w:val="32"/>
                <w:szCs w:val="32"/>
                <w:highlight w:val="none"/>
                <w:lang w:val="en-US" w:eastAsia="zh-CN"/>
              </w:rPr>
            </w:pPr>
            <w:r>
              <w:rPr>
                <w:rFonts w:hint="eastAsia" w:eastAsia="仿宋_GB2312"/>
                <w:color w:val="auto"/>
                <w:sz w:val="32"/>
                <w:szCs w:val="32"/>
                <w:highlight w:val="none"/>
                <w:lang w:val="en-US" w:eastAsia="zh-CN"/>
              </w:rPr>
              <w:t>15.68</w:t>
            </w:r>
          </w:p>
        </w:tc>
        <w:tc>
          <w:tcPr>
            <w:tcW w:w="1477" w:type="dxa"/>
            <w:tcBorders>
              <w:top w:val="single" w:color="000000" w:sz="4" w:space="0"/>
              <w:left w:val="single" w:color="auto" w:sz="4" w:space="0"/>
              <w:bottom w:val="single" w:color="000000" w:sz="4" w:space="0"/>
              <w:right w:val="single" w:color="000000" w:sz="4" w:space="0"/>
            </w:tcBorders>
            <w:vAlign w:val="center"/>
          </w:tcPr>
          <w:p>
            <w:pPr>
              <w:spacing w:line="400" w:lineRule="exact"/>
              <w:jc w:val="center"/>
              <w:rPr>
                <w:rFonts w:eastAsia="仿宋_GB2312"/>
                <w:color w:val="auto"/>
                <w:sz w:val="32"/>
                <w:szCs w:val="32"/>
                <w:highlight w:val="none"/>
              </w:rPr>
            </w:pPr>
            <w:r>
              <w:rPr>
                <w:rFonts w:hint="eastAsia" w:eastAsia="仿宋_GB2312"/>
                <w:color w:val="auto"/>
                <w:sz w:val="32"/>
                <w:szCs w:val="3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66" w:type="dxa"/>
            <w:vAlign w:val="center"/>
          </w:tcPr>
          <w:p>
            <w:pPr>
              <w:spacing w:line="400" w:lineRule="exact"/>
              <w:jc w:val="center"/>
              <w:rPr>
                <w:rFonts w:eastAsia="仿宋_GB2312"/>
                <w:color w:val="auto"/>
                <w:sz w:val="32"/>
                <w:szCs w:val="32"/>
                <w:highlight w:val="none"/>
              </w:rPr>
            </w:pPr>
            <w:r>
              <w:rPr>
                <w:rFonts w:eastAsia="仿宋_GB2312"/>
                <w:color w:val="auto"/>
                <w:sz w:val="30"/>
                <w:szCs w:val="30"/>
                <w:highlight w:val="none"/>
              </w:rPr>
              <w:t>20</w:t>
            </w:r>
            <w:r>
              <w:rPr>
                <w:rFonts w:hint="eastAsia" w:eastAsia="仿宋_GB2312"/>
                <w:color w:val="auto"/>
                <w:sz w:val="30"/>
                <w:szCs w:val="30"/>
                <w:highlight w:val="none"/>
                <w:lang w:val="en-US" w:eastAsia="zh-CN"/>
              </w:rPr>
              <w:t>20</w:t>
            </w:r>
            <w:r>
              <w:rPr>
                <w:rFonts w:eastAsia="仿宋_GB2312"/>
                <w:color w:val="auto"/>
                <w:sz w:val="30"/>
                <w:szCs w:val="30"/>
                <w:highlight w:val="none"/>
              </w:rPr>
              <w:t>年</w:t>
            </w:r>
          </w:p>
        </w:tc>
        <w:tc>
          <w:tcPr>
            <w:tcW w:w="1846" w:type="dxa"/>
            <w:vAlign w:val="center"/>
          </w:tcPr>
          <w:p>
            <w:pPr>
              <w:spacing w:line="400" w:lineRule="exact"/>
              <w:jc w:val="center"/>
              <w:rPr>
                <w:rFonts w:hint="default" w:eastAsia="仿宋_GB2312"/>
                <w:color w:val="auto"/>
                <w:sz w:val="32"/>
                <w:szCs w:val="32"/>
                <w:highlight w:val="none"/>
                <w:lang w:val="en-US" w:eastAsia="zh-CN"/>
              </w:rPr>
            </w:pPr>
            <w:r>
              <w:rPr>
                <w:rFonts w:eastAsia="仿宋_GB2312"/>
                <w:color w:val="auto"/>
                <w:sz w:val="32"/>
                <w:szCs w:val="32"/>
                <w:highlight w:val="none"/>
              </w:rPr>
              <w:t>5</w:t>
            </w:r>
            <w:r>
              <w:rPr>
                <w:rFonts w:hint="eastAsia" w:eastAsia="仿宋_GB2312"/>
                <w:color w:val="auto"/>
                <w:sz w:val="32"/>
                <w:szCs w:val="32"/>
                <w:highlight w:val="none"/>
                <w:lang w:val="en-US" w:eastAsia="zh-CN"/>
              </w:rPr>
              <w:t>8433</w:t>
            </w:r>
          </w:p>
        </w:tc>
        <w:tc>
          <w:tcPr>
            <w:tcW w:w="2041" w:type="dxa"/>
            <w:vAlign w:val="center"/>
          </w:tcPr>
          <w:p>
            <w:pPr>
              <w:spacing w:line="400" w:lineRule="exact"/>
              <w:jc w:val="center"/>
              <w:rPr>
                <w:rFonts w:hint="default" w:eastAsia="仿宋_GB2312"/>
                <w:color w:val="auto"/>
                <w:sz w:val="32"/>
                <w:szCs w:val="32"/>
                <w:highlight w:val="none"/>
                <w:lang w:val="en-US" w:eastAsia="zh-CN"/>
              </w:rPr>
            </w:pPr>
            <w:r>
              <w:rPr>
                <w:rFonts w:hint="eastAsia" w:eastAsia="仿宋_GB2312"/>
                <w:color w:val="auto"/>
                <w:sz w:val="32"/>
                <w:szCs w:val="32"/>
                <w:highlight w:val="none"/>
                <w:lang w:val="en-US" w:eastAsia="zh-CN"/>
              </w:rPr>
              <w:t>381840</w:t>
            </w:r>
          </w:p>
        </w:tc>
        <w:tc>
          <w:tcPr>
            <w:tcW w:w="1569" w:type="dxa"/>
            <w:vAlign w:val="center"/>
          </w:tcPr>
          <w:p>
            <w:pPr>
              <w:spacing w:line="400" w:lineRule="exact"/>
              <w:jc w:val="center"/>
              <w:rPr>
                <w:rFonts w:hint="default" w:eastAsia="仿宋_GB2312"/>
                <w:color w:val="auto"/>
                <w:sz w:val="32"/>
                <w:szCs w:val="32"/>
                <w:highlight w:val="none"/>
                <w:lang w:val="en-US" w:eastAsia="zh-CN"/>
              </w:rPr>
            </w:pPr>
            <w:r>
              <w:rPr>
                <w:rFonts w:hint="eastAsia" w:eastAsia="仿宋_GB2312"/>
                <w:color w:val="auto"/>
                <w:sz w:val="32"/>
                <w:szCs w:val="32"/>
                <w:highlight w:val="none"/>
                <w:lang w:val="en-US" w:eastAsia="zh-CN"/>
              </w:rPr>
              <w:t>15.30</w:t>
            </w:r>
          </w:p>
        </w:tc>
        <w:tc>
          <w:tcPr>
            <w:tcW w:w="1477" w:type="dxa"/>
            <w:vAlign w:val="center"/>
          </w:tcPr>
          <w:p>
            <w:pPr>
              <w:spacing w:line="400" w:lineRule="exact"/>
              <w:jc w:val="center"/>
              <w:rPr>
                <w:rFonts w:hint="default" w:eastAsia="仿宋_GB2312"/>
                <w:color w:val="auto"/>
                <w:sz w:val="32"/>
                <w:szCs w:val="32"/>
                <w:highlight w:val="none"/>
                <w:lang w:val="en-US" w:eastAsia="zh-CN"/>
              </w:rPr>
            </w:pPr>
            <w:r>
              <w:rPr>
                <w:rFonts w:hint="eastAsia" w:eastAsia="仿宋_GB2312"/>
                <w:color w:val="auto"/>
                <w:sz w:val="32"/>
                <w:szCs w:val="32"/>
                <w:highlight w:val="none"/>
                <w:lang w:val="en-US" w:eastAsia="zh-CN"/>
              </w:rPr>
              <w:t>-0.38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66" w:type="dxa"/>
            <w:vAlign w:val="center"/>
          </w:tcPr>
          <w:p>
            <w:pPr>
              <w:spacing w:line="400" w:lineRule="exact"/>
              <w:jc w:val="center"/>
              <w:rPr>
                <w:rFonts w:eastAsia="仿宋_GB2312"/>
                <w:color w:val="auto"/>
                <w:sz w:val="32"/>
                <w:szCs w:val="32"/>
                <w:highlight w:val="none"/>
              </w:rPr>
            </w:pPr>
            <w:r>
              <w:rPr>
                <w:rFonts w:eastAsia="仿宋_GB2312"/>
                <w:color w:val="auto"/>
                <w:sz w:val="30"/>
                <w:szCs w:val="30"/>
                <w:highlight w:val="none"/>
              </w:rPr>
              <w:t>20</w:t>
            </w:r>
            <w:r>
              <w:rPr>
                <w:rFonts w:hint="eastAsia" w:eastAsia="仿宋_GB2312"/>
                <w:color w:val="auto"/>
                <w:sz w:val="30"/>
                <w:szCs w:val="30"/>
                <w:highlight w:val="none"/>
                <w:lang w:val="en-US" w:eastAsia="zh-CN"/>
              </w:rPr>
              <w:t>21</w:t>
            </w:r>
            <w:r>
              <w:rPr>
                <w:rFonts w:eastAsia="仿宋_GB2312"/>
                <w:color w:val="auto"/>
                <w:sz w:val="30"/>
                <w:szCs w:val="30"/>
                <w:highlight w:val="none"/>
              </w:rPr>
              <w:t>年</w:t>
            </w:r>
          </w:p>
        </w:tc>
        <w:tc>
          <w:tcPr>
            <w:tcW w:w="1846" w:type="dxa"/>
            <w:vAlign w:val="center"/>
          </w:tcPr>
          <w:p>
            <w:pPr>
              <w:spacing w:line="400" w:lineRule="exact"/>
              <w:jc w:val="center"/>
              <w:rPr>
                <w:rFonts w:hint="default" w:eastAsia="仿宋_GB2312"/>
                <w:color w:val="auto"/>
                <w:sz w:val="32"/>
                <w:szCs w:val="32"/>
                <w:highlight w:val="none"/>
                <w:lang w:val="en-US" w:eastAsia="zh-CN"/>
              </w:rPr>
            </w:pPr>
            <w:r>
              <w:rPr>
                <w:rFonts w:eastAsia="仿宋_GB2312"/>
                <w:color w:val="auto"/>
                <w:sz w:val="32"/>
                <w:szCs w:val="32"/>
                <w:highlight w:val="none"/>
              </w:rPr>
              <w:t>5</w:t>
            </w:r>
            <w:r>
              <w:rPr>
                <w:rFonts w:hint="eastAsia" w:eastAsia="仿宋_GB2312"/>
                <w:color w:val="auto"/>
                <w:sz w:val="32"/>
                <w:szCs w:val="32"/>
                <w:highlight w:val="none"/>
                <w:lang w:val="en-US" w:eastAsia="zh-CN"/>
              </w:rPr>
              <w:t>8075</w:t>
            </w:r>
          </w:p>
        </w:tc>
        <w:tc>
          <w:tcPr>
            <w:tcW w:w="2041" w:type="dxa"/>
            <w:vAlign w:val="center"/>
          </w:tcPr>
          <w:p>
            <w:pPr>
              <w:spacing w:line="400" w:lineRule="exact"/>
              <w:jc w:val="center"/>
              <w:rPr>
                <w:rFonts w:hint="default" w:eastAsia="仿宋_GB2312"/>
                <w:color w:val="auto"/>
                <w:sz w:val="32"/>
                <w:szCs w:val="32"/>
                <w:highlight w:val="none"/>
                <w:lang w:val="en-US" w:eastAsia="zh-CN"/>
              </w:rPr>
            </w:pPr>
            <w:r>
              <w:rPr>
                <w:rFonts w:hint="eastAsia" w:eastAsia="仿宋_GB2312"/>
                <w:color w:val="auto"/>
                <w:sz w:val="32"/>
                <w:szCs w:val="32"/>
                <w:highlight w:val="none"/>
                <w:lang w:val="en-US" w:eastAsia="zh-CN"/>
              </w:rPr>
              <w:t>465151</w:t>
            </w:r>
          </w:p>
        </w:tc>
        <w:tc>
          <w:tcPr>
            <w:tcW w:w="1569" w:type="dxa"/>
            <w:vAlign w:val="center"/>
          </w:tcPr>
          <w:p>
            <w:pPr>
              <w:spacing w:line="400" w:lineRule="exact"/>
              <w:jc w:val="center"/>
              <w:rPr>
                <w:rFonts w:hint="default" w:eastAsia="仿宋_GB2312"/>
                <w:color w:val="auto"/>
                <w:sz w:val="32"/>
                <w:szCs w:val="32"/>
                <w:highlight w:val="none"/>
                <w:lang w:val="en-US" w:eastAsia="zh-CN"/>
              </w:rPr>
            </w:pPr>
            <w:r>
              <w:rPr>
                <w:rFonts w:eastAsia="仿宋_GB2312"/>
                <w:color w:val="auto"/>
                <w:sz w:val="32"/>
                <w:szCs w:val="32"/>
                <w:highlight w:val="none"/>
              </w:rPr>
              <w:t>1</w:t>
            </w:r>
            <w:r>
              <w:rPr>
                <w:rFonts w:hint="eastAsia" w:eastAsia="仿宋_GB2312"/>
                <w:color w:val="auto"/>
                <w:sz w:val="32"/>
                <w:szCs w:val="32"/>
                <w:highlight w:val="none"/>
                <w:lang w:val="en-US" w:eastAsia="zh-CN"/>
              </w:rPr>
              <w:t>2.48</w:t>
            </w:r>
          </w:p>
        </w:tc>
        <w:tc>
          <w:tcPr>
            <w:tcW w:w="1477" w:type="dxa"/>
            <w:vAlign w:val="center"/>
          </w:tcPr>
          <w:p>
            <w:pPr>
              <w:spacing w:line="400" w:lineRule="exact"/>
              <w:jc w:val="center"/>
              <w:rPr>
                <w:rFonts w:hint="default" w:eastAsia="仿宋_GB2312"/>
                <w:color w:val="auto"/>
                <w:sz w:val="32"/>
                <w:szCs w:val="32"/>
                <w:highlight w:val="none"/>
                <w:lang w:val="en-US" w:eastAsia="zh-CN"/>
              </w:rPr>
            </w:pPr>
            <w:r>
              <w:rPr>
                <w:rFonts w:hint="eastAsia" w:eastAsia="仿宋_GB2312"/>
                <w:color w:val="auto"/>
                <w:sz w:val="32"/>
                <w:szCs w:val="32"/>
                <w:highlight w:val="none"/>
                <w:lang w:val="en-US" w:eastAsia="zh-CN"/>
              </w:rPr>
              <w:t>-2.82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66" w:type="dxa"/>
            <w:vAlign w:val="center"/>
          </w:tcPr>
          <w:p>
            <w:pPr>
              <w:spacing w:line="400" w:lineRule="exact"/>
              <w:jc w:val="center"/>
              <w:rPr>
                <w:rFonts w:eastAsia="仿宋_GB2312"/>
                <w:color w:val="auto"/>
                <w:sz w:val="32"/>
                <w:szCs w:val="32"/>
                <w:highlight w:val="none"/>
              </w:rPr>
            </w:pPr>
            <w:r>
              <w:rPr>
                <w:rFonts w:eastAsia="仿宋_GB2312"/>
                <w:color w:val="auto"/>
                <w:sz w:val="30"/>
                <w:szCs w:val="30"/>
                <w:highlight w:val="none"/>
              </w:rPr>
              <w:t>20</w:t>
            </w:r>
            <w:r>
              <w:rPr>
                <w:rFonts w:hint="eastAsia" w:eastAsia="仿宋_GB2312"/>
                <w:color w:val="auto"/>
                <w:sz w:val="30"/>
                <w:szCs w:val="30"/>
                <w:highlight w:val="none"/>
                <w:lang w:val="en-US" w:eastAsia="zh-CN"/>
              </w:rPr>
              <w:t>22</w:t>
            </w:r>
            <w:r>
              <w:rPr>
                <w:rFonts w:eastAsia="仿宋_GB2312"/>
                <w:color w:val="auto"/>
                <w:sz w:val="30"/>
                <w:szCs w:val="30"/>
                <w:highlight w:val="none"/>
              </w:rPr>
              <w:t>年</w:t>
            </w:r>
          </w:p>
        </w:tc>
        <w:tc>
          <w:tcPr>
            <w:tcW w:w="1846" w:type="dxa"/>
            <w:vAlign w:val="center"/>
          </w:tcPr>
          <w:p>
            <w:pPr>
              <w:spacing w:line="400" w:lineRule="exact"/>
              <w:jc w:val="center"/>
              <w:rPr>
                <w:rFonts w:hint="default" w:eastAsia="仿宋_GB2312"/>
                <w:color w:val="auto"/>
                <w:sz w:val="32"/>
                <w:szCs w:val="32"/>
                <w:highlight w:val="none"/>
                <w:lang w:val="en-US" w:eastAsia="zh-CN"/>
              </w:rPr>
            </w:pPr>
            <w:r>
              <w:rPr>
                <w:rFonts w:hint="eastAsia" w:eastAsia="仿宋_GB2312"/>
                <w:color w:val="auto"/>
                <w:sz w:val="32"/>
                <w:szCs w:val="32"/>
                <w:highlight w:val="none"/>
                <w:lang w:val="en-US" w:eastAsia="zh-CN"/>
              </w:rPr>
              <w:t>62187</w:t>
            </w:r>
          </w:p>
        </w:tc>
        <w:tc>
          <w:tcPr>
            <w:tcW w:w="2041" w:type="dxa"/>
            <w:vAlign w:val="center"/>
          </w:tcPr>
          <w:p>
            <w:pPr>
              <w:spacing w:line="400" w:lineRule="exact"/>
              <w:jc w:val="center"/>
              <w:rPr>
                <w:rFonts w:hint="default" w:eastAsia="仿宋_GB2312"/>
                <w:color w:val="auto"/>
                <w:sz w:val="32"/>
                <w:szCs w:val="32"/>
                <w:highlight w:val="none"/>
                <w:lang w:val="en-US" w:eastAsia="zh-CN"/>
              </w:rPr>
            </w:pPr>
            <w:r>
              <w:rPr>
                <w:rFonts w:hint="eastAsia" w:eastAsia="仿宋_GB2312"/>
                <w:color w:val="auto"/>
                <w:sz w:val="32"/>
                <w:szCs w:val="32"/>
                <w:highlight w:val="none"/>
                <w:lang w:val="en-US" w:eastAsia="zh-CN"/>
              </w:rPr>
              <w:t>486864</w:t>
            </w:r>
          </w:p>
        </w:tc>
        <w:tc>
          <w:tcPr>
            <w:tcW w:w="1569" w:type="dxa"/>
            <w:vAlign w:val="center"/>
          </w:tcPr>
          <w:p>
            <w:pPr>
              <w:spacing w:line="400" w:lineRule="exact"/>
              <w:jc w:val="center"/>
              <w:rPr>
                <w:rFonts w:hint="default" w:eastAsia="仿宋_GB2312"/>
                <w:color w:val="auto"/>
                <w:sz w:val="32"/>
                <w:szCs w:val="32"/>
                <w:highlight w:val="none"/>
                <w:lang w:val="en-US" w:eastAsia="zh-CN"/>
              </w:rPr>
            </w:pPr>
            <w:r>
              <w:rPr>
                <w:rFonts w:eastAsia="仿宋_GB2312"/>
                <w:color w:val="auto"/>
                <w:sz w:val="32"/>
                <w:szCs w:val="32"/>
                <w:highlight w:val="none"/>
              </w:rPr>
              <w:t>1</w:t>
            </w:r>
            <w:r>
              <w:rPr>
                <w:rFonts w:hint="eastAsia" w:eastAsia="仿宋_GB2312"/>
                <w:color w:val="auto"/>
                <w:sz w:val="32"/>
                <w:szCs w:val="32"/>
                <w:highlight w:val="none"/>
                <w:lang w:val="en-US" w:eastAsia="zh-CN"/>
              </w:rPr>
              <w:t>2.77</w:t>
            </w:r>
          </w:p>
        </w:tc>
        <w:tc>
          <w:tcPr>
            <w:tcW w:w="1477" w:type="dxa"/>
            <w:vAlign w:val="center"/>
          </w:tcPr>
          <w:p>
            <w:pPr>
              <w:spacing w:line="400" w:lineRule="exact"/>
              <w:jc w:val="center"/>
              <w:rPr>
                <w:rFonts w:hint="default" w:eastAsia="仿宋_GB2312"/>
                <w:color w:val="auto"/>
                <w:sz w:val="32"/>
                <w:szCs w:val="32"/>
                <w:highlight w:val="none"/>
                <w:lang w:val="en-US" w:eastAsia="zh-CN"/>
              </w:rPr>
            </w:pPr>
            <w:r>
              <w:rPr>
                <w:rFonts w:hint="eastAsia" w:eastAsia="仿宋_GB2312"/>
                <w:color w:val="auto"/>
                <w:sz w:val="32"/>
                <w:szCs w:val="32"/>
                <w:highlight w:val="none"/>
                <w:lang w:val="en-US" w:eastAsia="zh-CN"/>
              </w:rPr>
              <w:t>0.29</w:t>
            </w:r>
          </w:p>
        </w:tc>
      </w:tr>
    </w:tbl>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第二个比例（5分）：财政支出总额中教育经费所占比例逐步提高。</w:t>
      </w:r>
    </w:p>
    <w:tbl>
      <w:tblPr>
        <w:tblStyle w:val="12"/>
        <w:tblW w:w="8536" w:type="dxa"/>
        <w:jc w:val="center"/>
        <w:tblInd w:w="0" w:type="dxa"/>
        <w:tblLayout w:type="fixed"/>
        <w:tblCellMar>
          <w:top w:w="0" w:type="dxa"/>
          <w:left w:w="108" w:type="dxa"/>
          <w:bottom w:w="0" w:type="dxa"/>
          <w:right w:w="108" w:type="dxa"/>
        </w:tblCellMar>
      </w:tblPr>
      <w:tblGrid>
        <w:gridCol w:w="1632"/>
        <w:gridCol w:w="2069"/>
        <w:gridCol w:w="1864"/>
        <w:gridCol w:w="1495"/>
        <w:gridCol w:w="1476"/>
      </w:tblGrid>
      <w:tr>
        <w:tblPrEx>
          <w:tblLayout w:type="fixed"/>
          <w:tblCellMar>
            <w:top w:w="0" w:type="dxa"/>
            <w:left w:w="108" w:type="dxa"/>
            <w:bottom w:w="0" w:type="dxa"/>
            <w:right w:w="108" w:type="dxa"/>
          </w:tblCellMar>
        </w:tblPrEx>
        <w:trPr>
          <w:trHeight w:val="1015" w:hRule="atLeast"/>
          <w:jc w:val="center"/>
        </w:trPr>
        <w:tc>
          <w:tcPr>
            <w:tcW w:w="1632" w:type="dxa"/>
            <w:tcBorders>
              <w:top w:val="single" w:color="000000" w:sz="4" w:space="0"/>
              <w:left w:val="single" w:color="000000" w:sz="4" w:space="0"/>
              <w:bottom w:val="single" w:color="000000" w:sz="4" w:space="0"/>
              <w:right w:val="single" w:color="000000" w:sz="4" w:space="0"/>
              <w:tl2br w:val="single" w:color="auto" w:sz="4" w:space="0"/>
            </w:tcBorders>
            <w:vAlign w:val="center"/>
          </w:tcPr>
          <w:p>
            <w:pPr>
              <w:spacing w:line="400" w:lineRule="exact"/>
              <w:ind w:firstLine="600" w:firstLineChars="200"/>
              <w:jc w:val="center"/>
              <w:rPr>
                <w:rFonts w:eastAsia="仿宋_GB2312"/>
                <w:color w:val="auto"/>
                <w:sz w:val="30"/>
                <w:szCs w:val="30"/>
                <w:highlight w:val="none"/>
              </w:rPr>
            </w:pPr>
            <w:r>
              <w:rPr>
                <w:rFonts w:eastAsia="仿宋_GB2312"/>
                <w:color w:val="auto"/>
                <w:sz w:val="30"/>
                <w:szCs w:val="30"/>
                <w:highlight w:val="none"/>
              </w:rPr>
              <w:t>项目</w:t>
            </w:r>
          </w:p>
          <w:p>
            <w:pPr>
              <w:spacing w:line="400" w:lineRule="exact"/>
              <w:rPr>
                <w:rFonts w:eastAsia="仿宋_GB2312"/>
                <w:color w:val="auto"/>
                <w:sz w:val="30"/>
                <w:szCs w:val="30"/>
                <w:highlight w:val="none"/>
              </w:rPr>
            </w:pPr>
            <w:r>
              <w:rPr>
                <w:rFonts w:eastAsia="仿宋_GB2312"/>
                <w:color w:val="auto"/>
                <w:sz w:val="30"/>
                <w:szCs w:val="30"/>
                <w:highlight w:val="none"/>
              </w:rPr>
              <w:t>年度</w:t>
            </w:r>
          </w:p>
        </w:tc>
        <w:tc>
          <w:tcPr>
            <w:tcW w:w="2069" w:type="dxa"/>
            <w:tcBorders>
              <w:top w:val="single" w:color="000000" w:sz="4" w:space="0"/>
              <w:left w:val="nil"/>
              <w:bottom w:val="single" w:color="000000" w:sz="4" w:space="0"/>
              <w:right w:val="single" w:color="000000" w:sz="4" w:space="0"/>
            </w:tcBorders>
            <w:vAlign w:val="center"/>
          </w:tcPr>
          <w:p>
            <w:pPr>
              <w:spacing w:line="400" w:lineRule="exact"/>
              <w:jc w:val="center"/>
              <w:rPr>
                <w:rFonts w:eastAsia="仿宋_GB2312"/>
                <w:color w:val="auto"/>
                <w:sz w:val="30"/>
                <w:szCs w:val="30"/>
                <w:highlight w:val="none"/>
              </w:rPr>
            </w:pPr>
            <w:r>
              <w:rPr>
                <w:rFonts w:eastAsia="仿宋_GB2312"/>
                <w:color w:val="auto"/>
                <w:sz w:val="30"/>
                <w:szCs w:val="30"/>
                <w:highlight w:val="none"/>
              </w:rPr>
              <w:t>预算内教育拨款（万元）</w:t>
            </w:r>
          </w:p>
        </w:tc>
        <w:tc>
          <w:tcPr>
            <w:tcW w:w="1864" w:type="dxa"/>
            <w:tcBorders>
              <w:top w:val="single" w:color="000000" w:sz="4" w:space="0"/>
              <w:left w:val="nil"/>
              <w:bottom w:val="single" w:color="000000" w:sz="4" w:space="0"/>
              <w:right w:val="single" w:color="000000" w:sz="4" w:space="0"/>
            </w:tcBorders>
            <w:vAlign w:val="center"/>
          </w:tcPr>
          <w:p>
            <w:pPr>
              <w:spacing w:line="400" w:lineRule="exact"/>
              <w:jc w:val="center"/>
              <w:rPr>
                <w:rFonts w:eastAsia="仿宋_GB2312"/>
                <w:color w:val="auto"/>
                <w:sz w:val="30"/>
                <w:szCs w:val="30"/>
                <w:highlight w:val="none"/>
              </w:rPr>
            </w:pPr>
            <w:r>
              <w:rPr>
                <w:rFonts w:eastAsia="仿宋_GB2312"/>
                <w:color w:val="auto"/>
                <w:sz w:val="30"/>
                <w:szCs w:val="30"/>
                <w:highlight w:val="none"/>
              </w:rPr>
              <w:t>公共财政支出（万元）</w:t>
            </w:r>
          </w:p>
        </w:tc>
        <w:tc>
          <w:tcPr>
            <w:tcW w:w="1495" w:type="dxa"/>
            <w:tcBorders>
              <w:top w:val="single" w:color="000000" w:sz="4" w:space="0"/>
              <w:left w:val="nil"/>
              <w:bottom w:val="single" w:color="000000" w:sz="4" w:space="0"/>
              <w:right w:val="single" w:color="auto" w:sz="4" w:space="0"/>
            </w:tcBorders>
            <w:vAlign w:val="center"/>
          </w:tcPr>
          <w:p>
            <w:pPr>
              <w:spacing w:line="400" w:lineRule="exact"/>
              <w:jc w:val="center"/>
              <w:rPr>
                <w:rFonts w:eastAsia="仿宋_GB2312"/>
                <w:color w:val="auto"/>
                <w:sz w:val="30"/>
                <w:szCs w:val="30"/>
                <w:highlight w:val="none"/>
              </w:rPr>
            </w:pPr>
            <w:r>
              <w:rPr>
                <w:rFonts w:eastAsia="仿宋_GB2312"/>
                <w:color w:val="auto"/>
                <w:sz w:val="30"/>
                <w:szCs w:val="30"/>
                <w:highlight w:val="none"/>
              </w:rPr>
              <w:t>所占比例%</w:t>
            </w:r>
          </w:p>
        </w:tc>
        <w:tc>
          <w:tcPr>
            <w:tcW w:w="1476" w:type="dxa"/>
            <w:tcBorders>
              <w:top w:val="single" w:color="000000" w:sz="4" w:space="0"/>
              <w:left w:val="single" w:color="auto" w:sz="4" w:space="0"/>
              <w:bottom w:val="single" w:color="000000" w:sz="4" w:space="0"/>
              <w:right w:val="single" w:color="000000" w:sz="4" w:space="0"/>
            </w:tcBorders>
            <w:vAlign w:val="center"/>
          </w:tcPr>
          <w:p>
            <w:pPr>
              <w:spacing w:line="400" w:lineRule="exact"/>
              <w:jc w:val="center"/>
              <w:rPr>
                <w:rFonts w:eastAsia="仿宋_GB2312"/>
                <w:color w:val="auto"/>
                <w:sz w:val="30"/>
                <w:szCs w:val="30"/>
                <w:highlight w:val="none"/>
              </w:rPr>
            </w:pPr>
            <w:r>
              <w:rPr>
                <w:rFonts w:eastAsia="仿宋_GB2312"/>
                <w:color w:val="auto"/>
                <w:sz w:val="30"/>
                <w:szCs w:val="30"/>
                <w:highlight w:val="none"/>
              </w:rPr>
              <w:t>与上年比例之差</w:t>
            </w:r>
          </w:p>
        </w:tc>
      </w:tr>
      <w:tr>
        <w:tblPrEx>
          <w:tblLayout w:type="fixed"/>
          <w:tblCellMar>
            <w:top w:w="0" w:type="dxa"/>
            <w:left w:w="108" w:type="dxa"/>
            <w:bottom w:w="0" w:type="dxa"/>
            <w:right w:w="108" w:type="dxa"/>
          </w:tblCellMar>
        </w:tblPrEx>
        <w:trPr>
          <w:trHeight w:val="454" w:hRule="atLeast"/>
          <w:jc w:val="center"/>
        </w:trPr>
        <w:tc>
          <w:tcPr>
            <w:tcW w:w="163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仿宋_GB2312"/>
                <w:color w:val="auto"/>
                <w:sz w:val="32"/>
                <w:szCs w:val="32"/>
                <w:highlight w:val="none"/>
              </w:rPr>
            </w:pPr>
            <w:r>
              <w:rPr>
                <w:rFonts w:eastAsia="仿宋_GB2312"/>
                <w:color w:val="auto"/>
                <w:sz w:val="30"/>
                <w:szCs w:val="30"/>
                <w:highlight w:val="none"/>
              </w:rPr>
              <w:t>20</w:t>
            </w:r>
            <w:r>
              <w:rPr>
                <w:rFonts w:hint="eastAsia" w:eastAsia="仿宋_GB2312"/>
                <w:color w:val="auto"/>
                <w:sz w:val="30"/>
                <w:szCs w:val="30"/>
                <w:highlight w:val="none"/>
                <w:lang w:val="en-US" w:eastAsia="zh-CN"/>
              </w:rPr>
              <w:t>19</w:t>
            </w:r>
            <w:r>
              <w:rPr>
                <w:rFonts w:eastAsia="仿宋_GB2312"/>
                <w:color w:val="auto"/>
                <w:sz w:val="30"/>
                <w:szCs w:val="30"/>
                <w:highlight w:val="none"/>
              </w:rPr>
              <w:t>年</w:t>
            </w:r>
          </w:p>
        </w:tc>
        <w:tc>
          <w:tcPr>
            <w:tcW w:w="2069" w:type="dxa"/>
            <w:tcBorders>
              <w:top w:val="single" w:color="000000" w:sz="4" w:space="0"/>
              <w:left w:val="nil"/>
              <w:bottom w:val="single" w:color="000000" w:sz="4" w:space="0"/>
              <w:right w:val="single" w:color="000000" w:sz="4" w:space="0"/>
            </w:tcBorders>
            <w:vAlign w:val="center"/>
          </w:tcPr>
          <w:p>
            <w:pPr>
              <w:spacing w:line="400" w:lineRule="exact"/>
              <w:jc w:val="center"/>
              <w:rPr>
                <w:rFonts w:hint="default" w:eastAsia="仿宋_GB2312"/>
                <w:color w:val="auto"/>
                <w:sz w:val="32"/>
                <w:szCs w:val="32"/>
                <w:highlight w:val="none"/>
                <w:lang w:val="en-US" w:eastAsia="zh-CN"/>
              </w:rPr>
            </w:pPr>
            <w:r>
              <w:rPr>
                <w:rFonts w:hint="eastAsia" w:eastAsia="仿宋_GB2312"/>
                <w:color w:val="auto"/>
                <w:sz w:val="32"/>
                <w:szCs w:val="32"/>
                <w:highlight w:val="none"/>
                <w:lang w:val="en-US" w:eastAsia="zh-CN"/>
              </w:rPr>
              <w:t>44024</w:t>
            </w:r>
          </w:p>
        </w:tc>
        <w:tc>
          <w:tcPr>
            <w:tcW w:w="1864" w:type="dxa"/>
            <w:tcBorders>
              <w:top w:val="single" w:color="000000" w:sz="4" w:space="0"/>
              <w:left w:val="nil"/>
              <w:bottom w:val="single" w:color="000000" w:sz="4" w:space="0"/>
              <w:right w:val="single" w:color="000000" w:sz="4" w:space="0"/>
            </w:tcBorders>
            <w:vAlign w:val="center"/>
          </w:tcPr>
          <w:p>
            <w:pPr>
              <w:spacing w:line="400" w:lineRule="exact"/>
              <w:jc w:val="center"/>
              <w:rPr>
                <w:rFonts w:hint="default" w:eastAsia="仿宋_GB2312"/>
                <w:color w:val="auto"/>
                <w:sz w:val="32"/>
                <w:szCs w:val="32"/>
                <w:highlight w:val="none"/>
                <w:lang w:val="en-US" w:eastAsia="zh-CN"/>
              </w:rPr>
            </w:pPr>
            <w:r>
              <w:rPr>
                <w:rFonts w:hint="eastAsia" w:eastAsia="仿宋_GB2312"/>
                <w:color w:val="auto"/>
                <w:sz w:val="32"/>
                <w:szCs w:val="32"/>
                <w:highlight w:val="none"/>
                <w:lang w:val="en-US" w:eastAsia="zh-CN"/>
              </w:rPr>
              <w:t>206609</w:t>
            </w:r>
          </w:p>
        </w:tc>
        <w:tc>
          <w:tcPr>
            <w:tcW w:w="1495" w:type="dxa"/>
            <w:tcBorders>
              <w:top w:val="single" w:color="000000" w:sz="4" w:space="0"/>
              <w:left w:val="nil"/>
              <w:bottom w:val="single" w:color="000000" w:sz="4" w:space="0"/>
              <w:right w:val="single" w:color="auto" w:sz="4" w:space="0"/>
            </w:tcBorders>
            <w:vAlign w:val="center"/>
          </w:tcPr>
          <w:p>
            <w:pPr>
              <w:spacing w:line="400" w:lineRule="exact"/>
              <w:jc w:val="center"/>
              <w:rPr>
                <w:rFonts w:hint="default" w:eastAsia="仿宋_GB2312"/>
                <w:color w:val="auto"/>
                <w:sz w:val="32"/>
                <w:szCs w:val="32"/>
                <w:highlight w:val="none"/>
                <w:lang w:val="en-US" w:eastAsia="zh-CN"/>
              </w:rPr>
            </w:pPr>
            <w:r>
              <w:rPr>
                <w:rFonts w:hint="eastAsia" w:eastAsia="仿宋_GB2312"/>
                <w:color w:val="auto"/>
                <w:sz w:val="32"/>
                <w:szCs w:val="32"/>
                <w:highlight w:val="none"/>
                <w:lang w:val="en-US" w:eastAsia="zh-CN"/>
              </w:rPr>
              <w:t>21.31</w:t>
            </w:r>
          </w:p>
        </w:tc>
        <w:tc>
          <w:tcPr>
            <w:tcW w:w="1476" w:type="dxa"/>
            <w:tcBorders>
              <w:top w:val="single" w:color="000000" w:sz="4" w:space="0"/>
              <w:left w:val="single" w:color="auto" w:sz="4" w:space="0"/>
              <w:bottom w:val="single" w:color="000000" w:sz="4" w:space="0"/>
              <w:right w:val="single" w:color="000000" w:sz="4" w:space="0"/>
            </w:tcBorders>
            <w:vAlign w:val="center"/>
          </w:tcPr>
          <w:p>
            <w:pPr>
              <w:spacing w:line="400" w:lineRule="exact"/>
              <w:jc w:val="center"/>
              <w:rPr>
                <w:rFonts w:eastAsia="仿宋_GB2312"/>
                <w:color w:val="auto"/>
                <w:sz w:val="32"/>
                <w:szCs w:val="32"/>
                <w:highlight w:val="none"/>
              </w:rPr>
            </w:pPr>
            <w:r>
              <w:rPr>
                <w:rFonts w:hint="eastAsia" w:eastAsia="仿宋_GB2312"/>
                <w:color w:val="auto"/>
                <w:sz w:val="32"/>
                <w:szCs w:val="3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32" w:type="dxa"/>
            <w:vAlign w:val="center"/>
          </w:tcPr>
          <w:p>
            <w:pPr>
              <w:spacing w:line="400" w:lineRule="exact"/>
              <w:jc w:val="center"/>
              <w:rPr>
                <w:rFonts w:eastAsia="仿宋_GB2312"/>
                <w:color w:val="auto"/>
                <w:sz w:val="32"/>
                <w:szCs w:val="32"/>
                <w:highlight w:val="none"/>
              </w:rPr>
            </w:pPr>
            <w:r>
              <w:rPr>
                <w:rFonts w:eastAsia="仿宋_GB2312"/>
                <w:color w:val="auto"/>
                <w:sz w:val="30"/>
                <w:szCs w:val="30"/>
                <w:highlight w:val="none"/>
              </w:rPr>
              <w:t>20</w:t>
            </w:r>
            <w:r>
              <w:rPr>
                <w:rFonts w:hint="eastAsia" w:eastAsia="仿宋_GB2312"/>
                <w:color w:val="auto"/>
                <w:sz w:val="30"/>
                <w:szCs w:val="30"/>
                <w:highlight w:val="none"/>
                <w:lang w:val="en-US" w:eastAsia="zh-CN"/>
              </w:rPr>
              <w:t>20</w:t>
            </w:r>
            <w:r>
              <w:rPr>
                <w:rFonts w:eastAsia="仿宋_GB2312"/>
                <w:color w:val="auto"/>
                <w:sz w:val="30"/>
                <w:szCs w:val="30"/>
                <w:highlight w:val="none"/>
              </w:rPr>
              <w:t>年</w:t>
            </w:r>
          </w:p>
        </w:tc>
        <w:tc>
          <w:tcPr>
            <w:tcW w:w="2069" w:type="dxa"/>
            <w:vAlign w:val="center"/>
          </w:tcPr>
          <w:p>
            <w:pPr>
              <w:spacing w:line="400" w:lineRule="exact"/>
              <w:jc w:val="center"/>
              <w:rPr>
                <w:rFonts w:hint="default" w:eastAsia="仿宋_GB2312"/>
                <w:color w:val="auto"/>
                <w:sz w:val="32"/>
                <w:szCs w:val="32"/>
                <w:highlight w:val="none"/>
                <w:lang w:val="en-US" w:eastAsia="zh-CN"/>
              </w:rPr>
            </w:pPr>
            <w:r>
              <w:rPr>
                <w:rFonts w:hint="eastAsia" w:eastAsia="仿宋_GB2312"/>
                <w:color w:val="auto"/>
                <w:sz w:val="32"/>
                <w:szCs w:val="32"/>
                <w:highlight w:val="none"/>
                <w:lang w:val="en-US" w:eastAsia="zh-CN"/>
              </w:rPr>
              <w:t>50611</w:t>
            </w:r>
          </w:p>
        </w:tc>
        <w:tc>
          <w:tcPr>
            <w:tcW w:w="1864" w:type="dxa"/>
            <w:vAlign w:val="center"/>
          </w:tcPr>
          <w:p>
            <w:pPr>
              <w:spacing w:line="400" w:lineRule="exact"/>
              <w:jc w:val="center"/>
              <w:rPr>
                <w:rFonts w:hint="default" w:eastAsia="仿宋_GB2312"/>
                <w:color w:val="auto"/>
                <w:sz w:val="32"/>
                <w:szCs w:val="32"/>
                <w:highlight w:val="none"/>
                <w:lang w:val="en-US" w:eastAsia="zh-CN"/>
              </w:rPr>
            </w:pPr>
            <w:r>
              <w:rPr>
                <w:rFonts w:eastAsia="仿宋_GB2312"/>
                <w:color w:val="auto"/>
                <w:sz w:val="32"/>
                <w:szCs w:val="32"/>
                <w:highlight w:val="none"/>
              </w:rPr>
              <w:t>2</w:t>
            </w:r>
            <w:r>
              <w:rPr>
                <w:rFonts w:hint="eastAsia" w:eastAsia="仿宋_GB2312"/>
                <w:color w:val="auto"/>
                <w:sz w:val="32"/>
                <w:szCs w:val="32"/>
                <w:highlight w:val="none"/>
                <w:lang w:val="en-US" w:eastAsia="zh-CN"/>
              </w:rPr>
              <w:t>56895</w:t>
            </w:r>
          </w:p>
        </w:tc>
        <w:tc>
          <w:tcPr>
            <w:tcW w:w="1495" w:type="dxa"/>
            <w:vAlign w:val="center"/>
          </w:tcPr>
          <w:p>
            <w:pPr>
              <w:spacing w:line="400" w:lineRule="exact"/>
              <w:jc w:val="center"/>
              <w:rPr>
                <w:rFonts w:hint="default" w:eastAsia="仿宋_GB2312"/>
                <w:color w:val="auto"/>
                <w:sz w:val="32"/>
                <w:szCs w:val="32"/>
                <w:highlight w:val="none"/>
                <w:lang w:val="en-US" w:eastAsia="zh-CN"/>
              </w:rPr>
            </w:pPr>
            <w:r>
              <w:rPr>
                <w:rFonts w:hint="eastAsia" w:eastAsia="仿宋_GB2312"/>
                <w:color w:val="auto"/>
                <w:sz w:val="32"/>
                <w:szCs w:val="32"/>
                <w:highlight w:val="none"/>
                <w:lang w:val="en-US" w:eastAsia="zh-CN"/>
              </w:rPr>
              <w:t>19.70</w:t>
            </w:r>
          </w:p>
        </w:tc>
        <w:tc>
          <w:tcPr>
            <w:tcW w:w="1476" w:type="dxa"/>
            <w:vAlign w:val="center"/>
          </w:tcPr>
          <w:p>
            <w:pPr>
              <w:spacing w:line="400" w:lineRule="exact"/>
              <w:jc w:val="center"/>
              <w:rPr>
                <w:rFonts w:hint="default" w:eastAsia="仿宋_GB2312"/>
                <w:color w:val="auto"/>
                <w:sz w:val="32"/>
                <w:szCs w:val="32"/>
                <w:highlight w:val="none"/>
                <w:lang w:val="en-US" w:eastAsia="zh-CN"/>
              </w:rPr>
            </w:pPr>
            <w:r>
              <w:rPr>
                <w:rFonts w:eastAsia="仿宋_GB2312"/>
                <w:color w:val="auto"/>
                <w:sz w:val="32"/>
                <w:szCs w:val="32"/>
                <w:highlight w:val="none"/>
              </w:rPr>
              <w:t>-</w:t>
            </w:r>
            <w:r>
              <w:rPr>
                <w:rFonts w:hint="eastAsia" w:eastAsia="仿宋_GB2312"/>
                <w:color w:val="auto"/>
                <w:sz w:val="32"/>
                <w:szCs w:val="32"/>
                <w:highlight w:val="none"/>
                <w:lang w:val="en-US" w:eastAsia="zh-CN"/>
              </w:rPr>
              <w:t>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32" w:type="dxa"/>
            <w:vAlign w:val="center"/>
          </w:tcPr>
          <w:p>
            <w:pPr>
              <w:spacing w:line="400" w:lineRule="exact"/>
              <w:jc w:val="center"/>
              <w:rPr>
                <w:rFonts w:eastAsia="仿宋_GB2312"/>
                <w:color w:val="auto"/>
                <w:sz w:val="32"/>
                <w:szCs w:val="32"/>
                <w:highlight w:val="none"/>
              </w:rPr>
            </w:pPr>
            <w:r>
              <w:rPr>
                <w:rFonts w:eastAsia="仿宋_GB2312"/>
                <w:color w:val="auto"/>
                <w:sz w:val="30"/>
                <w:szCs w:val="30"/>
                <w:highlight w:val="none"/>
              </w:rPr>
              <w:t>20</w:t>
            </w:r>
            <w:r>
              <w:rPr>
                <w:rFonts w:hint="eastAsia" w:eastAsia="仿宋_GB2312"/>
                <w:color w:val="auto"/>
                <w:sz w:val="30"/>
                <w:szCs w:val="30"/>
                <w:highlight w:val="none"/>
                <w:lang w:val="en-US" w:eastAsia="zh-CN"/>
              </w:rPr>
              <w:t>21</w:t>
            </w:r>
            <w:r>
              <w:rPr>
                <w:rFonts w:eastAsia="仿宋_GB2312"/>
                <w:color w:val="auto"/>
                <w:sz w:val="30"/>
                <w:szCs w:val="30"/>
                <w:highlight w:val="none"/>
              </w:rPr>
              <w:t>年</w:t>
            </w:r>
          </w:p>
        </w:tc>
        <w:tc>
          <w:tcPr>
            <w:tcW w:w="2069" w:type="dxa"/>
            <w:vAlign w:val="center"/>
          </w:tcPr>
          <w:p>
            <w:pPr>
              <w:spacing w:line="400" w:lineRule="exact"/>
              <w:jc w:val="center"/>
              <w:rPr>
                <w:rFonts w:hint="default" w:eastAsia="仿宋_GB2312"/>
                <w:color w:val="auto"/>
                <w:sz w:val="32"/>
                <w:szCs w:val="32"/>
                <w:highlight w:val="none"/>
                <w:lang w:val="en-US" w:eastAsia="zh-CN"/>
              </w:rPr>
            </w:pPr>
            <w:r>
              <w:rPr>
                <w:rFonts w:hint="eastAsia" w:eastAsia="仿宋_GB2312"/>
                <w:color w:val="auto"/>
                <w:sz w:val="32"/>
                <w:szCs w:val="32"/>
                <w:highlight w:val="none"/>
                <w:lang w:val="en-US" w:eastAsia="zh-CN"/>
              </w:rPr>
              <w:t>56005</w:t>
            </w:r>
          </w:p>
        </w:tc>
        <w:tc>
          <w:tcPr>
            <w:tcW w:w="1864" w:type="dxa"/>
            <w:vAlign w:val="center"/>
          </w:tcPr>
          <w:p>
            <w:pPr>
              <w:spacing w:line="400" w:lineRule="exact"/>
              <w:jc w:val="center"/>
              <w:rPr>
                <w:rFonts w:hint="default" w:eastAsia="仿宋_GB2312"/>
                <w:color w:val="auto"/>
                <w:sz w:val="32"/>
                <w:szCs w:val="32"/>
                <w:highlight w:val="none"/>
                <w:lang w:val="en-US" w:eastAsia="zh-CN"/>
              </w:rPr>
            </w:pPr>
            <w:r>
              <w:rPr>
                <w:rFonts w:eastAsia="仿宋_GB2312"/>
                <w:color w:val="auto"/>
                <w:sz w:val="32"/>
                <w:szCs w:val="32"/>
                <w:highlight w:val="none"/>
              </w:rPr>
              <w:t>2</w:t>
            </w:r>
            <w:r>
              <w:rPr>
                <w:rFonts w:hint="eastAsia" w:eastAsia="仿宋_GB2312"/>
                <w:color w:val="auto"/>
                <w:sz w:val="32"/>
                <w:szCs w:val="32"/>
                <w:highlight w:val="none"/>
                <w:lang w:val="en-US" w:eastAsia="zh-CN"/>
              </w:rPr>
              <w:t>17906</w:t>
            </w:r>
          </w:p>
        </w:tc>
        <w:tc>
          <w:tcPr>
            <w:tcW w:w="1495" w:type="dxa"/>
            <w:vAlign w:val="center"/>
          </w:tcPr>
          <w:p>
            <w:pPr>
              <w:spacing w:line="400" w:lineRule="exact"/>
              <w:jc w:val="center"/>
              <w:rPr>
                <w:rFonts w:hint="default" w:eastAsia="仿宋_GB2312"/>
                <w:color w:val="auto"/>
                <w:sz w:val="32"/>
                <w:szCs w:val="32"/>
                <w:highlight w:val="none"/>
                <w:lang w:val="en-US" w:eastAsia="zh-CN"/>
              </w:rPr>
            </w:pPr>
            <w:r>
              <w:rPr>
                <w:rFonts w:hint="eastAsia" w:eastAsia="仿宋_GB2312"/>
                <w:color w:val="auto"/>
                <w:sz w:val="32"/>
                <w:szCs w:val="32"/>
                <w:highlight w:val="none"/>
                <w:lang w:val="en-US" w:eastAsia="zh-CN"/>
              </w:rPr>
              <w:t>25.70</w:t>
            </w:r>
          </w:p>
        </w:tc>
        <w:tc>
          <w:tcPr>
            <w:tcW w:w="1476" w:type="dxa"/>
            <w:vAlign w:val="center"/>
          </w:tcPr>
          <w:p>
            <w:pPr>
              <w:spacing w:line="400" w:lineRule="exact"/>
              <w:jc w:val="center"/>
              <w:rPr>
                <w:rFonts w:hint="default" w:eastAsia="仿宋_GB2312"/>
                <w:color w:val="auto"/>
                <w:sz w:val="32"/>
                <w:szCs w:val="32"/>
                <w:highlight w:val="none"/>
                <w:lang w:val="en-US" w:eastAsia="zh-CN"/>
              </w:rPr>
            </w:pPr>
            <w:r>
              <w:rPr>
                <w:rFonts w:hint="eastAsia" w:eastAsia="仿宋_GB2312"/>
                <w:color w:val="auto"/>
                <w:sz w:val="32"/>
                <w:szCs w:val="32"/>
                <w:highlight w:val="no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32" w:type="dxa"/>
            <w:vAlign w:val="center"/>
          </w:tcPr>
          <w:p>
            <w:pPr>
              <w:spacing w:line="400" w:lineRule="exact"/>
              <w:jc w:val="center"/>
              <w:rPr>
                <w:rFonts w:eastAsia="仿宋_GB2312"/>
                <w:color w:val="auto"/>
                <w:sz w:val="32"/>
                <w:szCs w:val="32"/>
                <w:highlight w:val="none"/>
              </w:rPr>
            </w:pPr>
            <w:r>
              <w:rPr>
                <w:rFonts w:eastAsia="仿宋_GB2312"/>
                <w:color w:val="auto"/>
                <w:sz w:val="30"/>
                <w:szCs w:val="30"/>
                <w:highlight w:val="none"/>
              </w:rPr>
              <w:t>20</w:t>
            </w:r>
            <w:r>
              <w:rPr>
                <w:rFonts w:hint="eastAsia" w:eastAsia="仿宋_GB2312"/>
                <w:color w:val="auto"/>
                <w:sz w:val="30"/>
                <w:szCs w:val="30"/>
                <w:highlight w:val="none"/>
                <w:lang w:val="en-US" w:eastAsia="zh-CN"/>
              </w:rPr>
              <w:t>22</w:t>
            </w:r>
            <w:r>
              <w:rPr>
                <w:rFonts w:eastAsia="仿宋_GB2312"/>
                <w:color w:val="auto"/>
                <w:sz w:val="30"/>
                <w:szCs w:val="30"/>
                <w:highlight w:val="none"/>
              </w:rPr>
              <w:t>年</w:t>
            </w:r>
          </w:p>
        </w:tc>
        <w:tc>
          <w:tcPr>
            <w:tcW w:w="2069" w:type="dxa"/>
            <w:vAlign w:val="center"/>
          </w:tcPr>
          <w:p>
            <w:pPr>
              <w:spacing w:line="400" w:lineRule="exact"/>
              <w:jc w:val="center"/>
              <w:rPr>
                <w:rFonts w:hint="default" w:eastAsia="仿宋_GB2312"/>
                <w:color w:val="auto"/>
                <w:sz w:val="32"/>
                <w:szCs w:val="32"/>
                <w:highlight w:val="none"/>
                <w:lang w:val="en-US" w:eastAsia="zh-CN"/>
              </w:rPr>
            </w:pPr>
            <w:r>
              <w:rPr>
                <w:rFonts w:hint="eastAsia" w:eastAsia="仿宋_GB2312"/>
                <w:color w:val="auto"/>
                <w:sz w:val="32"/>
                <w:szCs w:val="32"/>
                <w:highlight w:val="none"/>
                <w:lang w:val="en-US" w:eastAsia="zh-CN"/>
              </w:rPr>
              <w:t>60035</w:t>
            </w:r>
          </w:p>
        </w:tc>
        <w:tc>
          <w:tcPr>
            <w:tcW w:w="1864" w:type="dxa"/>
            <w:vAlign w:val="center"/>
          </w:tcPr>
          <w:p>
            <w:pPr>
              <w:spacing w:line="400" w:lineRule="exact"/>
              <w:jc w:val="center"/>
              <w:rPr>
                <w:rFonts w:hint="default" w:eastAsia="仿宋_GB2312"/>
                <w:color w:val="auto"/>
                <w:sz w:val="32"/>
                <w:szCs w:val="32"/>
                <w:highlight w:val="none"/>
                <w:lang w:val="en-US" w:eastAsia="zh-CN"/>
              </w:rPr>
            </w:pPr>
            <w:r>
              <w:rPr>
                <w:rFonts w:eastAsia="仿宋_GB2312"/>
                <w:color w:val="auto"/>
                <w:sz w:val="32"/>
                <w:szCs w:val="32"/>
                <w:highlight w:val="none"/>
              </w:rPr>
              <w:t>2</w:t>
            </w:r>
            <w:r>
              <w:rPr>
                <w:rFonts w:hint="eastAsia" w:eastAsia="仿宋_GB2312"/>
                <w:color w:val="auto"/>
                <w:sz w:val="32"/>
                <w:szCs w:val="32"/>
                <w:highlight w:val="none"/>
                <w:lang w:val="en-US" w:eastAsia="zh-CN"/>
              </w:rPr>
              <w:t>47783</w:t>
            </w:r>
          </w:p>
        </w:tc>
        <w:tc>
          <w:tcPr>
            <w:tcW w:w="1495" w:type="dxa"/>
            <w:vAlign w:val="center"/>
          </w:tcPr>
          <w:p>
            <w:pPr>
              <w:spacing w:line="400" w:lineRule="exact"/>
              <w:jc w:val="center"/>
              <w:rPr>
                <w:rFonts w:hint="default" w:eastAsia="仿宋_GB2312"/>
                <w:color w:val="auto"/>
                <w:sz w:val="32"/>
                <w:szCs w:val="32"/>
                <w:highlight w:val="none"/>
                <w:lang w:val="en-US" w:eastAsia="zh-CN"/>
              </w:rPr>
            </w:pPr>
            <w:r>
              <w:rPr>
                <w:rFonts w:hint="eastAsia" w:eastAsia="仿宋_GB2312"/>
                <w:color w:val="auto"/>
                <w:sz w:val="32"/>
                <w:szCs w:val="32"/>
                <w:highlight w:val="none"/>
                <w:lang w:val="en-US" w:eastAsia="zh-CN"/>
              </w:rPr>
              <w:t>24.23</w:t>
            </w:r>
          </w:p>
        </w:tc>
        <w:tc>
          <w:tcPr>
            <w:tcW w:w="1476" w:type="dxa"/>
            <w:vAlign w:val="center"/>
          </w:tcPr>
          <w:p>
            <w:pPr>
              <w:spacing w:line="400" w:lineRule="exact"/>
              <w:jc w:val="center"/>
              <w:rPr>
                <w:rFonts w:hint="default" w:eastAsia="仿宋_GB2312"/>
                <w:color w:val="auto"/>
                <w:sz w:val="32"/>
                <w:szCs w:val="32"/>
                <w:highlight w:val="none"/>
                <w:lang w:val="en-US" w:eastAsia="zh-CN"/>
              </w:rPr>
            </w:pPr>
            <w:r>
              <w:rPr>
                <w:rFonts w:hint="eastAsia" w:eastAsia="仿宋_GB2312"/>
                <w:color w:val="auto"/>
                <w:sz w:val="32"/>
                <w:szCs w:val="32"/>
                <w:highlight w:val="none"/>
                <w:lang w:val="en-US" w:eastAsia="zh-CN"/>
              </w:rPr>
              <w:t>1.47</w:t>
            </w:r>
          </w:p>
        </w:tc>
      </w:tr>
    </w:tbl>
    <w:p>
      <w:pPr>
        <w:spacing w:line="560" w:lineRule="exact"/>
        <w:ind w:firstLine="640" w:firstLineChars="200"/>
        <w:rPr>
          <w:rFonts w:eastAsia="仿宋_GB2312"/>
          <w:color w:val="auto"/>
          <w:sz w:val="32"/>
          <w:szCs w:val="32"/>
          <w:highlight w:val="none"/>
        </w:rPr>
      </w:pPr>
      <w:r>
        <w:rPr>
          <w:rFonts w:hint="eastAsia" w:eastAsia="仿宋_GB2312"/>
          <w:color w:val="auto"/>
          <w:sz w:val="32"/>
          <w:szCs w:val="32"/>
          <w:highlight w:val="none"/>
        </w:rPr>
        <w:t>第一个比例20</w:t>
      </w:r>
      <w:r>
        <w:rPr>
          <w:rFonts w:hint="eastAsia" w:eastAsia="仿宋_GB2312"/>
          <w:color w:val="auto"/>
          <w:sz w:val="32"/>
          <w:szCs w:val="32"/>
          <w:highlight w:val="none"/>
          <w:lang w:val="en-US" w:eastAsia="zh-CN"/>
        </w:rPr>
        <w:t>20年与2021年</w:t>
      </w:r>
      <w:r>
        <w:rPr>
          <w:rFonts w:hint="eastAsia" w:eastAsia="仿宋_GB2312"/>
          <w:color w:val="auto"/>
          <w:sz w:val="32"/>
          <w:szCs w:val="32"/>
          <w:highlight w:val="none"/>
        </w:rPr>
        <w:t>不达标，</w:t>
      </w:r>
      <w:r>
        <w:rPr>
          <w:rFonts w:eastAsia="仿宋_GB2312"/>
          <w:color w:val="auto"/>
          <w:sz w:val="32"/>
          <w:szCs w:val="32"/>
          <w:highlight w:val="none"/>
        </w:rPr>
        <w:t>第二个比例20</w:t>
      </w:r>
      <w:r>
        <w:rPr>
          <w:rFonts w:hint="eastAsia" w:eastAsia="仿宋_GB2312"/>
          <w:color w:val="auto"/>
          <w:sz w:val="32"/>
          <w:szCs w:val="32"/>
          <w:highlight w:val="none"/>
          <w:lang w:val="en-US" w:eastAsia="zh-CN"/>
        </w:rPr>
        <w:t>20</w:t>
      </w:r>
      <w:r>
        <w:rPr>
          <w:rFonts w:eastAsia="仿宋_GB2312"/>
          <w:color w:val="auto"/>
          <w:sz w:val="32"/>
          <w:szCs w:val="32"/>
          <w:highlight w:val="none"/>
        </w:rPr>
        <w:t>年不达标，扣</w:t>
      </w:r>
      <w:r>
        <w:rPr>
          <w:rFonts w:hint="eastAsia" w:eastAsia="仿宋_GB2312"/>
          <w:color w:val="auto"/>
          <w:sz w:val="32"/>
          <w:szCs w:val="32"/>
          <w:highlight w:val="none"/>
          <w:lang w:val="en-US" w:eastAsia="zh-CN"/>
        </w:rPr>
        <w:t>5.01</w:t>
      </w:r>
      <w:r>
        <w:rPr>
          <w:rFonts w:eastAsia="仿宋_GB2312"/>
          <w:color w:val="auto"/>
          <w:sz w:val="32"/>
          <w:szCs w:val="32"/>
          <w:highlight w:val="none"/>
        </w:rPr>
        <w:t>分，自查自评得3</w:t>
      </w:r>
      <w:r>
        <w:rPr>
          <w:rFonts w:hint="eastAsia" w:eastAsia="仿宋_GB2312"/>
          <w:color w:val="auto"/>
          <w:sz w:val="32"/>
          <w:szCs w:val="32"/>
          <w:highlight w:val="none"/>
          <w:lang w:val="en-US" w:eastAsia="zh-CN"/>
        </w:rPr>
        <w:t>4.99</w:t>
      </w:r>
      <w:r>
        <w:rPr>
          <w:rFonts w:eastAsia="仿宋_GB2312"/>
          <w:color w:val="auto"/>
          <w:sz w:val="32"/>
          <w:szCs w:val="32"/>
          <w:highlight w:val="none"/>
        </w:rPr>
        <w:t>分</w:t>
      </w:r>
      <w:r>
        <w:rPr>
          <w:rFonts w:hint="eastAsia" w:eastAsia="仿宋_GB2312"/>
          <w:color w:val="auto"/>
          <w:sz w:val="32"/>
          <w:szCs w:val="32"/>
          <w:highlight w:val="none"/>
          <w:lang w:eastAsia="zh-CN"/>
        </w:rPr>
        <w:t>，</w:t>
      </w:r>
      <w:r>
        <w:rPr>
          <w:rFonts w:eastAsia="仿宋_GB2312"/>
          <w:color w:val="auto"/>
          <w:sz w:val="32"/>
          <w:szCs w:val="32"/>
          <w:highlight w:val="none"/>
        </w:rPr>
        <w:t>此项</w:t>
      </w:r>
      <w:r>
        <w:rPr>
          <w:rFonts w:hint="eastAsia" w:eastAsia="仿宋_GB2312"/>
          <w:color w:val="auto"/>
          <w:sz w:val="32"/>
          <w:szCs w:val="32"/>
          <w:highlight w:val="none"/>
          <w:lang w:eastAsia="zh-CN"/>
        </w:rPr>
        <w:t>比</w:t>
      </w:r>
      <w:r>
        <w:rPr>
          <w:rFonts w:eastAsia="仿宋_GB2312"/>
          <w:color w:val="auto"/>
          <w:sz w:val="32"/>
          <w:szCs w:val="32"/>
          <w:highlight w:val="none"/>
        </w:rPr>
        <w:t>自治区义务教育均衡发展验收</w:t>
      </w:r>
      <w:r>
        <w:rPr>
          <w:rFonts w:hint="eastAsia" w:eastAsia="仿宋_GB2312"/>
          <w:color w:val="auto"/>
          <w:sz w:val="32"/>
          <w:szCs w:val="32"/>
          <w:highlight w:val="none"/>
          <w:lang w:eastAsia="zh-CN"/>
        </w:rPr>
        <w:t>时下降</w:t>
      </w:r>
      <w:r>
        <w:rPr>
          <w:rFonts w:hint="eastAsia" w:eastAsia="仿宋_GB2312"/>
          <w:color w:val="auto"/>
          <w:sz w:val="32"/>
          <w:szCs w:val="32"/>
          <w:highlight w:val="none"/>
          <w:lang w:val="en-US" w:eastAsia="zh-CN"/>
        </w:rPr>
        <w:t>1.67</w:t>
      </w:r>
      <w:r>
        <w:rPr>
          <w:rFonts w:eastAsia="仿宋_GB2312"/>
          <w:color w:val="auto"/>
          <w:sz w:val="32"/>
          <w:szCs w:val="32"/>
          <w:highlight w:val="none"/>
        </w:rPr>
        <w:t>分。</w:t>
      </w:r>
    </w:p>
    <w:p>
      <w:pPr>
        <w:spacing w:line="560" w:lineRule="exact"/>
        <w:ind w:firstLine="643" w:firstLineChars="200"/>
        <w:rPr>
          <w:rFonts w:eastAsia="仿宋_GB2312"/>
          <w:b/>
          <w:color w:val="auto"/>
          <w:sz w:val="32"/>
          <w:szCs w:val="32"/>
          <w:highlight w:val="none"/>
        </w:rPr>
      </w:pPr>
      <w:r>
        <w:rPr>
          <w:rFonts w:eastAsia="仿宋_GB2312"/>
          <w:b/>
          <w:color w:val="auto"/>
          <w:sz w:val="32"/>
          <w:szCs w:val="32"/>
          <w:highlight w:val="none"/>
        </w:rPr>
        <w:t>（2）A1-B3-*C7转移支付（10分）</w:t>
      </w:r>
    </w:p>
    <w:p>
      <w:pPr>
        <w:spacing w:line="560" w:lineRule="exact"/>
        <w:ind w:firstLine="643" w:firstLineChars="200"/>
        <w:rPr>
          <w:rFonts w:eastAsia="仿宋_GB2312"/>
          <w:color w:val="auto"/>
          <w:sz w:val="32"/>
          <w:szCs w:val="32"/>
          <w:highlight w:val="none"/>
        </w:rPr>
      </w:pPr>
      <w:r>
        <w:rPr>
          <w:rFonts w:eastAsia="仿宋_GB2312"/>
          <w:b/>
          <w:color w:val="auto"/>
          <w:sz w:val="32"/>
          <w:szCs w:val="32"/>
          <w:highlight w:val="none"/>
        </w:rPr>
        <w:t>经自查：</w:t>
      </w:r>
      <w:r>
        <w:rPr>
          <w:rFonts w:eastAsia="仿宋_GB2312"/>
          <w:color w:val="auto"/>
          <w:sz w:val="32"/>
          <w:szCs w:val="32"/>
          <w:highlight w:val="none"/>
        </w:rPr>
        <w:t>特克斯县农村税费改革转移支付每年按比例全部用于教育。</w:t>
      </w:r>
    </w:p>
    <w:tbl>
      <w:tblPr>
        <w:tblStyle w:val="12"/>
        <w:tblW w:w="8416" w:type="dxa"/>
        <w:jc w:val="center"/>
        <w:tblInd w:w="0" w:type="dxa"/>
        <w:tblLayout w:type="fixed"/>
        <w:tblCellMar>
          <w:top w:w="0" w:type="dxa"/>
          <w:left w:w="108" w:type="dxa"/>
          <w:bottom w:w="0" w:type="dxa"/>
          <w:right w:w="108" w:type="dxa"/>
        </w:tblCellMar>
      </w:tblPr>
      <w:tblGrid>
        <w:gridCol w:w="1608"/>
        <w:gridCol w:w="2126"/>
        <w:gridCol w:w="2556"/>
        <w:gridCol w:w="2126"/>
      </w:tblGrid>
      <w:tr>
        <w:tblPrEx>
          <w:tblLayout w:type="fixed"/>
          <w:tblCellMar>
            <w:top w:w="0" w:type="dxa"/>
            <w:left w:w="108" w:type="dxa"/>
            <w:bottom w:w="0" w:type="dxa"/>
            <w:right w:w="108" w:type="dxa"/>
          </w:tblCellMar>
        </w:tblPrEx>
        <w:trPr>
          <w:trHeight w:val="655" w:hRule="atLeast"/>
          <w:jc w:val="center"/>
        </w:trPr>
        <w:tc>
          <w:tcPr>
            <w:tcW w:w="1608" w:type="dxa"/>
            <w:vMerge w:val="restart"/>
            <w:tcBorders>
              <w:top w:val="single" w:color="000000" w:sz="4" w:space="0"/>
              <w:left w:val="single" w:color="000000" w:sz="4" w:space="0"/>
              <w:bottom w:val="single" w:color="000000" w:sz="4" w:space="0"/>
              <w:right w:val="single" w:color="000000" w:sz="4" w:space="0"/>
              <w:tl2br w:val="single" w:color="auto" w:sz="4" w:space="0"/>
            </w:tcBorders>
            <w:vAlign w:val="center"/>
          </w:tcPr>
          <w:p>
            <w:pPr>
              <w:spacing w:line="400" w:lineRule="exact"/>
              <w:ind w:firstLine="600" w:firstLineChars="200"/>
              <w:jc w:val="center"/>
              <w:rPr>
                <w:rFonts w:eastAsia="仿宋_GB2312"/>
                <w:color w:val="auto"/>
                <w:sz w:val="30"/>
                <w:szCs w:val="30"/>
                <w:highlight w:val="none"/>
              </w:rPr>
            </w:pPr>
            <w:r>
              <w:rPr>
                <w:rFonts w:eastAsia="仿宋_GB2312"/>
                <w:color w:val="auto"/>
                <w:sz w:val="30"/>
                <w:szCs w:val="30"/>
                <w:highlight w:val="none"/>
              </w:rPr>
              <w:t>项目</w:t>
            </w:r>
          </w:p>
          <w:p>
            <w:pPr>
              <w:spacing w:line="400" w:lineRule="exact"/>
              <w:rPr>
                <w:rFonts w:eastAsia="仿宋_GB2312"/>
                <w:color w:val="auto"/>
                <w:sz w:val="30"/>
                <w:szCs w:val="30"/>
                <w:highlight w:val="none"/>
              </w:rPr>
            </w:pPr>
            <w:r>
              <w:rPr>
                <w:rFonts w:eastAsia="仿宋_GB2312"/>
                <w:color w:val="auto"/>
                <w:sz w:val="30"/>
                <w:szCs w:val="30"/>
                <w:highlight w:val="none"/>
              </w:rPr>
              <w:t>年度</w:t>
            </w:r>
          </w:p>
        </w:tc>
        <w:tc>
          <w:tcPr>
            <w:tcW w:w="2126" w:type="dxa"/>
            <w:vMerge w:val="restart"/>
            <w:tcBorders>
              <w:top w:val="single" w:color="000000" w:sz="4" w:space="0"/>
              <w:left w:val="nil"/>
              <w:bottom w:val="single" w:color="000000" w:sz="4" w:space="0"/>
              <w:right w:val="single" w:color="000000" w:sz="4" w:space="0"/>
            </w:tcBorders>
            <w:vAlign w:val="center"/>
          </w:tcPr>
          <w:p>
            <w:pPr>
              <w:spacing w:line="400" w:lineRule="exact"/>
              <w:jc w:val="center"/>
              <w:rPr>
                <w:rFonts w:eastAsia="仿宋_GB2312"/>
                <w:color w:val="auto"/>
                <w:sz w:val="30"/>
                <w:szCs w:val="30"/>
                <w:highlight w:val="none"/>
              </w:rPr>
            </w:pPr>
            <w:r>
              <w:rPr>
                <w:rFonts w:eastAsia="仿宋_GB2312"/>
                <w:color w:val="auto"/>
                <w:sz w:val="30"/>
                <w:szCs w:val="30"/>
                <w:highlight w:val="none"/>
              </w:rPr>
              <w:t>总额（万元）</w:t>
            </w:r>
          </w:p>
        </w:tc>
        <w:tc>
          <w:tcPr>
            <w:tcW w:w="2556" w:type="dxa"/>
            <w:vMerge w:val="restart"/>
            <w:tcBorders>
              <w:top w:val="single" w:color="000000" w:sz="4" w:space="0"/>
              <w:left w:val="nil"/>
              <w:bottom w:val="single" w:color="000000" w:sz="4" w:space="0"/>
              <w:right w:val="single" w:color="000000" w:sz="4" w:space="0"/>
            </w:tcBorders>
            <w:vAlign w:val="center"/>
          </w:tcPr>
          <w:p>
            <w:pPr>
              <w:spacing w:line="400" w:lineRule="exact"/>
              <w:jc w:val="center"/>
              <w:rPr>
                <w:rFonts w:eastAsia="仿宋_GB2312"/>
                <w:color w:val="auto"/>
                <w:sz w:val="30"/>
                <w:szCs w:val="30"/>
                <w:highlight w:val="none"/>
              </w:rPr>
            </w:pPr>
            <w:r>
              <w:rPr>
                <w:rFonts w:eastAsia="仿宋_GB2312"/>
                <w:color w:val="auto"/>
                <w:sz w:val="30"/>
                <w:szCs w:val="30"/>
                <w:highlight w:val="none"/>
              </w:rPr>
              <w:t>对教育的投入（万元）</w:t>
            </w:r>
          </w:p>
        </w:tc>
        <w:tc>
          <w:tcPr>
            <w:tcW w:w="2126" w:type="dxa"/>
            <w:vMerge w:val="restart"/>
            <w:tcBorders>
              <w:top w:val="single" w:color="000000" w:sz="4" w:space="0"/>
              <w:left w:val="nil"/>
              <w:bottom w:val="single" w:color="000000" w:sz="4" w:space="0"/>
              <w:right w:val="single" w:color="000000" w:sz="4" w:space="0"/>
            </w:tcBorders>
            <w:vAlign w:val="center"/>
          </w:tcPr>
          <w:p>
            <w:pPr>
              <w:spacing w:line="400" w:lineRule="exact"/>
              <w:jc w:val="center"/>
              <w:rPr>
                <w:rFonts w:eastAsia="仿宋_GB2312"/>
                <w:color w:val="auto"/>
                <w:sz w:val="30"/>
                <w:szCs w:val="30"/>
                <w:highlight w:val="none"/>
              </w:rPr>
            </w:pPr>
            <w:r>
              <w:rPr>
                <w:rFonts w:eastAsia="仿宋_GB2312"/>
                <w:color w:val="auto"/>
                <w:sz w:val="30"/>
                <w:szCs w:val="30"/>
                <w:highlight w:val="none"/>
              </w:rPr>
              <w:t>占总额比例%</w:t>
            </w:r>
          </w:p>
        </w:tc>
      </w:tr>
      <w:tr>
        <w:tblPrEx>
          <w:tblLayout w:type="fixed"/>
          <w:tblCellMar>
            <w:top w:w="0" w:type="dxa"/>
            <w:left w:w="108" w:type="dxa"/>
            <w:bottom w:w="0" w:type="dxa"/>
            <w:right w:w="108" w:type="dxa"/>
          </w:tblCellMar>
        </w:tblPrEx>
        <w:trPr>
          <w:trHeight w:val="400" w:hRule="atLeast"/>
          <w:jc w:val="center"/>
        </w:trPr>
        <w:tc>
          <w:tcPr>
            <w:tcW w:w="1608"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仿宋_GB2312"/>
                <w:color w:val="auto"/>
                <w:sz w:val="32"/>
                <w:szCs w:val="32"/>
                <w:highlight w:val="none"/>
              </w:rPr>
            </w:pPr>
          </w:p>
        </w:tc>
        <w:tc>
          <w:tcPr>
            <w:tcW w:w="2126" w:type="dxa"/>
            <w:vMerge w:val="continue"/>
            <w:tcBorders>
              <w:top w:val="single" w:color="000000" w:sz="4" w:space="0"/>
              <w:left w:val="nil"/>
              <w:bottom w:val="single" w:color="000000" w:sz="4" w:space="0"/>
              <w:right w:val="single" w:color="000000" w:sz="4" w:space="0"/>
            </w:tcBorders>
            <w:vAlign w:val="center"/>
          </w:tcPr>
          <w:p>
            <w:pPr>
              <w:spacing w:line="400" w:lineRule="exact"/>
              <w:jc w:val="center"/>
              <w:rPr>
                <w:rFonts w:eastAsia="仿宋_GB2312"/>
                <w:color w:val="auto"/>
                <w:sz w:val="32"/>
                <w:szCs w:val="32"/>
                <w:highlight w:val="none"/>
              </w:rPr>
            </w:pPr>
          </w:p>
        </w:tc>
        <w:tc>
          <w:tcPr>
            <w:tcW w:w="2556" w:type="dxa"/>
            <w:vMerge w:val="continue"/>
            <w:tcBorders>
              <w:top w:val="single" w:color="000000" w:sz="4" w:space="0"/>
              <w:left w:val="nil"/>
              <w:bottom w:val="single" w:color="000000" w:sz="4" w:space="0"/>
              <w:right w:val="single" w:color="000000" w:sz="4" w:space="0"/>
            </w:tcBorders>
            <w:vAlign w:val="center"/>
          </w:tcPr>
          <w:p>
            <w:pPr>
              <w:spacing w:line="400" w:lineRule="exact"/>
              <w:jc w:val="center"/>
              <w:rPr>
                <w:rFonts w:eastAsia="仿宋_GB2312"/>
                <w:color w:val="auto"/>
                <w:sz w:val="32"/>
                <w:szCs w:val="32"/>
                <w:highlight w:val="none"/>
              </w:rPr>
            </w:pPr>
          </w:p>
        </w:tc>
        <w:tc>
          <w:tcPr>
            <w:tcW w:w="2126" w:type="dxa"/>
            <w:vMerge w:val="continue"/>
            <w:tcBorders>
              <w:top w:val="single" w:color="000000" w:sz="4" w:space="0"/>
              <w:left w:val="nil"/>
              <w:bottom w:val="single" w:color="000000" w:sz="4" w:space="0"/>
              <w:right w:val="single" w:color="000000" w:sz="4" w:space="0"/>
            </w:tcBorders>
            <w:vAlign w:val="center"/>
          </w:tcPr>
          <w:p>
            <w:pPr>
              <w:spacing w:line="400" w:lineRule="exact"/>
              <w:jc w:val="center"/>
              <w:rPr>
                <w:rFonts w:eastAsia="仿宋_GB2312"/>
                <w:color w:val="auto"/>
                <w:sz w:val="32"/>
                <w:szCs w:val="32"/>
                <w:highlight w:val="none"/>
              </w:rPr>
            </w:pPr>
          </w:p>
        </w:tc>
      </w:tr>
      <w:tr>
        <w:tblPrEx>
          <w:tblLayout w:type="fixed"/>
          <w:tblCellMar>
            <w:top w:w="0" w:type="dxa"/>
            <w:left w:w="108" w:type="dxa"/>
            <w:bottom w:w="0" w:type="dxa"/>
            <w:right w:w="108" w:type="dxa"/>
          </w:tblCellMar>
        </w:tblPrEx>
        <w:trPr>
          <w:trHeight w:val="454" w:hRule="atLeast"/>
          <w:jc w:val="center"/>
        </w:trPr>
        <w:tc>
          <w:tcPr>
            <w:tcW w:w="160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仿宋_GB2312"/>
                <w:color w:val="auto"/>
                <w:sz w:val="32"/>
                <w:szCs w:val="32"/>
                <w:highlight w:val="none"/>
              </w:rPr>
            </w:pPr>
            <w:r>
              <w:rPr>
                <w:rFonts w:eastAsia="仿宋_GB2312"/>
                <w:color w:val="auto"/>
                <w:sz w:val="30"/>
                <w:szCs w:val="30"/>
                <w:highlight w:val="none"/>
              </w:rPr>
              <w:t>20</w:t>
            </w:r>
            <w:r>
              <w:rPr>
                <w:rFonts w:hint="eastAsia" w:eastAsia="仿宋_GB2312"/>
                <w:color w:val="auto"/>
                <w:sz w:val="30"/>
                <w:szCs w:val="30"/>
                <w:highlight w:val="none"/>
                <w:lang w:val="en-US" w:eastAsia="zh-CN"/>
              </w:rPr>
              <w:t>19</w:t>
            </w:r>
            <w:r>
              <w:rPr>
                <w:rFonts w:eastAsia="仿宋_GB2312"/>
                <w:color w:val="auto"/>
                <w:sz w:val="30"/>
                <w:szCs w:val="30"/>
                <w:highlight w:val="none"/>
              </w:rPr>
              <w:t>年</w:t>
            </w:r>
          </w:p>
        </w:tc>
        <w:tc>
          <w:tcPr>
            <w:tcW w:w="2126" w:type="dxa"/>
            <w:tcBorders>
              <w:top w:val="single" w:color="000000" w:sz="4" w:space="0"/>
              <w:left w:val="nil"/>
              <w:bottom w:val="single" w:color="000000" w:sz="4" w:space="0"/>
              <w:right w:val="single" w:color="000000" w:sz="4" w:space="0"/>
            </w:tcBorders>
            <w:vAlign w:val="center"/>
          </w:tcPr>
          <w:p>
            <w:pPr>
              <w:spacing w:line="400" w:lineRule="exact"/>
              <w:jc w:val="center"/>
              <w:rPr>
                <w:rFonts w:eastAsia="仿宋_GB2312"/>
                <w:color w:val="auto"/>
                <w:sz w:val="32"/>
                <w:szCs w:val="32"/>
                <w:highlight w:val="none"/>
              </w:rPr>
            </w:pPr>
            <w:r>
              <w:rPr>
                <w:rFonts w:eastAsia="仿宋_GB2312"/>
                <w:color w:val="auto"/>
                <w:sz w:val="32"/>
                <w:szCs w:val="32"/>
                <w:highlight w:val="none"/>
              </w:rPr>
              <w:t>517</w:t>
            </w:r>
          </w:p>
        </w:tc>
        <w:tc>
          <w:tcPr>
            <w:tcW w:w="2556" w:type="dxa"/>
            <w:tcBorders>
              <w:top w:val="single" w:color="000000" w:sz="4" w:space="0"/>
              <w:left w:val="nil"/>
              <w:bottom w:val="single" w:color="000000" w:sz="4" w:space="0"/>
              <w:right w:val="single" w:color="000000" w:sz="4" w:space="0"/>
            </w:tcBorders>
            <w:vAlign w:val="center"/>
          </w:tcPr>
          <w:p>
            <w:pPr>
              <w:spacing w:line="400" w:lineRule="exact"/>
              <w:jc w:val="center"/>
              <w:rPr>
                <w:rFonts w:hint="default" w:eastAsia="仿宋_GB2312"/>
                <w:color w:val="auto"/>
                <w:sz w:val="32"/>
                <w:szCs w:val="32"/>
                <w:highlight w:val="none"/>
                <w:lang w:val="en-US" w:eastAsia="zh-CN"/>
              </w:rPr>
            </w:pPr>
            <w:r>
              <w:rPr>
                <w:rFonts w:hint="eastAsia" w:eastAsia="仿宋_GB2312"/>
                <w:color w:val="auto"/>
                <w:sz w:val="32"/>
                <w:szCs w:val="32"/>
                <w:highlight w:val="none"/>
                <w:lang w:val="en-US" w:eastAsia="zh-CN"/>
              </w:rPr>
              <w:t>130.00</w:t>
            </w:r>
          </w:p>
        </w:tc>
        <w:tc>
          <w:tcPr>
            <w:tcW w:w="2126" w:type="dxa"/>
            <w:tcBorders>
              <w:top w:val="single" w:color="000000" w:sz="4" w:space="0"/>
              <w:left w:val="nil"/>
              <w:bottom w:val="single" w:color="000000" w:sz="4" w:space="0"/>
              <w:right w:val="single" w:color="000000" w:sz="4" w:space="0"/>
            </w:tcBorders>
            <w:vAlign w:val="center"/>
          </w:tcPr>
          <w:p>
            <w:pPr>
              <w:spacing w:line="400" w:lineRule="exact"/>
              <w:jc w:val="center"/>
              <w:rPr>
                <w:rFonts w:hint="default" w:eastAsia="仿宋_GB2312"/>
                <w:color w:val="auto"/>
                <w:sz w:val="32"/>
                <w:szCs w:val="32"/>
                <w:highlight w:val="none"/>
                <w:lang w:val="en-US" w:eastAsia="zh-CN"/>
              </w:rPr>
            </w:pPr>
            <w:r>
              <w:rPr>
                <w:rFonts w:hint="eastAsia" w:eastAsia="仿宋_GB2312"/>
                <w:color w:val="auto"/>
                <w:sz w:val="32"/>
                <w:szCs w:val="32"/>
                <w:highlight w:val="none"/>
                <w:lang w:val="en-US" w:eastAsia="zh-CN"/>
              </w:rPr>
              <w:t>25.15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08" w:type="dxa"/>
            <w:vAlign w:val="center"/>
          </w:tcPr>
          <w:p>
            <w:pPr>
              <w:spacing w:line="400" w:lineRule="exact"/>
              <w:jc w:val="center"/>
              <w:rPr>
                <w:rFonts w:eastAsia="仿宋_GB2312"/>
                <w:color w:val="auto"/>
                <w:sz w:val="32"/>
                <w:szCs w:val="32"/>
                <w:highlight w:val="none"/>
              </w:rPr>
            </w:pPr>
            <w:r>
              <w:rPr>
                <w:rFonts w:eastAsia="仿宋_GB2312"/>
                <w:color w:val="auto"/>
                <w:sz w:val="30"/>
                <w:szCs w:val="30"/>
                <w:highlight w:val="none"/>
              </w:rPr>
              <w:t>20</w:t>
            </w:r>
            <w:r>
              <w:rPr>
                <w:rFonts w:hint="eastAsia" w:eastAsia="仿宋_GB2312"/>
                <w:color w:val="auto"/>
                <w:sz w:val="30"/>
                <w:szCs w:val="30"/>
                <w:highlight w:val="none"/>
                <w:lang w:val="en-US" w:eastAsia="zh-CN"/>
              </w:rPr>
              <w:t>20</w:t>
            </w:r>
            <w:r>
              <w:rPr>
                <w:rFonts w:eastAsia="仿宋_GB2312"/>
                <w:color w:val="auto"/>
                <w:sz w:val="30"/>
                <w:szCs w:val="30"/>
                <w:highlight w:val="none"/>
              </w:rPr>
              <w:t>年</w:t>
            </w:r>
          </w:p>
        </w:tc>
        <w:tc>
          <w:tcPr>
            <w:tcW w:w="2126" w:type="dxa"/>
            <w:vAlign w:val="center"/>
          </w:tcPr>
          <w:p>
            <w:pPr>
              <w:spacing w:line="400" w:lineRule="exact"/>
              <w:jc w:val="center"/>
              <w:rPr>
                <w:rFonts w:eastAsia="仿宋_GB2312"/>
                <w:color w:val="auto"/>
                <w:sz w:val="32"/>
                <w:szCs w:val="32"/>
                <w:highlight w:val="none"/>
              </w:rPr>
            </w:pPr>
            <w:r>
              <w:rPr>
                <w:rFonts w:eastAsia="仿宋_GB2312"/>
                <w:color w:val="auto"/>
                <w:sz w:val="32"/>
                <w:szCs w:val="32"/>
                <w:highlight w:val="none"/>
              </w:rPr>
              <w:t>517</w:t>
            </w:r>
          </w:p>
        </w:tc>
        <w:tc>
          <w:tcPr>
            <w:tcW w:w="2556" w:type="dxa"/>
            <w:vAlign w:val="center"/>
          </w:tcPr>
          <w:p>
            <w:pPr>
              <w:spacing w:line="400" w:lineRule="exact"/>
              <w:jc w:val="center"/>
              <w:rPr>
                <w:rFonts w:eastAsia="仿宋_GB2312"/>
                <w:color w:val="auto"/>
                <w:sz w:val="32"/>
                <w:szCs w:val="32"/>
                <w:highlight w:val="none"/>
              </w:rPr>
            </w:pPr>
            <w:r>
              <w:rPr>
                <w:rFonts w:eastAsia="仿宋_GB2312"/>
                <w:color w:val="auto"/>
                <w:sz w:val="32"/>
                <w:szCs w:val="32"/>
                <w:highlight w:val="none"/>
              </w:rPr>
              <w:t>130.00</w:t>
            </w:r>
          </w:p>
        </w:tc>
        <w:tc>
          <w:tcPr>
            <w:tcW w:w="2126" w:type="dxa"/>
            <w:vAlign w:val="center"/>
          </w:tcPr>
          <w:p>
            <w:pPr>
              <w:spacing w:line="400" w:lineRule="exact"/>
              <w:jc w:val="center"/>
              <w:rPr>
                <w:rFonts w:eastAsia="仿宋_GB2312"/>
                <w:color w:val="auto"/>
                <w:sz w:val="32"/>
                <w:szCs w:val="32"/>
                <w:highlight w:val="none"/>
              </w:rPr>
            </w:pPr>
            <w:r>
              <w:rPr>
                <w:rFonts w:eastAsia="仿宋_GB2312"/>
                <w:color w:val="auto"/>
                <w:sz w:val="32"/>
                <w:szCs w:val="32"/>
                <w:highlight w:val="none"/>
              </w:rPr>
              <w:t>25.15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08" w:type="dxa"/>
            <w:vAlign w:val="center"/>
          </w:tcPr>
          <w:p>
            <w:pPr>
              <w:spacing w:line="400" w:lineRule="exact"/>
              <w:jc w:val="center"/>
              <w:rPr>
                <w:rFonts w:eastAsia="仿宋_GB2312"/>
                <w:color w:val="auto"/>
                <w:sz w:val="32"/>
                <w:szCs w:val="32"/>
                <w:highlight w:val="none"/>
              </w:rPr>
            </w:pPr>
            <w:r>
              <w:rPr>
                <w:rFonts w:eastAsia="仿宋_GB2312"/>
                <w:color w:val="auto"/>
                <w:sz w:val="30"/>
                <w:szCs w:val="30"/>
                <w:highlight w:val="none"/>
              </w:rPr>
              <w:t>20</w:t>
            </w:r>
            <w:r>
              <w:rPr>
                <w:rFonts w:hint="eastAsia" w:eastAsia="仿宋_GB2312"/>
                <w:color w:val="auto"/>
                <w:sz w:val="30"/>
                <w:szCs w:val="30"/>
                <w:highlight w:val="none"/>
                <w:lang w:val="en-US" w:eastAsia="zh-CN"/>
              </w:rPr>
              <w:t>21</w:t>
            </w:r>
            <w:r>
              <w:rPr>
                <w:rFonts w:eastAsia="仿宋_GB2312"/>
                <w:color w:val="auto"/>
                <w:sz w:val="30"/>
                <w:szCs w:val="30"/>
                <w:highlight w:val="none"/>
              </w:rPr>
              <w:t>年</w:t>
            </w:r>
          </w:p>
        </w:tc>
        <w:tc>
          <w:tcPr>
            <w:tcW w:w="2126" w:type="dxa"/>
            <w:vAlign w:val="center"/>
          </w:tcPr>
          <w:p>
            <w:pPr>
              <w:spacing w:line="400" w:lineRule="exact"/>
              <w:jc w:val="center"/>
              <w:rPr>
                <w:rFonts w:eastAsia="仿宋_GB2312"/>
                <w:color w:val="auto"/>
                <w:sz w:val="32"/>
                <w:szCs w:val="32"/>
                <w:highlight w:val="none"/>
              </w:rPr>
            </w:pPr>
            <w:r>
              <w:rPr>
                <w:rFonts w:eastAsia="仿宋_GB2312"/>
                <w:color w:val="auto"/>
                <w:sz w:val="32"/>
                <w:szCs w:val="32"/>
                <w:highlight w:val="none"/>
              </w:rPr>
              <w:t>517</w:t>
            </w:r>
          </w:p>
        </w:tc>
        <w:tc>
          <w:tcPr>
            <w:tcW w:w="2556" w:type="dxa"/>
            <w:vAlign w:val="center"/>
          </w:tcPr>
          <w:p>
            <w:pPr>
              <w:spacing w:line="400" w:lineRule="exact"/>
              <w:jc w:val="center"/>
              <w:rPr>
                <w:rFonts w:eastAsia="仿宋_GB2312"/>
                <w:color w:val="auto"/>
                <w:sz w:val="32"/>
                <w:szCs w:val="32"/>
                <w:highlight w:val="none"/>
              </w:rPr>
            </w:pPr>
            <w:r>
              <w:rPr>
                <w:rFonts w:eastAsia="仿宋_GB2312"/>
                <w:color w:val="auto"/>
                <w:sz w:val="32"/>
                <w:szCs w:val="32"/>
                <w:highlight w:val="none"/>
              </w:rPr>
              <w:t>130.00</w:t>
            </w:r>
          </w:p>
        </w:tc>
        <w:tc>
          <w:tcPr>
            <w:tcW w:w="2126" w:type="dxa"/>
            <w:vAlign w:val="center"/>
          </w:tcPr>
          <w:p>
            <w:pPr>
              <w:spacing w:line="400" w:lineRule="exact"/>
              <w:jc w:val="center"/>
              <w:rPr>
                <w:rFonts w:eastAsia="仿宋_GB2312"/>
                <w:color w:val="auto"/>
                <w:sz w:val="32"/>
                <w:szCs w:val="32"/>
                <w:highlight w:val="none"/>
              </w:rPr>
            </w:pPr>
            <w:r>
              <w:rPr>
                <w:rFonts w:eastAsia="仿宋_GB2312"/>
                <w:color w:val="auto"/>
                <w:sz w:val="32"/>
                <w:szCs w:val="32"/>
                <w:highlight w:val="none"/>
              </w:rPr>
              <w:t>25.15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08" w:type="dxa"/>
            <w:vAlign w:val="center"/>
          </w:tcPr>
          <w:p>
            <w:pPr>
              <w:spacing w:line="400" w:lineRule="exact"/>
              <w:jc w:val="center"/>
              <w:rPr>
                <w:rFonts w:eastAsia="仿宋_GB2312"/>
                <w:color w:val="auto"/>
                <w:sz w:val="32"/>
                <w:szCs w:val="32"/>
                <w:highlight w:val="none"/>
              </w:rPr>
            </w:pPr>
            <w:r>
              <w:rPr>
                <w:rFonts w:eastAsia="仿宋_GB2312"/>
                <w:color w:val="auto"/>
                <w:sz w:val="30"/>
                <w:szCs w:val="30"/>
                <w:highlight w:val="none"/>
              </w:rPr>
              <w:t>20</w:t>
            </w:r>
            <w:r>
              <w:rPr>
                <w:rFonts w:hint="eastAsia" w:eastAsia="仿宋_GB2312"/>
                <w:color w:val="auto"/>
                <w:sz w:val="30"/>
                <w:szCs w:val="30"/>
                <w:highlight w:val="none"/>
                <w:lang w:val="en-US" w:eastAsia="zh-CN"/>
              </w:rPr>
              <w:t>22</w:t>
            </w:r>
            <w:r>
              <w:rPr>
                <w:rFonts w:eastAsia="仿宋_GB2312"/>
                <w:color w:val="auto"/>
                <w:sz w:val="30"/>
                <w:szCs w:val="30"/>
                <w:highlight w:val="none"/>
              </w:rPr>
              <w:t>年</w:t>
            </w:r>
          </w:p>
        </w:tc>
        <w:tc>
          <w:tcPr>
            <w:tcW w:w="2126" w:type="dxa"/>
            <w:vAlign w:val="center"/>
          </w:tcPr>
          <w:p>
            <w:pPr>
              <w:spacing w:line="400" w:lineRule="exact"/>
              <w:jc w:val="center"/>
              <w:rPr>
                <w:rFonts w:eastAsia="仿宋_GB2312"/>
                <w:color w:val="auto"/>
                <w:sz w:val="32"/>
                <w:szCs w:val="32"/>
                <w:highlight w:val="none"/>
              </w:rPr>
            </w:pPr>
            <w:r>
              <w:rPr>
                <w:rFonts w:eastAsia="仿宋_GB2312"/>
                <w:color w:val="auto"/>
                <w:sz w:val="32"/>
                <w:szCs w:val="32"/>
                <w:highlight w:val="none"/>
              </w:rPr>
              <w:t>517</w:t>
            </w:r>
          </w:p>
        </w:tc>
        <w:tc>
          <w:tcPr>
            <w:tcW w:w="2556" w:type="dxa"/>
            <w:vAlign w:val="center"/>
          </w:tcPr>
          <w:p>
            <w:pPr>
              <w:spacing w:line="400" w:lineRule="exact"/>
              <w:jc w:val="center"/>
              <w:rPr>
                <w:rFonts w:eastAsia="仿宋_GB2312"/>
                <w:color w:val="auto"/>
                <w:sz w:val="32"/>
                <w:szCs w:val="32"/>
                <w:highlight w:val="none"/>
              </w:rPr>
            </w:pPr>
            <w:r>
              <w:rPr>
                <w:rFonts w:eastAsia="仿宋_GB2312"/>
                <w:color w:val="auto"/>
                <w:sz w:val="32"/>
                <w:szCs w:val="32"/>
                <w:highlight w:val="none"/>
              </w:rPr>
              <w:t>130.00</w:t>
            </w:r>
          </w:p>
        </w:tc>
        <w:tc>
          <w:tcPr>
            <w:tcW w:w="2126" w:type="dxa"/>
            <w:vAlign w:val="center"/>
          </w:tcPr>
          <w:p>
            <w:pPr>
              <w:spacing w:line="400" w:lineRule="exact"/>
              <w:jc w:val="center"/>
              <w:rPr>
                <w:rFonts w:eastAsia="仿宋_GB2312"/>
                <w:color w:val="auto"/>
                <w:sz w:val="32"/>
                <w:szCs w:val="32"/>
                <w:highlight w:val="none"/>
              </w:rPr>
            </w:pPr>
            <w:r>
              <w:rPr>
                <w:rFonts w:eastAsia="仿宋_GB2312"/>
                <w:color w:val="auto"/>
                <w:sz w:val="32"/>
                <w:szCs w:val="32"/>
                <w:highlight w:val="none"/>
              </w:rPr>
              <w:t>25.15</w:t>
            </w:r>
          </w:p>
        </w:tc>
      </w:tr>
    </w:tbl>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自查自评得10分</w:t>
      </w:r>
      <w:r>
        <w:rPr>
          <w:rFonts w:hint="eastAsia" w:eastAsia="仿宋_GB2312"/>
          <w:color w:val="auto"/>
          <w:sz w:val="32"/>
          <w:szCs w:val="32"/>
          <w:highlight w:val="none"/>
          <w:lang w:eastAsia="zh-CN"/>
        </w:rPr>
        <w:t>，</w:t>
      </w:r>
      <w:r>
        <w:rPr>
          <w:rFonts w:eastAsia="仿宋_GB2312"/>
          <w:color w:val="auto"/>
          <w:sz w:val="32"/>
          <w:szCs w:val="32"/>
          <w:highlight w:val="none"/>
        </w:rPr>
        <w:t>此项与</w:t>
      </w:r>
      <w:r>
        <w:rPr>
          <w:rFonts w:hint="eastAsia" w:eastAsia="仿宋_GB2312"/>
          <w:color w:val="auto"/>
          <w:sz w:val="32"/>
          <w:szCs w:val="32"/>
          <w:highlight w:val="none"/>
          <w:lang w:eastAsia="zh-CN"/>
        </w:rPr>
        <w:t>自治区</w:t>
      </w:r>
      <w:r>
        <w:rPr>
          <w:rFonts w:eastAsia="仿宋_GB2312"/>
          <w:color w:val="auto"/>
          <w:sz w:val="32"/>
          <w:szCs w:val="32"/>
          <w:highlight w:val="none"/>
        </w:rPr>
        <w:t>义务教育均衡发展验收得分持平。</w:t>
      </w:r>
    </w:p>
    <w:p>
      <w:pPr>
        <w:spacing w:line="560" w:lineRule="exact"/>
        <w:ind w:firstLine="643" w:firstLineChars="200"/>
        <w:rPr>
          <w:rFonts w:eastAsia="仿宋_GB2312"/>
          <w:b/>
          <w:color w:val="auto"/>
          <w:sz w:val="32"/>
          <w:szCs w:val="32"/>
          <w:highlight w:val="none"/>
        </w:rPr>
      </w:pPr>
      <w:r>
        <w:rPr>
          <w:rFonts w:eastAsia="仿宋_GB2312"/>
          <w:b/>
          <w:color w:val="auto"/>
          <w:sz w:val="32"/>
          <w:szCs w:val="32"/>
          <w:highlight w:val="none"/>
        </w:rPr>
        <w:t>（3）A1-B3-*C8投入倾斜（10分）</w:t>
      </w:r>
    </w:p>
    <w:p>
      <w:pPr>
        <w:spacing w:line="560" w:lineRule="exact"/>
        <w:ind w:firstLine="643" w:firstLineChars="200"/>
        <w:rPr>
          <w:rFonts w:eastAsia="仿宋_GB2312"/>
          <w:color w:val="auto"/>
          <w:sz w:val="32"/>
          <w:szCs w:val="32"/>
          <w:highlight w:val="none"/>
        </w:rPr>
      </w:pPr>
      <w:r>
        <w:rPr>
          <w:rFonts w:eastAsia="仿宋_GB2312"/>
          <w:b/>
          <w:color w:val="auto"/>
          <w:sz w:val="32"/>
          <w:szCs w:val="32"/>
          <w:highlight w:val="none"/>
        </w:rPr>
        <w:t>经自查：</w:t>
      </w:r>
      <w:r>
        <w:rPr>
          <w:rFonts w:eastAsia="仿宋_GB2312"/>
          <w:bCs/>
          <w:color w:val="auto"/>
          <w:sz w:val="32"/>
          <w:szCs w:val="32"/>
          <w:highlight w:val="none"/>
        </w:rPr>
        <w:t>我</w:t>
      </w:r>
      <w:r>
        <w:rPr>
          <w:rFonts w:eastAsia="仿宋_GB2312"/>
          <w:color w:val="auto"/>
          <w:sz w:val="32"/>
          <w:szCs w:val="32"/>
          <w:highlight w:val="none"/>
        </w:rPr>
        <w:t>县制定《全面改善贫困地区义务教育薄弱学校基本办学条件规划（2014-2018年）》，并全面有效的实施自治区“全面改薄”计划，“全面改薄”规划总投资30423万元，建设校舍总面积91438平方米，已经批复下达资金31629万元，目前校舍建设已全部竣工，总竣工率100%。</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除全面改薄项目实施之外，我县以“十四五”规划为契机，利用中央及地方资金，优化学校整体布局，全面改善办学条件。2021年以来，争取项目资金1500万元，新建喀拉托海镇寄宿制中心小学教学楼2600平方米，阔克铁热克乡寄宿制中心小学教学楼1800平方米；投入112万元，为10所义务教育学校进行校舍维修；自筹资金为19所学校进行电采暖改造，实现清洁方式取暖。</w:t>
      </w:r>
    </w:p>
    <w:p>
      <w:pPr>
        <w:spacing w:line="560" w:lineRule="exact"/>
        <w:ind w:firstLine="640" w:firstLineChars="200"/>
        <w:rPr>
          <w:rFonts w:eastAsia="仿宋_GB2312"/>
          <w:color w:val="auto"/>
          <w:sz w:val="32"/>
          <w:szCs w:val="32"/>
        </w:rPr>
      </w:pPr>
      <w:r>
        <w:rPr>
          <w:rFonts w:eastAsia="仿宋_GB2312"/>
          <w:color w:val="auto"/>
          <w:sz w:val="32"/>
          <w:szCs w:val="32"/>
          <w:highlight w:val="none"/>
        </w:rPr>
        <w:t>自查自评得10分，此项与自治区义务教育均衡发展验收得</w:t>
      </w:r>
      <w:r>
        <w:rPr>
          <w:rFonts w:eastAsia="仿宋_GB2312"/>
          <w:color w:val="auto"/>
          <w:sz w:val="32"/>
          <w:szCs w:val="32"/>
        </w:rPr>
        <w:t>分持平。</w:t>
      </w:r>
    </w:p>
    <w:p>
      <w:pPr>
        <w:spacing w:line="560" w:lineRule="exact"/>
        <w:ind w:firstLine="643" w:firstLineChars="200"/>
        <w:rPr>
          <w:rFonts w:eastAsia="仿宋_GB2312"/>
          <w:b/>
          <w:color w:val="auto"/>
          <w:sz w:val="32"/>
          <w:szCs w:val="32"/>
        </w:rPr>
      </w:pPr>
      <w:r>
        <w:rPr>
          <w:rFonts w:eastAsia="仿宋_GB2312"/>
          <w:b/>
          <w:color w:val="auto"/>
          <w:sz w:val="32"/>
          <w:szCs w:val="32"/>
        </w:rPr>
        <w:t>（4）A1-B3-C9其他经费（15分）</w:t>
      </w:r>
    </w:p>
    <w:p>
      <w:pPr>
        <w:spacing w:line="560" w:lineRule="exact"/>
        <w:ind w:firstLine="643" w:firstLineChars="200"/>
        <w:rPr>
          <w:rFonts w:eastAsia="仿宋_GB2312"/>
          <w:b/>
          <w:color w:val="auto"/>
          <w:sz w:val="32"/>
          <w:szCs w:val="32"/>
        </w:rPr>
      </w:pPr>
      <w:r>
        <w:rPr>
          <w:rFonts w:eastAsia="仿宋_GB2312"/>
          <w:b/>
          <w:color w:val="auto"/>
          <w:sz w:val="32"/>
          <w:szCs w:val="32"/>
        </w:rPr>
        <w:t>经自查：</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1.教育费附加：</w:t>
      </w:r>
    </w:p>
    <w:tbl>
      <w:tblPr>
        <w:tblStyle w:val="12"/>
        <w:tblW w:w="8551" w:type="dxa"/>
        <w:jc w:val="center"/>
        <w:tblInd w:w="0" w:type="dxa"/>
        <w:tblLayout w:type="fixed"/>
        <w:tblCellMar>
          <w:top w:w="0" w:type="dxa"/>
          <w:left w:w="108" w:type="dxa"/>
          <w:bottom w:w="0" w:type="dxa"/>
          <w:right w:w="108" w:type="dxa"/>
        </w:tblCellMar>
      </w:tblPr>
      <w:tblGrid>
        <w:gridCol w:w="1412"/>
        <w:gridCol w:w="2005"/>
        <w:gridCol w:w="1559"/>
        <w:gridCol w:w="1590"/>
        <w:gridCol w:w="1985"/>
      </w:tblGrid>
      <w:tr>
        <w:tblPrEx>
          <w:tblLayout w:type="fixed"/>
          <w:tblCellMar>
            <w:top w:w="0" w:type="dxa"/>
            <w:left w:w="108" w:type="dxa"/>
            <w:bottom w:w="0" w:type="dxa"/>
            <w:right w:w="108" w:type="dxa"/>
          </w:tblCellMar>
        </w:tblPrEx>
        <w:trPr>
          <w:trHeight w:val="729" w:hRule="atLeast"/>
          <w:jc w:val="center"/>
        </w:trPr>
        <w:tc>
          <w:tcPr>
            <w:tcW w:w="1412" w:type="dxa"/>
            <w:vMerge w:val="restart"/>
            <w:tcBorders>
              <w:top w:val="single" w:color="000000" w:sz="4" w:space="0"/>
              <w:left w:val="single" w:color="000000" w:sz="4" w:space="0"/>
              <w:bottom w:val="single" w:color="000000" w:sz="4" w:space="0"/>
              <w:right w:val="single" w:color="000000" w:sz="4" w:space="0"/>
              <w:tl2br w:val="single" w:color="auto" w:sz="4" w:space="0"/>
            </w:tcBorders>
            <w:vAlign w:val="center"/>
          </w:tcPr>
          <w:p>
            <w:pPr>
              <w:spacing w:line="400" w:lineRule="exact"/>
              <w:ind w:firstLine="450" w:firstLineChars="150"/>
              <w:jc w:val="center"/>
              <w:rPr>
                <w:rFonts w:eastAsia="仿宋_GB2312"/>
                <w:color w:val="auto"/>
                <w:sz w:val="30"/>
                <w:szCs w:val="30"/>
                <w:highlight w:val="none"/>
              </w:rPr>
            </w:pPr>
            <w:r>
              <w:rPr>
                <w:rFonts w:eastAsia="仿宋_GB2312"/>
                <w:color w:val="auto"/>
                <w:sz w:val="30"/>
                <w:szCs w:val="30"/>
                <w:highlight w:val="none"/>
              </w:rPr>
              <w:t>项目</w:t>
            </w:r>
          </w:p>
          <w:p>
            <w:pPr>
              <w:spacing w:line="400" w:lineRule="exact"/>
              <w:rPr>
                <w:rFonts w:eastAsia="仿宋_GB2312"/>
                <w:color w:val="auto"/>
                <w:sz w:val="30"/>
                <w:szCs w:val="30"/>
                <w:highlight w:val="none"/>
              </w:rPr>
            </w:pPr>
            <w:r>
              <w:rPr>
                <w:rFonts w:eastAsia="仿宋_GB2312"/>
                <w:color w:val="auto"/>
                <w:sz w:val="30"/>
                <w:szCs w:val="30"/>
                <w:highlight w:val="none"/>
              </w:rPr>
              <w:t>年度</w:t>
            </w:r>
          </w:p>
        </w:tc>
        <w:tc>
          <w:tcPr>
            <w:tcW w:w="2005" w:type="dxa"/>
            <w:vMerge w:val="restart"/>
            <w:tcBorders>
              <w:top w:val="single" w:color="000000" w:sz="4" w:space="0"/>
              <w:left w:val="nil"/>
              <w:bottom w:val="single" w:color="000000" w:sz="4" w:space="0"/>
              <w:right w:val="single" w:color="000000" w:sz="4" w:space="0"/>
            </w:tcBorders>
            <w:vAlign w:val="center"/>
          </w:tcPr>
          <w:p>
            <w:pPr>
              <w:spacing w:line="400" w:lineRule="exact"/>
              <w:jc w:val="center"/>
              <w:rPr>
                <w:rFonts w:eastAsia="仿宋_GB2312"/>
                <w:color w:val="auto"/>
                <w:sz w:val="30"/>
                <w:szCs w:val="30"/>
                <w:highlight w:val="none"/>
              </w:rPr>
            </w:pPr>
            <w:r>
              <w:rPr>
                <w:rFonts w:eastAsia="仿宋_GB2312"/>
                <w:color w:val="auto"/>
                <w:sz w:val="30"/>
                <w:szCs w:val="30"/>
                <w:highlight w:val="none"/>
              </w:rPr>
              <w:t>教育费附加应征（万元）</w:t>
            </w:r>
          </w:p>
        </w:tc>
        <w:tc>
          <w:tcPr>
            <w:tcW w:w="1559" w:type="dxa"/>
            <w:vMerge w:val="restart"/>
            <w:tcBorders>
              <w:top w:val="single" w:color="000000" w:sz="4" w:space="0"/>
              <w:left w:val="nil"/>
              <w:bottom w:val="single" w:color="000000" w:sz="4" w:space="0"/>
              <w:right w:val="single" w:color="000000" w:sz="4" w:space="0"/>
            </w:tcBorders>
            <w:vAlign w:val="center"/>
          </w:tcPr>
          <w:p>
            <w:pPr>
              <w:spacing w:line="400" w:lineRule="exact"/>
              <w:jc w:val="center"/>
              <w:rPr>
                <w:rFonts w:eastAsia="仿宋_GB2312"/>
                <w:color w:val="auto"/>
                <w:sz w:val="30"/>
                <w:szCs w:val="30"/>
                <w:highlight w:val="none"/>
              </w:rPr>
            </w:pPr>
            <w:r>
              <w:rPr>
                <w:rFonts w:eastAsia="仿宋_GB2312"/>
                <w:color w:val="auto"/>
                <w:sz w:val="30"/>
                <w:szCs w:val="30"/>
                <w:highlight w:val="none"/>
              </w:rPr>
              <w:t>实征数</w:t>
            </w:r>
          </w:p>
          <w:p>
            <w:pPr>
              <w:spacing w:line="400" w:lineRule="exact"/>
              <w:jc w:val="center"/>
              <w:rPr>
                <w:rFonts w:eastAsia="仿宋_GB2312"/>
                <w:color w:val="auto"/>
                <w:sz w:val="30"/>
                <w:szCs w:val="30"/>
                <w:highlight w:val="none"/>
              </w:rPr>
            </w:pPr>
            <w:r>
              <w:rPr>
                <w:rFonts w:eastAsia="仿宋_GB2312"/>
                <w:color w:val="auto"/>
                <w:sz w:val="30"/>
                <w:szCs w:val="30"/>
                <w:highlight w:val="none"/>
              </w:rPr>
              <w:t>（万元）</w:t>
            </w:r>
          </w:p>
        </w:tc>
        <w:tc>
          <w:tcPr>
            <w:tcW w:w="1590" w:type="dxa"/>
            <w:vMerge w:val="restart"/>
            <w:tcBorders>
              <w:top w:val="single" w:color="000000" w:sz="4" w:space="0"/>
              <w:left w:val="nil"/>
              <w:bottom w:val="single" w:color="000000" w:sz="4" w:space="0"/>
              <w:right w:val="single" w:color="000000" w:sz="4" w:space="0"/>
            </w:tcBorders>
            <w:vAlign w:val="center"/>
          </w:tcPr>
          <w:p>
            <w:pPr>
              <w:spacing w:line="400" w:lineRule="exact"/>
              <w:jc w:val="center"/>
              <w:rPr>
                <w:rFonts w:eastAsia="仿宋_GB2312"/>
                <w:color w:val="auto"/>
                <w:sz w:val="30"/>
                <w:szCs w:val="30"/>
                <w:highlight w:val="none"/>
              </w:rPr>
            </w:pPr>
            <w:r>
              <w:rPr>
                <w:rFonts w:eastAsia="仿宋_GB2312"/>
                <w:color w:val="auto"/>
                <w:sz w:val="30"/>
                <w:szCs w:val="30"/>
                <w:highlight w:val="none"/>
              </w:rPr>
              <w:t>用于教育</w:t>
            </w:r>
          </w:p>
          <w:p>
            <w:pPr>
              <w:spacing w:line="400" w:lineRule="exact"/>
              <w:jc w:val="center"/>
              <w:rPr>
                <w:rFonts w:eastAsia="仿宋_GB2312"/>
                <w:color w:val="auto"/>
                <w:sz w:val="30"/>
                <w:szCs w:val="30"/>
                <w:highlight w:val="none"/>
              </w:rPr>
            </w:pPr>
            <w:r>
              <w:rPr>
                <w:rFonts w:eastAsia="仿宋_GB2312"/>
                <w:color w:val="auto"/>
                <w:sz w:val="30"/>
                <w:szCs w:val="30"/>
                <w:highlight w:val="none"/>
              </w:rPr>
              <w:t>（万元）</w:t>
            </w:r>
          </w:p>
        </w:tc>
        <w:tc>
          <w:tcPr>
            <w:tcW w:w="1985" w:type="dxa"/>
            <w:vMerge w:val="restart"/>
            <w:tcBorders>
              <w:top w:val="single" w:color="000000" w:sz="4" w:space="0"/>
              <w:left w:val="nil"/>
              <w:bottom w:val="single" w:color="000000" w:sz="4" w:space="0"/>
              <w:right w:val="single" w:color="000000" w:sz="4" w:space="0"/>
            </w:tcBorders>
            <w:vAlign w:val="center"/>
          </w:tcPr>
          <w:p>
            <w:pPr>
              <w:spacing w:line="400" w:lineRule="exact"/>
              <w:jc w:val="center"/>
              <w:rPr>
                <w:rFonts w:eastAsia="仿宋_GB2312"/>
                <w:color w:val="auto"/>
                <w:sz w:val="30"/>
                <w:szCs w:val="30"/>
                <w:highlight w:val="none"/>
              </w:rPr>
            </w:pPr>
            <w:r>
              <w:rPr>
                <w:rFonts w:eastAsia="仿宋_GB2312"/>
                <w:color w:val="auto"/>
                <w:sz w:val="30"/>
                <w:szCs w:val="30"/>
                <w:highlight w:val="none"/>
              </w:rPr>
              <w:t>用于教育所占比例%</w:t>
            </w:r>
          </w:p>
        </w:tc>
      </w:tr>
      <w:tr>
        <w:tblPrEx>
          <w:tblLayout w:type="fixed"/>
          <w:tblCellMar>
            <w:top w:w="0" w:type="dxa"/>
            <w:left w:w="108" w:type="dxa"/>
            <w:bottom w:w="0" w:type="dxa"/>
            <w:right w:w="108" w:type="dxa"/>
          </w:tblCellMar>
        </w:tblPrEx>
        <w:trPr>
          <w:trHeight w:val="400" w:hRule="atLeast"/>
          <w:jc w:val="center"/>
        </w:trPr>
        <w:tc>
          <w:tcPr>
            <w:tcW w:w="1412"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仿宋_GB2312"/>
                <w:color w:val="auto"/>
                <w:sz w:val="32"/>
                <w:szCs w:val="32"/>
                <w:highlight w:val="none"/>
              </w:rPr>
            </w:pPr>
          </w:p>
        </w:tc>
        <w:tc>
          <w:tcPr>
            <w:tcW w:w="2005" w:type="dxa"/>
            <w:vMerge w:val="continue"/>
            <w:tcBorders>
              <w:top w:val="single" w:color="000000" w:sz="4" w:space="0"/>
              <w:left w:val="nil"/>
              <w:bottom w:val="single" w:color="000000" w:sz="4" w:space="0"/>
              <w:right w:val="single" w:color="000000" w:sz="4" w:space="0"/>
            </w:tcBorders>
            <w:vAlign w:val="center"/>
          </w:tcPr>
          <w:p>
            <w:pPr>
              <w:spacing w:line="400" w:lineRule="exact"/>
              <w:jc w:val="center"/>
              <w:rPr>
                <w:rFonts w:eastAsia="仿宋_GB2312"/>
                <w:color w:val="auto"/>
                <w:sz w:val="32"/>
                <w:szCs w:val="32"/>
                <w:highlight w:val="none"/>
              </w:rPr>
            </w:pPr>
          </w:p>
        </w:tc>
        <w:tc>
          <w:tcPr>
            <w:tcW w:w="1559" w:type="dxa"/>
            <w:vMerge w:val="continue"/>
            <w:tcBorders>
              <w:top w:val="single" w:color="000000" w:sz="4" w:space="0"/>
              <w:left w:val="nil"/>
              <w:bottom w:val="single" w:color="000000" w:sz="4" w:space="0"/>
              <w:right w:val="single" w:color="000000" w:sz="4" w:space="0"/>
            </w:tcBorders>
            <w:vAlign w:val="center"/>
          </w:tcPr>
          <w:p>
            <w:pPr>
              <w:spacing w:line="400" w:lineRule="exact"/>
              <w:jc w:val="center"/>
              <w:rPr>
                <w:rFonts w:eastAsia="仿宋_GB2312"/>
                <w:color w:val="auto"/>
                <w:sz w:val="32"/>
                <w:szCs w:val="32"/>
                <w:highlight w:val="none"/>
              </w:rPr>
            </w:pPr>
          </w:p>
        </w:tc>
        <w:tc>
          <w:tcPr>
            <w:tcW w:w="1590" w:type="dxa"/>
            <w:vMerge w:val="continue"/>
            <w:tcBorders>
              <w:top w:val="single" w:color="000000" w:sz="4" w:space="0"/>
              <w:left w:val="nil"/>
              <w:bottom w:val="single" w:color="000000" w:sz="4" w:space="0"/>
              <w:right w:val="single" w:color="000000" w:sz="4" w:space="0"/>
            </w:tcBorders>
            <w:vAlign w:val="center"/>
          </w:tcPr>
          <w:p>
            <w:pPr>
              <w:spacing w:line="400" w:lineRule="exact"/>
              <w:jc w:val="center"/>
              <w:rPr>
                <w:rFonts w:eastAsia="仿宋_GB2312"/>
                <w:color w:val="auto"/>
                <w:sz w:val="32"/>
                <w:szCs w:val="32"/>
                <w:highlight w:val="none"/>
              </w:rPr>
            </w:pPr>
          </w:p>
        </w:tc>
        <w:tc>
          <w:tcPr>
            <w:tcW w:w="1985" w:type="dxa"/>
            <w:vMerge w:val="continue"/>
            <w:tcBorders>
              <w:top w:val="single" w:color="000000" w:sz="4" w:space="0"/>
              <w:left w:val="nil"/>
              <w:bottom w:val="single" w:color="000000" w:sz="4" w:space="0"/>
              <w:right w:val="single" w:color="000000" w:sz="4" w:space="0"/>
            </w:tcBorders>
            <w:vAlign w:val="center"/>
          </w:tcPr>
          <w:p>
            <w:pPr>
              <w:spacing w:line="400" w:lineRule="exact"/>
              <w:jc w:val="center"/>
              <w:rPr>
                <w:rFonts w:eastAsia="仿宋_GB2312"/>
                <w:color w:val="auto"/>
                <w:sz w:val="32"/>
                <w:szCs w:val="32"/>
                <w:highlight w:val="none"/>
              </w:rPr>
            </w:pPr>
          </w:p>
        </w:tc>
      </w:tr>
      <w:tr>
        <w:tblPrEx>
          <w:tblLayout w:type="fixed"/>
          <w:tblCellMar>
            <w:top w:w="0" w:type="dxa"/>
            <w:left w:w="108" w:type="dxa"/>
            <w:bottom w:w="0" w:type="dxa"/>
            <w:right w:w="108" w:type="dxa"/>
          </w:tblCellMar>
        </w:tblPrEx>
        <w:trPr>
          <w:trHeight w:val="454" w:hRule="atLeast"/>
          <w:jc w:val="center"/>
        </w:trPr>
        <w:tc>
          <w:tcPr>
            <w:tcW w:w="141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仿宋_GB2312"/>
                <w:color w:val="auto"/>
                <w:sz w:val="32"/>
                <w:szCs w:val="32"/>
                <w:highlight w:val="none"/>
              </w:rPr>
            </w:pPr>
            <w:r>
              <w:rPr>
                <w:rFonts w:eastAsia="仿宋_GB2312"/>
                <w:color w:val="auto"/>
                <w:sz w:val="30"/>
                <w:szCs w:val="30"/>
                <w:highlight w:val="none"/>
              </w:rPr>
              <w:t>20</w:t>
            </w:r>
            <w:r>
              <w:rPr>
                <w:rFonts w:hint="eastAsia" w:eastAsia="仿宋_GB2312"/>
                <w:color w:val="auto"/>
                <w:sz w:val="30"/>
                <w:szCs w:val="30"/>
                <w:highlight w:val="none"/>
                <w:lang w:val="en-US" w:eastAsia="zh-CN"/>
              </w:rPr>
              <w:t>19</w:t>
            </w:r>
            <w:r>
              <w:rPr>
                <w:rFonts w:eastAsia="仿宋_GB2312"/>
                <w:color w:val="auto"/>
                <w:sz w:val="30"/>
                <w:szCs w:val="30"/>
                <w:highlight w:val="none"/>
              </w:rPr>
              <w:t>年</w:t>
            </w:r>
          </w:p>
        </w:tc>
        <w:tc>
          <w:tcPr>
            <w:tcW w:w="2005" w:type="dxa"/>
            <w:tcBorders>
              <w:top w:val="single" w:color="000000" w:sz="4" w:space="0"/>
              <w:left w:val="nil"/>
              <w:bottom w:val="single" w:color="000000" w:sz="4" w:space="0"/>
              <w:right w:val="single" w:color="000000" w:sz="4" w:space="0"/>
            </w:tcBorders>
            <w:vAlign w:val="center"/>
          </w:tcPr>
          <w:p>
            <w:pPr>
              <w:spacing w:line="400" w:lineRule="exact"/>
              <w:jc w:val="center"/>
              <w:rPr>
                <w:rFonts w:hint="default" w:eastAsia="仿宋_GB2312"/>
                <w:color w:val="auto"/>
                <w:sz w:val="32"/>
                <w:szCs w:val="32"/>
                <w:highlight w:val="none"/>
                <w:lang w:val="en-US" w:eastAsia="zh-CN"/>
              </w:rPr>
            </w:pPr>
            <w:r>
              <w:rPr>
                <w:rFonts w:hint="eastAsia" w:eastAsia="仿宋_GB2312"/>
                <w:color w:val="auto"/>
                <w:sz w:val="32"/>
                <w:szCs w:val="32"/>
                <w:highlight w:val="none"/>
                <w:lang w:val="en-US" w:eastAsia="zh-CN"/>
              </w:rPr>
              <w:t>317</w:t>
            </w:r>
          </w:p>
        </w:tc>
        <w:tc>
          <w:tcPr>
            <w:tcW w:w="1559" w:type="dxa"/>
            <w:tcBorders>
              <w:top w:val="single" w:color="000000" w:sz="4" w:space="0"/>
              <w:left w:val="nil"/>
              <w:bottom w:val="single" w:color="000000" w:sz="4" w:space="0"/>
              <w:right w:val="single" w:color="000000" w:sz="4" w:space="0"/>
            </w:tcBorders>
            <w:vAlign w:val="center"/>
          </w:tcPr>
          <w:p>
            <w:pPr>
              <w:spacing w:line="400" w:lineRule="exact"/>
              <w:jc w:val="center"/>
              <w:rPr>
                <w:rFonts w:eastAsia="仿宋_GB2312"/>
                <w:color w:val="auto"/>
                <w:sz w:val="32"/>
                <w:szCs w:val="32"/>
                <w:highlight w:val="none"/>
              </w:rPr>
            </w:pPr>
            <w:r>
              <w:rPr>
                <w:rFonts w:hint="eastAsia" w:eastAsia="仿宋_GB2312"/>
                <w:color w:val="auto"/>
                <w:sz w:val="32"/>
                <w:szCs w:val="32"/>
                <w:highlight w:val="none"/>
                <w:lang w:val="en-US" w:eastAsia="zh-CN"/>
              </w:rPr>
              <w:t>317</w:t>
            </w:r>
          </w:p>
        </w:tc>
        <w:tc>
          <w:tcPr>
            <w:tcW w:w="1590" w:type="dxa"/>
            <w:tcBorders>
              <w:top w:val="single" w:color="000000" w:sz="4" w:space="0"/>
              <w:left w:val="nil"/>
              <w:bottom w:val="single" w:color="000000" w:sz="4" w:space="0"/>
              <w:right w:val="single" w:color="000000" w:sz="4" w:space="0"/>
            </w:tcBorders>
            <w:vAlign w:val="center"/>
          </w:tcPr>
          <w:p>
            <w:pPr>
              <w:spacing w:line="400" w:lineRule="exact"/>
              <w:jc w:val="center"/>
              <w:rPr>
                <w:rFonts w:eastAsia="仿宋_GB2312"/>
                <w:color w:val="auto"/>
                <w:sz w:val="32"/>
                <w:szCs w:val="32"/>
                <w:highlight w:val="none"/>
              </w:rPr>
            </w:pPr>
            <w:r>
              <w:rPr>
                <w:rFonts w:hint="eastAsia" w:eastAsia="仿宋_GB2312"/>
                <w:color w:val="auto"/>
                <w:sz w:val="32"/>
                <w:szCs w:val="32"/>
                <w:highlight w:val="none"/>
                <w:lang w:val="en-US" w:eastAsia="zh-CN"/>
              </w:rPr>
              <w:t>317</w:t>
            </w:r>
          </w:p>
        </w:tc>
        <w:tc>
          <w:tcPr>
            <w:tcW w:w="1985" w:type="dxa"/>
            <w:tcBorders>
              <w:top w:val="single" w:color="000000" w:sz="4" w:space="0"/>
              <w:left w:val="nil"/>
              <w:bottom w:val="single" w:color="000000" w:sz="4" w:space="0"/>
              <w:right w:val="single" w:color="000000" w:sz="4" w:space="0"/>
            </w:tcBorders>
            <w:vAlign w:val="center"/>
          </w:tcPr>
          <w:p>
            <w:pPr>
              <w:spacing w:line="400" w:lineRule="exact"/>
              <w:jc w:val="center"/>
              <w:rPr>
                <w:rFonts w:eastAsia="仿宋_GB2312"/>
                <w:color w:val="auto"/>
                <w:sz w:val="32"/>
                <w:szCs w:val="32"/>
                <w:highlight w:val="none"/>
              </w:rPr>
            </w:pPr>
            <w:r>
              <w:rPr>
                <w:rFonts w:eastAsia="仿宋_GB2312"/>
                <w:color w:val="auto"/>
                <w:sz w:val="32"/>
                <w:szCs w:val="32"/>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12" w:type="dxa"/>
            <w:vAlign w:val="center"/>
          </w:tcPr>
          <w:p>
            <w:pPr>
              <w:spacing w:line="400" w:lineRule="exact"/>
              <w:jc w:val="center"/>
              <w:rPr>
                <w:rFonts w:eastAsia="仿宋_GB2312"/>
                <w:color w:val="auto"/>
                <w:sz w:val="32"/>
                <w:szCs w:val="32"/>
                <w:highlight w:val="none"/>
              </w:rPr>
            </w:pPr>
            <w:r>
              <w:rPr>
                <w:rFonts w:eastAsia="仿宋_GB2312"/>
                <w:color w:val="auto"/>
                <w:sz w:val="30"/>
                <w:szCs w:val="30"/>
                <w:highlight w:val="none"/>
              </w:rPr>
              <w:t>20</w:t>
            </w:r>
            <w:r>
              <w:rPr>
                <w:rFonts w:hint="eastAsia" w:eastAsia="仿宋_GB2312"/>
                <w:color w:val="auto"/>
                <w:sz w:val="30"/>
                <w:szCs w:val="30"/>
                <w:highlight w:val="none"/>
                <w:lang w:val="en-US" w:eastAsia="zh-CN"/>
              </w:rPr>
              <w:t>20</w:t>
            </w:r>
            <w:r>
              <w:rPr>
                <w:rFonts w:eastAsia="仿宋_GB2312"/>
                <w:color w:val="auto"/>
                <w:sz w:val="30"/>
                <w:szCs w:val="30"/>
                <w:highlight w:val="none"/>
              </w:rPr>
              <w:t>年</w:t>
            </w:r>
          </w:p>
        </w:tc>
        <w:tc>
          <w:tcPr>
            <w:tcW w:w="2005" w:type="dxa"/>
            <w:vAlign w:val="center"/>
          </w:tcPr>
          <w:p>
            <w:pPr>
              <w:spacing w:line="400" w:lineRule="exact"/>
              <w:jc w:val="center"/>
              <w:rPr>
                <w:rFonts w:hint="default" w:eastAsia="仿宋_GB2312"/>
                <w:color w:val="auto"/>
                <w:sz w:val="32"/>
                <w:szCs w:val="32"/>
                <w:highlight w:val="none"/>
                <w:lang w:val="en-US" w:eastAsia="zh-CN"/>
              </w:rPr>
            </w:pPr>
            <w:r>
              <w:rPr>
                <w:rFonts w:eastAsia="仿宋_GB2312"/>
                <w:color w:val="auto"/>
                <w:sz w:val="32"/>
                <w:szCs w:val="32"/>
                <w:highlight w:val="none"/>
              </w:rPr>
              <w:t>3</w:t>
            </w:r>
            <w:r>
              <w:rPr>
                <w:rFonts w:hint="eastAsia" w:eastAsia="仿宋_GB2312"/>
                <w:color w:val="auto"/>
                <w:sz w:val="32"/>
                <w:szCs w:val="32"/>
                <w:highlight w:val="none"/>
                <w:lang w:val="en-US" w:eastAsia="zh-CN"/>
              </w:rPr>
              <w:t>16</w:t>
            </w:r>
          </w:p>
        </w:tc>
        <w:tc>
          <w:tcPr>
            <w:tcW w:w="1559" w:type="dxa"/>
            <w:vAlign w:val="center"/>
          </w:tcPr>
          <w:p>
            <w:pPr>
              <w:spacing w:line="400" w:lineRule="exact"/>
              <w:jc w:val="center"/>
              <w:rPr>
                <w:rFonts w:eastAsia="仿宋_GB2312"/>
                <w:color w:val="auto"/>
                <w:sz w:val="32"/>
                <w:szCs w:val="32"/>
                <w:highlight w:val="none"/>
              </w:rPr>
            </w:pPr>
            <w:r>
              <w:rPr>
                <w:rFonts w:eastAsia="仿宋_GB2312"/>
                <w:color w:val="auto"/>
                <w:sz w:val="32"/>
                <w:szCs w:val="32"/>
                <w:highlight w:val="none"/>
              </w:rPr>
              <w:t>3</w:t>
            </w:r>
            <w:r>
              <w:rPr>
                <w:rFonts w:hint="eastAsia" w:eastAsia="仿宋_GB2312"/>
                <w:color w:val="auto"/>
                <w:sz w:val="32"/>
                <w:szCs w:val="32"/>
                <w:highlight w:val="none"/>
                <w:lang w:val="en-US" w:eastAsia="zh-CN"/>
              </w:rPr>
              <w:t>16</w:t>
            </w:r>
          </w:p>
        </w:tc>
        <w:tc>
          <w:tcPr>
            <w:tcW w:w="1590" w:type="dxa"/>
            <w:vAlign w:val="center"/>
          </w:tcPr>
          <w:p>
            <w:pPr>
              <w:spacing w:line="400" w:lineRule="exact"/>
              <w:jc w:val="center"/>
              <w:rPr>
                <w:rFonts w:eastAsia="仿宋_GB2312"/>
                <w:color w:val="auto"/>
                <w:sz w:val="32"/>
                <w:szCs w:val="32"/>
                <w:highlight w:val="none"/>
              </w:rPr>
            </w:pPr>
            <w:r>
              <w:rPr>
                <w:rFonts w:eastAsia="仿宋_GB2312"/>
                <w:color w:val="auto"/>
                <w:sz w:val="32"/>
                <w:szCs w:val="32"/>
                <w:highlight w:val="none"/>
              </w:rPr>
              <w:t>3</w:t>
            </w:r>
            <w:r>
              <w:rPr>
                <w:rFonts w:hint="eastAsia" w:eastAsia="仿宋_GB2312"/>
                <w:color w:val="auto"/>
                <w:sz w:val="32"/>
                <w:szCs w:val="32"/>
                <w:highlight w:val="none"/>
                <w:lang w:val="en-US" w:eastAsia="zh-CN"/>
              </w:rPr>
              <w:t>16</w:t>
            </w:r>
          </w:p>
        </w:tc>
        <w:tc>
          <w:tcPr>
            <w:tcW w:w="1985" w:type="dxa"/>
            <w:vAlign w:val="center"/>
          </w:tcPr>
          <w:p>
            <w:pPr>
              <w:spacing w:line="400" w:lineRule="exact"/>
              <w:jc w:val="center"/>
              <w:rPr>
                <w:rFonts w:eastAsia="仿宋_GB2312"/>
                <w:color w:val="auto"/>
                <w:sz w:val="32"/>
                <w:szCs w:val="32"/>
                <w:highlight w:val="none"/>
              </w:rPr>
            </w:pPr>
            <w:r>
              <w:rPr>
                <w:rFonts w:eastAsia="仿宋_GB2312"/>
                <w:color w:val="auto"/>
                <w:sz w:val="32"/>
                <w:szCs w:val="32"/>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12" w:type="dxa"/>
            <w:vAlign w:val="center"/>
          </w:tcPr>
          <w:p>
            <w:pPr>
              <w:spacing w:line="400" w:lineRule="exact"/>
              <w:jc w:val="center"/>
              <w:rPr>
                <w:rFonts w:eastAsia="仿宋_GB2312"/>
                <w:color w:val="auto"/>
                <w:sz w:val="32"/>
                <w:szCs w:val="32"/>
                <w:highlight w:val="none"/>
              </w:rPr>
            </w:pPr>
            <w:r>
              <w:rPr>
                <w:rFonts w:eastAsia="仿宋_GB2312"/>
                <w:color w:val="auto"/>
                <w:sz w:val="30"/>
                <w:szCs w:val="30"/>
                <w:highlight w:val="none"/>
              </w:rPr>
              <w:t>20</w:t>
            </w:r>
            <w:r>
              <w:rPr>
                <w:rFonts w:hint="eastAsia" w:eastAsia="仿宋_GB2312"/>
                <w:color w:val="auto"/>
                <w:sz w:val="30"/>
                <w:szCs w:val="30"/>
                <w:highlight w:val="none"/>
                <w:lang w:val="en-US" w:eastAsia="zh-CN"/>
              </w:rPr>
              <w:t>21</w:t>
            </w:r>
            <w:r>
              <w:rPr>
                <w:rFonts w:eastAsia="仿宋_GB2312"/>
                <w:color w:val="auto"/>
                <w:sz w:val="30"/>
                <w:szCs w:val="30"/>
                <w:highlight w:val="none"/>
              </w:rPr>
              <w:t>年</w:t>
            </w:r>
          </w:p>
        </w:tc>
        <w:tc>
          <w:tcPr>
            <w:tcW w:w="2005" w:type="dxa"/>
            <w:vAlign w:val="center"/>
          </w:tcPr>
          <w:p>
            <w:pPr>
              <w:spacing w:line="400" w:lineRule="exact"/>
              <w:jc w:val="center"/>
              <w:rPr>
                <w:rFonts w:hint="default" w:eastAsia="仿宋_GB2312"/>
                <w:color w:val="auto"/>
                <w:sz w:val="32"/>
                <w:szCs w:val="32"/>
                <w:highlight w:val="none"/>
                <w:lang w:val="en-US" w:eastAsia="zh-CN"/>
              </w:rPr>
            </w:pPr>
            <w:r>
              <w:rPr>
                <w:rFonts w:hint="eastAsia" w:eastAsia="仿宋_GB2312"/>
                <w:color w:val="auto"/>
                <w:sz w:val="32"/>
                <w:szCs w:val="32"/>
                <w:highlight w:val="none"/>
                <w:lang w:val="en-US" w:eastAsia="zh-CN"/>
              </w:rPr>
              <w:t>455</w:t>
            </w:r>
          </w:p>
        </w:tc>
        <w:tc>
          <w:tcPr>
            <w:tcW w:w="1559" w:type="dxa"/>
            <w:vAlign w:val="center"/>
          </w:tcPr>
          <w:p>
            <w:pPr>
              <w:spacing w:line="400" w:lineRule="exact"/>
              <w:jc w:val="center"/>
              <w:rPr>
                <w:rFonts w:eastAsia="仿宋_GB2312"/>
                <w:color w:val="auto"/>
                <w:sz w:val="32"/>
                <w:szCs w:val="32"/>
                <w:highlight w:val="none"/>
              </w:rPr>
            </w:pPr>
            <w:r>
              <w:rPr>
                <w:rFonts w:hint="eastAsia" w:eastAsia="仿宋_GB2312"/>
                <w:color w:val="auto"/>
                <w:sz w:val="32"/>
                <w:szCs w:val="32"/>
                <w:highlight w:val="none"/>
                <w:lang w:val="en-US" w:eastAsia="zh-CN"/>
              </w:rPr>
              <w:t>455</w:t>
            </w:r>
          </w:p>
        </w:tc>
        <w:tc>
          <w:tcPr>
            <w:tcW w:w="1590" w:type="dxa"/>
            <w:vAlign w:val="center"/>
          </w:tcPr>
          <w:p>
            <w:pPr>
              <w:spacing w:line="400" w:lineRule="exact"/>
              <w:jc w:val="center"/>
              <w:rPr>
                <w:rFonts w:eastAsia="仿宋_GB2312"/>
                <w:color w:val="auto"/>
                <w:sz w:val="32"/>
                <w:szCs w:val="32"/>
                <w:highlight w:val="none"/>
              </w:rPr>
            </w:pPr>
            <w:r>
              <w:rPr>
                <w:rFonts w:hint="eastAsia" w:eastAsia="仿宋_GB2312"/>
                <w:color w:val="auto"/>
                <w:sz w:val="32"/>
                <w:szCs w:val="32"/>
                <w:highlight w:val="none"/>
                <w:lang w:val="en-US" w:eastAsia="zh-CN"/>
              </w:rPr>
              <w:t>455</w:t>
            </w:r>
          </w:p>
        </w:tc>
        <w:tc>
          <w:tcPr>
            <w:tcW w:w="1985" w:type="dxa"/>
            <w:vAlign w:val="center"/>
          </w:tcPr>
          <w:p>
            <w:pPr>
              <w:spacing w:line="400" w:lineRule="exact"/>
              <w:jc w:val="center"/>
              <w:rPr>
                <w:rFonts w:eastAsia="仿宋_GB2312"/>
                <w:color w:val="auto"/>
                <w:sz w:val="32"/>
                <w:szCs w:val="32"/>
                <w:highlight w:val="none"/>
              </w:rPr>
            </w:pPr>
            <w:r>
              <w:rPr>
                <w:rFonts w:eastAsia="仿宋_GB2312"/>
                <w:color w:val="auto"/>
                <w:sz w:val="32"/>
                <w:szCs w:val="32"/>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12" w:type="dxa"/>
            <w:vAlign w:val="center"/>
          </w:tcPr>
          <w:p>
            <w:pPr>
              <w:spacing w:line="400" w:lineRule="exact"/>
              <w:jc w:val="center"/>
              <w:rPr>
                <w:rFonts w:eastAsia="仿宋_GB2312"/>
                <w:color w:val="auto"/>
                <w:sz w:val="32"/>
                <w:szCs w:val="32"/>
                <w:highlight w:val="none"/>
              </w:rPr>
            </w:pPr>
            <w:r>
              <w:rPr>
                <w:rFonts w:eastAsia="仿宋_GB2312"/>
                <w:color w:val="auto"/>
                <w:sz w:val="30"/>
                <w:szCs w:val="30"/>
                <w:highlight w:val="none"/>
              </w:rPr>
              <w:t>20</w:t>
            </w:r>
            <w:r>
              <w:rPr>
                <w:rFonts w:hint="eastAsia" w:eastAsia="仿宋_GB2312"/>
                <w:color w:val="auto"/>
                <w:sz w:val="30"/>
                <w:szCs w:val="30"/>
                <w:highlight w:val="none"/>
                <w:lang w:val="en-US" w:eastAsia="zh-CN"/>
              </w:rPr>
              <w:t>22</w:t>
            </w:r>
            <w:r>
              <w:rPr>
                <w:rFonts w:eastAsia="仿宋_GB2312"/>
                <w:color w:val="auto"/>
                <w:sz w:val="30"/>
                <w:szCs w:val="30"/>
                <w:highlight w:val="none"/>
              </w:rPr>
              <w:t>年</w:t>
            </w:r>
          </w:p>
        </w:tc>
        <w:tc>
          <w:tcPr>
            <w:tcW w:w="2005" w:type="dxa"/>
            <w:vAlign w:val="center"/>
          </w:tcPr>
          <w:p>
            <w:pPr>
              <w:spacing w:line="400" w:lineRule="exact"/>
              <w:jc w:val="center"/>
              <w:rPr>
                <w:rFonts w:hint="default" w:eastAsia="仿宋_GB2312"/>
                <w:color w:val="auto"/>
                <w:sz w:val="32"/>
                <w:szCs w:val="32"/>
                <w:highlight w:val="none"/>
                <w:lang w:val="en-US" w:eastAsia="zh-CN"/>
              </w:rPr>
            </w:pPr>
            <w:r>
              <w:rPr>
                <w:rFonts w:hint="eastAsia" w:eastAsia="仿宋_GB2312"/>
                <w:color w:val="auto"/>
                <w:sz w:val="32"/>
                <w:szCs w:val="32"/>
                <w:highlight w:val="none"/>
                <w:lang w:val="en-US" w:eastAsia="zh-CN"/>
              </w:rPr>
              <w:t>416</w:t>
            </w:r>
          </w:p>
        </w:tc>
        <w:tc>
          <w:tcPr>
            <w:tcW w:w="1559" w:type="dxa"/>
            <w:vAlign w:val="center"/>
          </w:tcPr>
          <w:p>
            <w:pPr>
              <w:spacing w:line="400" w:lineRule="exact"/>
              <w:jc w:val="center"/>
              <w:rPr>
                <w:rFonts w:eastAsia="仿宋_GB2312"/>
                <w:color w:val="auto"/>
                <w:sz w:val="32"/>
                <w:szCs w:val="32"/>
                <w:highlight w:val="none"/>
              </w:rPr>
            </w:pPr>
            <w:r>
              <w:rPr>
                <w:rFonts w:hint="eastAsia" w:eastAsia="仿宋_GB2312"/>
                <w:color w:val="auto"/>
                <w:sz w:val="32"/>
                <w:szCs w:val="32"/>
                <w:highlight w:val="none"/>
                <w:lang w:val="en-US" w:eastAsia="zh-CN"/>
              </w:rPr>
              <w:t>416</w:t>
            </w:r>
          </w:p>
        </w:tc>
        <w:tc>
          <w:tcPr>
            <w:tcW w:w="1590" w:type="dxa"/>
            <w:vAlign w:val="center"/>
          </w:tcPr>
          <w:p>
            <w:pPr>
              <w:spacing w:line="400" w:lineRule="exact"/>
              <w:jc w:val="center"/>
              <w:rPr>
                <w:rFonts w:eastAsia="仿宋_GB2312"/>
                <w:color w:val="auto"/>
                <w:sz w:val="32"/>
                <w:szCs w:val="32"/>
                <w:highlight w:val="none"/>
              </w:rPr>
            </w:pPr>
            <w:r>
              <w:rPr>
                <w:rFonts w:hint="eastAsia" w:eastAsia="仿宋_GB2312"/>
                <w:color w:val="auto"/>
                <w:sz w:val="32"/>
                <w:szCs w:val="32"/>
                <w:highlight w:val="none"/>
                <w:lang w:val="en-US" w:eastAsia="zh-CN"/>
              </w:rPr>
              <w:t>416</w:t>
            </w:r>
          </w:p>
        </w:tc>
        <w:tc>
          <w:tcPr>
            <w:tcW w:w="1985" w:type="dxa"/>
            <w:vAlign w:val="center"/>
          </w:tcPr>
          <w:p>
            <w:pPr>
              <w:spacing w:line="400" w:lineRule="exact"/>
              <w:jc w:val="center"/>
              <w:rPr>
                <w:rFonts w:eastAsia="仿宋_GB2312"/>
                <w:color w:val="auto"/>
                <w:sz w:val="32"/>
                <w:szCs w:val="32"/>
                <w:highlight w:val="none"/>
              </w:rPr>
            </w:pPr>
            <w:r>
              <w:rPr>
                <w:rFonts w:eastAsia="仿宋_GB2312"/>
                <w:color w:val="auto"/>
                <w:sz w:val="32"/>
                <w:szCs w:val="32"/>
                <w:highlight w:val="none"/>
              </w:rPr>
              <w:t>100</w:t>
            </w:r>
          </w:p>
        </w:tc>
      </w:tr>
    </w:tbl>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2.地方教育附加：</w:t>
      </w:r>
    </w:p>
    <w:tbl>
      <w:tblPr>
        <w:tblStyle w:val="12"/>
        <w:tblW w:w="8530" w:type="dxa"/>
        <w:jc w:val="center"/>
        <w:tblInd w:w="0" w:type="dxa"/>
        <w:tblLayout w:type="fixed"/>
        <w:tblCellMar>
          <w:top w:w="0" w:type="dxa"/>
          <w:left w:w="108" w:type="dxa"/>
          <w:bottom w:w="0" w:type="dxa"/>
          <w:right w:w="108" w:type="dxa"/>
        </w:tblCellMar>
      </w:tblPr>
      <w:tblGrid>
        <w:gridCol w:w="1486"/>
        <w:gridCol w:w="2028"/>
        <w:gridCol w:w="1560"/>
        <w:gridCol w:w="1769"/>
        <w:gridCol w:w="1687"/>
      </w:tblGrid>
      <w:tr>
        <w:tblPrEx>
          <w:tblLayout w:type="fixed"/>
          <w:tblCellMar>
            <w:top w:w="0" w:type="dxa"/>
            <w:left w:w="108" w:type="dxa"/>
            <w:bottom w:w="0" w:type="dxa"/>
            <w:right w:w="108" w:type="dxa"/>
          </w:tblCellMar>
        </w:tblPrEx>
        <w:trPr>
          <w:trHeight w:val="1019" w:hRule="atLeast"/>
          <w:jc w:val="center"/>
        </w:trPr>
        <w:tc>
          <w:tcPr>
            <w:tcW w:w="1486" w:type="dxa"/>
            <w:tcBorders>
              <w:top w:val="single" w:color="000000" w:sz="4" w:space="0"/>
              <w:left w:val="single" w:color="000000" w:sz="4" w:space="0"/>
              <w:bottom w:val="single" w:color="000000" w:sz="4" w:space="0"/>
              <w:right w:val="single" w:color="000000" w:sz="4" w:space="0"/>
              <w:tl2br w:val="single" w:color="auto" w:sz="4" w:space="0"/>
            </w:tcBorders>
            <w:vAlign w:val="center"/>
          </w:tcPr>
          <w:p>
            <w:pPr>
              <w:spacing w:line="400" w:lineRule="exact"/>
              <w:ind w:firstLine="450" w:firstLineChars="150"/>
              <w:jc w:val="center"/>
              <w:rPr>
                <w:rFonts w:eastAsia="仿宋_GB2312"/>
                <w:color w:val="auto"/>
                <w:sz w:val="30"/>
                <w:szCs w:val="30"/>
                <w:highlight w:val="none"/>
              </w:rPr>
            </w:pPr>
            <w:r>
              <w:rPr>
                <w:rFonts w:eastAsia="仿宋_GB2312"/>
                <w:color w:val="auto"/>
                <w:sz w:val="30"/>
                <w:szCs w:val="30"/>
                <w:highlight w:val="none"/>
              </w:rPr>
              <w:t>项目</w:t>
            </w:r>
          </w:p>
          <w:p>
            <w:pPr>
              <w:spacing w:line="400" w:lineRule="exact"/>
              <w:rPr>
                <w:rFonts w:eastAsia="仿宋_GB2312"/>
                <w:color w:val="auto"/>
                <w:sz w:val="30"/>
                <w:szCs w:val="30"/>
                <w:highlight w:val="none"/>
              </w:rPr>
            </w:pPr>
            <w:r>
              <w:rPr>
                <w:rFonts w:eastAsia="仿宋_GB2312"/>
                <w:color w:val="auto"/>
                <w:sz w:val="30"/>
                <w:szCs w:val="30"/>
                <w:highlight w:val="none"/>
              </w:rPr>
              <w:t>年度</w:t>
            </w:r>
          </w:p>
        </w:tc>
        <w:tc>
          <w:tcPr>
            <w:tcW w:w="2028" w:type="dxa"/>
            <w:tcBorders>
              <w:top w:val="single" w:color="000000" w:sz="4" w:space="0"/>
              <w:left w:val="nil"/>
              <w:bottom w:val="single" w:color="000000" w:sz="4" w:space="0"/>
              <w:right w:val="single" w:color="000000" w:sz="4" w:space="0"/>
            </w:tcBorders>
            <w:vAlign w:val="center"/>
          </w:tcPr>
          <w:p>
            <w:pPr>
              <w:spacing w:line="400" w:lineRule="exact"/>
              <w:jc w:val="center"/>
              <w:rPr>
                <w:rFonts w:eastAsia="仿宋_GB2312"/>
                <w:color w:val="auto"/>
                <w:sz w:val="30"/>
                <w:szCs w:val="30"/>
                <w:highlight w:val="none"/>
              </w:rPr>
            </w:pPr>
            <w:r>
              <w:rPr>
                <w:rFonts w:eastAsia="仿宋_GB2312"/>
                <w:color w:val="auto"/>
                <w:sz w:val="30"/>
                <w:szCs w:val="30"/>
                <w:highlight w:val="none"/>
              </w:rPr>
              <w:t>地方教育附加应征数（万元）</w:t>
            </w:r>
          </w:p>
        </w:tc>
        <w:tc>
          <w:tcPr>
            <w:tcW w:w="1560" w:type="dxa"/>
            <w:tcBorders>
              <w:top w:val="single" w:color="000000" w:sz="4" w:space="0"/>
              <w:left w:val="nil"/>
              <w:bottom w:val="single" w:color="000000" w:sz="4" w:space="0"/>
              <w:right w:val="single" w:color="000000" w:sz="4" w:space="0"/>
            </w:tcBorders>
            <w:vAlign w:val="center"/>
          </w:tcPr>
          <w:p>
            <w:pPr>
              <w:spacing w:line="400" w:lineRule="exact"/>
              <w:jc w:val="center"/>
              <w:rPr>
                <w:rFonts w:eastAsia="仿宋_GB2312"/>
                <w:color w:val="auto"/>
                <w:sz w:val="30"/>
                <w:szCs w:val="30"/>
                <w:highlight w:val="none"/>
              </w:rPr>
            </w:pPr>
            <w:r>
              <w:rPr>
                <w:rFonts w:eastAsia="仿宋_GB2312"/>
                <w:color w:val="auto"/>
                <w:sz w:val="30"/>
                <w:szCs w:val="30"/>
                <w:highlight w:val="none"/>
              </w:rPr>
              <w:t>实征数</w:t>
            </w:r>
          </w:p>
          <w:p>
            <w:pPr>
              <w:spacing w:line="400" w:lineRule="exact"/>
              <w:jc w:val="center"/>
              <w:rPr>
                <w:rFonts w:eastAsia="仿宋_GB2312"/>
                <w:color w:val="auto"/>
                <w:sz w:val="30"/>
                <w:szCs w:val="30"/>
                <w:highlight w:val="none"/>
              </w:rPr>
            </w:pPr>
            <w:r>
              <w:rPr>
                <w:rFonts w:eastAsia="仿宋_GB2312"/>
                <w:color w:val="auto"/>
                <w:sz w:val="30"/>
                <w:szCs w:val="30"/>
                <w:highlight w:val="none"/>
              </w:rPr>
              <w:t>（万元）</w:t>
            </w:r>
          </w:p>
        </w:tc>
        <w:tc>
          <w:tcPr>
            <w:tcW w:w="1769" w:type="dxa"/>
            <w:tcBorders>
              <w:top w:val="single" w:color="000000" w:sz="4" w:space="0"/>
              <w:left w:val="nil"/>
              <w:bottom w:val="single" w:color="000000" w:sz="4" w:space="0"/>
              <w:right w:val="single" w:color="000000" w:sz="4" w:space="0"/>
            </w:tcBorders>
            <w:vAlign w:val="center"/>
          </w:tcPr>
          <w:p>
            <w:pPr>
              <w:spacing w:line="400" w:lineRule="exact"/>
              <w:jc w:val="center"/>
              <w:rPr>
                <w:rFonts w:eastAsia="仿宋_GB2312"/>
                <w:color w:val="auto"/>
                <w:sz w:val="30"/>
                <w:szCs w:val="30"/>
                <w:highlight w:val="none"/>
              </w:rPr>
            </w:pPr>
            <w:r>
              <w:rPr>
                <w:rFonts w:eastAsia="仿宋_GB2312"/>
                <w:color w:val="auto"/>
                <w:sz w:val="30"/>
                <w:szCs w:val="30"/>
                <w:highlight w:val="none"/>
              </w:rPr>
              <w:t>用于教育（万元）</w:t>
            </w:r>
          </w:p>
        </w:tc>
        <w:tc>
          <w:tcPr>
            <w:tcW w:w="168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仿宋_GB2312"/>
                <w:color w:val="auto"/>
                <w:sz w:val="30"/>
                <w:szCs w:val="30"/>
                <w:highlight w:val="none"/>
              </w:rPr>
            </w:pPr>
            <w:r>
              <w:rPr>
                <w:rFonts w:eastAsia="仿宋_GB2312"/>
                <w:color w:val="auto"/>
                <w:sz w:val="30"/>
                <w:szCs w:val="30"/>
                <w:highlight w:val="none"/>
              </w:rPr>
              <w:t>用于教育所占比例%</w:t>
            </w:r>
          </w:p>
        </w:tc>
      </w:tr>
      <w:tr>
        <w:tblPrEx>
          <w:tblLayout w:type="fixed"/>
          <w:tblCellMar>
            <w:top w:w="0" w:type="dxa"/>
            <w:left w:w="108" w:type="dxa"/>
            <w:bottom w:w="0" w:type="dxa"/>
            <w:right w:w="108" w:type="dxa"/>
          </w:tblCellMar>
        </w:tblPrEx>
        <w:trPr>
          <w:trHeight w:val="454" w:hRule="atLeast"/>
          <w:jc w:val="center"/>
        </w:trPr>
        <w:tc>
          <w:tcPr>
            <w:tcW w:w="148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仿宋_GB2312"/>
                <w:color w:val="auto"/>
                <w:sz w:val="32"/>
                <w:szCs w:val="32"/>
                <w:highlight w:val="none"/>
              </w:rPr>
            </w:pPr>
            <w:r>
              <w:rPr>
                <w:rFonts w:eastAsia="仿宋_GB2312"/>
                <w:color w:val="auto"/>
                <w:sz w:val="30"/>
                <w:szCs w:val="30"/>
                <w:highlight w:val="none"/>
              </w:rPr>
              <w:t>20</w:t>
            </w:r>
            <w:r>
              <w:rPr>
                <w:rFonts w:hint="eastAsia" w:eastAsia="仿宋_GB2312"/>
                <w:color w:val="auto"/>
                <w:sz w:val="30"/>
                <w:szCs w:val="30"/>
                <w:highlight w:val="none"/>
                <w:lang w:val="en-US" w:eastAsia="zh-CN"/>
              </w:rPr>
              <w:t>19</w:t>
            </w:r>
            <w:r>
              <w:rPr>
                <w:rFonts w:eastAsia="仿宋_GB2312"/>
                <w:color w:val="auto"/>
                <w:sz w:val="30"/>
                <w:szCs w:val="30"/>
                <w:highlight w:val="none"/>
              </w:rPr>
              <w:t>年</w:t>
            </w:r>
          </w:p>
        </w:tc>
        <w:tc>
          <w:tcPr>
            <w:tcW w:w="2028" w:type="dxa"/>
            <w:tcBorders>
              <w:top w:val="single" w:color="000000" w:sz="4" w:space="0"/>
              <w:left w:val="nil"/>
              <w:bottom w:val="single" w:color="000000" w:sz="4" w:space="0"/>
              <w:right w:val="single" w:color="000000" w:sz="4" w:space="0"/>
            </w:tcBorders>
            <w:vAlign w:val="center"/>
          </w:tcPr>
          <w:p>
            <w:pPr>
              <w:spacing w:line="400" w:lineRule="exact"/>
              <w:jc w:val="center"/>
              <w:rPr>
                <w:rFonts w:hint="default" w:eastAsia="仿宋_GB2312"/>
                <w:color w:val="auto"/>
                <w:sz w:val="32"/>
                <w:szCs w:val="32"/>
                <w:highlight w:val="none"/>
                <w:lang w:val="en-US" w:eastAsia="zh-CN"/>
              </w:rPr>
            </w:pPr>
            <w:r>
              <w:rPr>
                <w:rFonts w:hint="eastAsia" w:eastAsia="仿宋_GB2312"/>
                <w:color w:val="auto"/>
                <w:sz w:val="32"/>
                <w:szCs w:val="32"/>
                <w:highlight w:val="none"/>
                <w:lang w:val="en-US" w:eastAsia="zh-CN"/>
              </w:rPr>
              <w:t>208</w:t>
            </w:r>
          </w:p>
        </w:tc>
        <w:tc>
          <w:tcPr>
            <w:tcW w:w="1560" w:type="dxa"/>
            <w:tcBorders>
              <w:top w:val="single" w:color="000000" w:sz="4" w:space="0"/>
              <w:left w:val="nil"/>
              <w:bottom w:val="single" w:color="000000" w:sz="4" w:space="0"/>
              <w:right w:val="single" w:color="000000" w:sz="4" w:space="0"/>
            </w:tcBorders>
            <w:vAlign w:val="center"/>
          </w:tcPr>
          <w:p>
            <w:pPr>
              <w:spacing w:line="400" w:lineRule="exact"/>
              <w:jc w:val="center"/>
              <w:rPr>
                <w:rFonts w:eastAsia="仿宋_GB2312"/>
                <w:color w:val="auto"/>
                <w:sz w:val="32"/>
                <w:szCs w:val="32"/>
                <w:highlight w:val="none"/>
              </w:rPr>
            </w:pPr>
            <w:r>
              <w:rPr>
                <w:rFonts w:hint="eastAsia" w:eastAsia="仿宋_GB2312"/>
                <w:color w:val="auto"/>
                <w:sz w:val="32"/>
                <w:szCs w:val="32"/>
                <w:highlight w:val="none"/>
                <w:lang w:val="en-US" w:eastAsia="zh-CN"/>
              </w:rPr>
              <w:t>208</w:t>
            </w:r>
          </w:p>
        </w:tc>
        <w:tc>
          <w:tcPr>
            <w:tcW w:w="1769" w:type="dxa"/>
            <w:tcBorders>
              <w:top w:val="single" w:color="000000" w:sz="4" w:space="0"/>
              <w:left w:val="nil"/>
              <w:bottom w:val="single" w:color="000000" w:sz="4" w:space="0"/>
              <w:right w:val="single" w:color="000000" w:sz="4" w:space="0"/>
            </w:tcBorders>
            <w:vAlign w:val="center"/>
          </w:tcPr>
          <w:p>
            <w:pPr>
              <w:spacing w:line="400" w:lineRule="exact"/>
              <w:jc w:val="center"/>
              <w:rPr>
                <w:rFonts w:eastAsia="仿宋_GB2312"/>
                <w:color w:val="auto"/>
                <w:sz w:val="32"/>
                <w:szCs w:val="32"/>
                <w:highlight w:val="none"/>
              </w:rPr>
            </w:pPr>
            <w:r>
              <w:rPr>
                <w:rFonts w:hint="eastAsia" w:eastAsia="仿宋_GB2312"/>
                <w:color w:val="auto"/>
                <w:sz w:val="32"/>
                <w:szCs w:val="32"/>
                <w:highlight w:val="none"/>
                <w:lang w:val="en-US" w:eastAsia="zh-CN"/>
              </w:rPr>
              <w:t>208</w:t>
            </w:r>
          </w:p>
        </w:tc>
        <w:tc>
          <w:tcPr>
            <w:tcW w:w="168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仿宋_GB2312"/>
                <w:color w:val="auto"/>
                <w:sz w:val="32"/>
                <w:szCs w:val="32"/>
                <w:highlight w:val="none"/>
              </w:rPr>
            </w:pPr>
            <w:r>
              <w:rPr>
                <w:rFonts w:eastAsia="仿宋_GB2312"/>
                <w:color w:val="auto"/>
                <w:sz w:val="32"/>
                <w:szCs w:val="32"/>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86" w:type="dxa"/>
            <w:vAlign w:val="center"/>
          </w:tcPr>
          <w:p>
            <w:pPr>
              <w:spacing w:line="400" w:lineRule="exact"/>
              <w:jc w:val="center"/>
              <w:rPr>
                <w:rFonts w:eastAsia="仿宋_GB2312"/>
                <w:color w:val="auto"/>
                <w:sz w:val="32"/>
                <w:szCs w:val="32"/>
                <w:highlight w:val="none"/>
              </w:rPr>
            </w:pPr>
            <w:r>
              <w:rPr>
                <w:rFonts w:eastAsia="仿宋_GB2312"/>
                <w:color w:val="auto"/>
                <w:sz w:val="30"/>
                <w:szCs w:val="30"/>
                <w:highlight w:val="none"/>
              </w:rPr>
              <w:t>20</w:t>
            </w:r>
            <w:r>
              <w:rPr>
                <w:rFonts w:hint="eastAsia" w:eastAsia="仿宋_GB2312"/>
                <w:color w:val="auto"/>
                <w:sz w:val="30"/>
                <w:szCs w:val="30"/>
                <w:highlight w:val="none"/>
                <w:lang w:val="en-US" w:eastAsia="zh-CN"/>
              </w:rPr>
              <w:t>20</w:t>
            </w:r>
            <w:r>
              <w:rPr>
                <w:rFonts w:eastAsia="仿宋_GB2312"/>
                <w:color w:val="auto"/>
                <w:sz w:val="30"/>
                <w:szCs w:val="30"/>
                <w:highlight w:val="none"/>
              </w:rPr>
              <w:t>年</w:t>
            </w:r>
          </w:p>
        </w:tc>
        <w:tc>
          <w:tcPr>
            <w:tcW w:w="2028" w:type="dxa"/>
            <w:vAlign w:val="center"/>
          </w:tcPr>
          <w:p>
            <w:pPr>
              <w:spacing w:line="400" w:lineRule="exact"/>
              <w:jc w:val="center"/>
              <w:rPr>
                <w:rFonts w:hint="default" w:eastAsia="仿宋_GB2312"/>
                <w:color w:val="auto"/>
                <w:sz w:val="32"/>
                <w:szCs w:val="32"/>
                <w:highlight w:val="none"/>
                <w:lang w:val="en-US" w:eastAsia="zh-CN"/>
              </w:rPr>
            </w:pPr>
            <w:r>
              <w:rPr>
                <w:rFonts w:eastAsia="仿宋_GB2312"/>
                <w:color w:val="auto"/>
                <w:sz w:val="32"/>
                <w:szCs w:val="32"/>
                <w:highlight w:val="none"/>
              </w:rPr>
              <w:t>2</w:t>
            </w:r>
            <w:r>
              <w:rPr>
                <w:rFonts w:hint="eastAsia" w:eastAsia="仿宋_GB2312"/>
                <w:color w:val="auto"/>
                <w:sz w:val="32"/>
                <w:szCs w:val="32"/>
                <w:highlight w:val="none"/>
                <w:lang w:val="en-US" w:eastAsia="zh-CN"/>
              </w:rPr>
              <w:t>10</w:t>
            </w:r>
          </w:p>
        </w:tc>
        <w:tc>
          <w:tcPr>
            <w:tcW w:w="1560" w:type="dxa"/>
            <w:tcBorders>
              <w:right w:val="single" w:color="000000" w:sz="4" w:space="0"/>
            </w:tcBorders>
            <w:vAlign w:val="center"/>
          </w:tcPr>
          <w:p>
            <w:pPr>
              <w:spacing w:line="400" w:lineRule="exact"/>
              <w:jc w:val="center"/>
              <w:rPr>
                <w:rFonts w:eastAsia="仿宋_GB2312"/>
                <w:color w:val="auto"/>
                <w:sz w:val="32"/>
                <w:szCs w:val="32"/>
                <w:highlight w:val="none"/>
              </w:rPr>
            </w:pPr>
            <w:r>
              <w:rPr>
                <w:rFonts w:eastAsia="仿宋_GB2312"/>
                <w:color w:val="auto"/>
                <w:sz w:val="32"/>
                <w:szCs w:val="32"/>
                <w:highlight w:val="none"/>
              </w:rPr>
              <w:t>2</w:t>
            </w:r>
            <w:r>
              <w:rPr>
                <w:rFonts w:hint="eastAsia" w:eastAsia="仿宋_GB2312"/>
                <w:color w:val="auto"/>
                <w:sz w:val="32"/>
                <w:szCs w:val="32"/>
                <w:highlight w:val="none"/>
                <w:lang w:val="en-US" w:eastAsia="zh-CN"/>
              </w:rPr>
              <w:t>10</w:t>
            </w:r>
          </w:p>
        </w:tc>
        <w:tc>
          <w:tcPr>
            <w:tcW w:w="176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仿宋_GB2312"/>
                <w:color w:val="auto"/>
                <w:sz w:val="32"/>
                <w:szCs w:val="32"/>
                <w:highlight w:val="none"/>
              </w:rPr>
            </w:pPr>
            <w:r>
              <w:rPr>
                <w:rFonts w:eastAsia="仿宋_GB2312"/>
                <w:color w:val="auto"/>
                <w:sz w:val="32"/>
                <w:szCs w:val="32"/>
                <w:highlight w:val="none"/>
              </w:rPr>
              <w:t>2</w:t>
            </w:r>
            <w:r>
              <w:rPr>
                <w:rFonts w:hint="eastAsia" w:eastAsia="仿宋_GB2312"/>
                <w:color w:val="auto"/>
                <w:sz w:val="32"/>
                <w:szCs w:val="32"/>
                <w:highlight w:val="none"/>
                <w:lang w:val="en-US" w:eastAsia="zh-CN"/>
              </w:rPr>
              <w:t>10</w:t>
            </w:r>
          </w:p>
        </w:tc>
        <w:tc>
          <w:tcPr>
            <w:tcW w:w="168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仿宋_GB2312"/>
                <w:color w:val="auto"/>
                <w:sz w:val="32"/>
                <w:szCs w:val="32"/>
                <w:highlight w:val="none"/>
              </w:rPr>
            </w:pPr>
            <w:r>
              <w:rPr>
                <w:rFonts w:eastAsia="仿宋_GB2312"/>
                <w:color w:val="auto"/>
                <w:sz w:val="32"/>
                <w:szCs w:val="32"/>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86" w:type="dxa"/>
            <w:vAlign w:val="center"/>
          </w:tcPr>
          <w:p>
            <w:pPr>
              <w:spacing w:line="400" w:lineRule="exact"/>
              <w:jc w:val="center"/>
              <w:rPr>
                <w:rFonts w:eastAsia="仿宋_GB2312"/>
                <w:color w:val="auto"/>
                <w:sz w:val="32"/>
                <w:szCs w:val="32"/>
                <w:highlight w:val="none"/>
              </w:rPr>
            </w:pPr>
            <w:r>
              <w:rPr>
                <w:rFonts w:eastAsia="仿宋_GB2312"/>
                <w:color w:val="auto"/>
                <w:sz w:val="30"/>
                <w:szCs w:val="30"/>
                <w:highlight w:val="none"/>
              </w:rPr>
              <w:t>20</w:t>
            </w:r>
            <w:r>
              <w:rPr>
                <w:rFonts w:hint="eastAsia" w:eastAsia="仿宋_GB2312"/>
                <w:color w:val="auto"/>
                <w:sz w:val="30"/>
                <w:szCs w:val="30"/>
                <w:highlight w:val="none"/>
                <w:lang w:val="en-US" w:eastAsia="zh-CN"/>
              </w:rPr>
              <w:t>21</w:t>
            </w:r>
            <w:r>
              <w:rPr>
                <w:rFonts w:eastAsia="仿宋_GB2312"/>
                <w:color w:val="auto"/>
                <w:sz w:val="30"/>
                <w:szCs w:val="30"/>
                <w:highlight w:val="none"/>
              </w:rPr>
              <w:t>年</w:t>
            </w:r>
          </w:p>
        </w:tc>
        <w:tc>
          <w:tcPr>
            <w:tcW w:w="2028" w:type="dxa"/>
            <w:vAlign w:val="center"/>
          </w:tcPr>
          <w:p>
            <w:pPr>
              <w:spacing w:line="400" w:lineRule="exact"/>
              <w:jc w:val="center"/>
              <w:rPr>
                <w:rFonts w:hint="default" w:eastAsia="仿宋_GB2312"/>
                <w:color w:val="auto"/>
                <w:sz w:val="32"/>
                <w:szCs w:val="32"/>
                <w:highlight w:val="none"/>
                <w:lang w:val="en-US" w:eastAsia="zh-CN"/>
              </w:rPr>
            </w:pPr>
            <w:r>
              <w:rPr>
                <w:rFonts w:hint="eastAsia" w:eastAsia="仿宋_GB2312"/>
                <w:color w:val="auto"/>
                <w:sz w:val="32"/>
                <w:szCs w:val="32"/>
                <w:highlight w:val="none"/>
                <w:lang w:val="en-US" w:eastAsia="zh-CN"/>
              </w:rPr>
              <w:t>303</w:t>
            </w:r>
          </w:p>
        </w:tc>
        <w:tc>
          <w:tcPr>
            <w:tcW w:w="1560" w:type="dxa"/>
            <w:tcBorders>
              <w:right w:val="single" w:color="000000" w:sz="4" w:space="0"/>
            </w:tcBorders>
            <w:vAlign w:val="center"/>
          </w:tcPr>
          <w:p>
            <w:pPr>
              <w:spacing w:line="400" w:lineRule="exact"/>
              <w:jc w:val="center"/>
              <w:rPr>
                <w:rFonts w:eastAsia="仿宋_GB2312"/>
                <w:color w:val="auto"/>
                <w:sz w:val="32"/>
                <w:szCs w:val="32"/>
                <w:highlight w:val="none"/>
              </w:rPr>
            </w:pPr>
            <w:r>
              <w:rPr>
                <w:rFonts w:hint="eastAsia" w:eastAsia="仿宋_GB2312"/>
                <w:color w:val="auto"/>
                <w:sz w:val="32"/>
                <w:szCs w:val="32"/>
                <w:highlight w:val="none"/>
                <w:lang w:val="en-US" w:eastAsia="zh-CN"/>
              </w:rPr>
              <w:t>303</w:t>
            </w:r>
          </w:p>
        </w:tc>
        <w:tc>
          <w:tcPr>
            <w:tcW w:w="176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仿宋_GB2312"/>
                <w:color w:val="auto"/>
                <w:sz w:val="32"/>
                <w:szCs w:val="32"/>
                <w:highlight w:val="none"/>
              </w:rPr>
            </w:pPr>
            <w:r>
              <w:rPr>
                <w:rFonts w:hint="eastAsia" w:eastAsia="仿宋_GB2312"/>
                <w:color w:val="auto"/>
                <w:sz w:val="32"/>
                <w:szCs w:val="32"/>
                <w:highlight w:val="none"/>
                <w:lang w:val="en-US" w:eastAsia="zh-CN"/>
              </w:rPr>
              <w:t>303</w:t>
            </w:r>
          </w:p>
        </w:tc>
        <w:tc>
          <w:tcPr>
            <w:tcW w:w="168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仿宋_GB2312"/>
                <w:color w:val="auto"/>
                <w:sz w:val="32"/>
                <w:szCs w:val="32"/>
                <w:highlight w:val="none"/>
              </w:rPr>
            </w:pPr>
            <w:r>
              <w:rPr>
                <w:rFonts w:eastAsia="仿宋_GB2312"/>
                <w:color w:val="auto"/>
                <w:sz w:val="32"/>
                <w:szCs w:val="32"/>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86" w:type="dxa"/>
            <w:vAlign w:val="center"/>
          </w:tcPr>
          <w:p>
            <w:pPr>
              <w:spacing w:line="400" w:lineRule="exact"/>
              <w:jc w:val="center"/>
              <w:rPr>
                <w:rFonts w:eastAsia="仿宋_GB2312"/>
                <w:color w:val="auto"/>
                <w:sz w:val="32"/>
                <w:szCs w:val="32"/>
                <w:highlight w:val="none"/>
              </w:rPr>
            </w:pPr>
            <w:r>
              <w:rPr>
                <w:rFonts w:eastAsia="仿宋_GB2312"/>
                <w:color w:val="auto"/>
                <w:sz w:val="30"/>
                <w:szCs w:val="30"/>
                <w:highlight w:val="none"/>
              </w:rPr>
              <w:t>20</w:t>
            </w:r>
            <w:r>
              <w:rPr>
                <w:rFonts w:hint="eastAsia" w:eastAsia="仿宋_GB2312"/>
                <w:color w:val="auto"/>
                <w:sz w:val="30"/>
                <w:szCs w:val="30"/>
                <w:highlight w:val="none"/>
                <w:lang w:val="en-US" w:eastAsia="zh-CN"/>
              </w:rPr>
              <w:t>22</w:t>
            </w:r>
            <w:r>
              <w:rPr>
                <w:rFonts w:eastAsia="仿宋_GB2312"/>
                <w:color w:val="auto"/>
                <w:sz w:val="30"/>
                <w:szCs w:val="30"/>
                <w:highlight w:val="none"/>
              </w:rPr>
              <w:t>年</w:t>
            </w:r>
          </w:p>
        </w:tc>
        <w:tc>
          <w:tcPr>
            <w:tcW w:w="2028" w:type="dxa"/>
            <w:vAlign w:val="center"/>
          </w:tcPr>
          <w:p>
            <w:pPr>
              <w:spacing w:line="400" w:lineRule="exact"/>
              <w:jc w:val="center"/>
              <w:rPr>
                <w:rFonts w:eastAsia="仿宋_GB2312"/>
                <w:color w:val="auto"/>
                <w:sz w:val="32"/>
                <w:szCs w:val="32"/>
                <w:highlight w:val="none"/>
              </w:rPr>
            </w:pPr>
            <w:r>
              <w:rPr>
                <w:rFonts w:eastAsia="仿宋_GB2312"/>
                <w:color w:val="auto"/>
                <w:sz w:val="32"/>
                <w:szCs w:val="32"/>
                <w:highlight w:val="none"/>
              </w:rPr>
              <w:t>2</w:t>
            </w:r>
            <w:r>
              <w:rPr>
                <w:rFonts w:hint="eastAsia" w:eastAsia="仿宋_GB2312"/>
                <w:color w:val="auto"/>
                <w:sz w:val="32"/>
                <w:szCs w:val="32"/>
                <w:highlight w:val="none"/>
                <w:lang w:val="en-US" w:eastAsia="zh-CN"/>
              </w:rPr>
              <w:t>7</w:t>
            </w:r>
            <w:r>
              <w:rPr>
                <w:rFonts w:hint="eastAsia" w:eastAsia="仿宋_GB2312"/>
                <w:color w:val="auto"/>
                <w:sz w:val="32"/>
                <w:szCs w:val="32"/>
                <w:highlight w:val="none"/>
              </w:rPr>
              <w:t>8</w:t>
            </w:r>
          </w:p>
        </w:tc>
        <w:tc>
          <w:tcPr>
            <w:tcW w:w="1560" w:type="dxa"/>
            <w:tcBorders>
              <w:right w:val="single" w:color="000000" w:sz="4" w:space="0"/>
            </w:tcBorders>
            <w:vAlign w:val="center"/>
          </w:tcPr>
          <w:p>
            <w:pPr>
              <w:spacing w:line="400" w:lineRule="exact"/>
              <w:jc w:val="center"/>
              <w:rPr>
                <w:rFonts w:eastAsia="仿宋_GB2312"/>
                <w:color w:val="auto"/>
                <w:sz w:val="32"/>
                <w:szCs w:val="32"/>
                <w:highlight w:val="none"/>
              </w:rPr>
            </w:pPr>
            <w:r>
              <w:rPr>
                <w:rFonts w:eastAsia="仿宋_GB2312"/>
                <w:color w:val="auto"/>
                <w:sz w:val="32"/>
                <w:szCs w:val="32"/>
                <w:highlight w:val="none"/>
              </w:rPr>
              <w:t>2</w:t>
            </w:r>
            <w:r>
              <w:rPr>
                <w:rFonts w:hint="eastAsia" w:eastAsia="仿宋_GB2312"/>
                <w:color w:val="auto"/>
                <w:sz w:val="32"/>
                <w:szCs w:val="32"/>
                <w:highlight w:val="none"/>
                <w:lang w:val="en-US" w:eastAsia="zh-CN"/>
              </w:rPr>
              <w:t>7</w:t>
            </w:r>
            <w:r>
              <w:rPr>
                <w:rFonts w:hint="eastAsia" w:eastAsia="仿宋_GB2312"/>
                <w:color w:val="auto"/>
                <w:sz w:val="32"/>
                <w:szCs w:val="32"/>
                <w:highlight w:val="none"/>
              </w:rPr>
              <w:t>8</w:t>
            </w:r>
          </w:p>
        </w:tc>
        <w:tc>
          <w:tcPr>
            <w:tcW w:w="176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仿宋_GB2312"/>
                <w:color w:val="auto"/>
                <w:sz w:val="32"/>
                <w:szCs w:val="32"/>
                <w:highlight w:val="none"/>
              </w:rPr>
            </w:pPr>
            <w:r>
              <w:rPr>
                <w:rFonts w:eastAsia="仿宋_GB2312"/>
                <w:color w:val="auto"/>
                <w:sz w:val="32"/>
                <w:szCs w:val="32"/>
                <w:highlight w:val="none"/>
              </w:rPr>
              <w:t>2</w:t>
            </w:r>
            <w:r>
              <w:rPr>
                <w:rFonts w:hint="eastAsia" w:eastAsia="仿宋_GB2312"/>
                <w:color w:val="auto"/>
                <w:sz w:val="32"/>
                <w:szCs w:val="32"/>
                <w:highlight w:val="none"/>
                <w:lang w:val="en-US" w:eastAsia="zh-CN"/>
              </w:rPr>
              <w:t>7</w:t>
            </w:r>
            <w:r>
              <w:rPr>
                <w:rFonts w:hint="eastAsia" w:eastAsia="仿宋_GB2312"/>
                <w:color w:val="auto"/>
                <w:sz w:val="32"/>
                <w:szCs w:val="32"/>
                <w:highlight w:val="none"/>
              </w:rPr>
              <w:t>8</w:t>
            </w:r>
          </w:p>
        </w:tc>
        <w:tc>
          <w:tcPr>
            <w:tcW w:w="168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仿宋_GB2312"/>
                <w:color w:val="auto"/>
                <w:sz w:val="32"/>
                <w:szCs w:val="32"/>
                <w:highlight w:val="none"/>
              </w:rPr>
            </w:pPr>
            <w:r>
              <w:rPr>
                <w:rFonts w:eastAsia="仿宋_GB2312"/>
                <w:color w:val="auto"/>
                <w:sz w:val="32"/>
                <w:szCs w:val="32"/>
                <w:highlight w:val="none"/>
              </w:rPr>
              <w:t>100</w:t>
            </w:r>
          </w:p>
        </w:tc>
      </w:tr>
    </w:tbl>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3.土地出让金：</w:t>
      </w:r>
    </w:p>
    <w:tbl>
      <w:tblPr>
        <w:tblStyle w:val="12"/>
        <w:tblW w:w="8491" w:type="dxa"/>
        <w:jc w:val="center"/>
        <w:tblInd w:w="0" w:type="dxa"/>
        <w:tblLayout w:type="fixed"/>
        <w:tblCellMar>
          <w:top w:w="0" w:type="dxa"/>
          <w:left w:w="108" w:type="dxa"/>
          <w:bottom w:w="0" w:type="dxa"/>
          <w:right w:w="108" w:type="dxa"/>
        </w:tblCellMar>
      </w:tblPr>
      <w:tblGrid>
        <w:gridCol w:w="1995"/>
        <w:gridCol w:w="2016"/>
        <w:gridCol w:w="2460"/>
        <w:gridCol w:w="2020"/>
      </w:tblGrid>
      <w:tr>
        <w:tblPrEx>
          <w:tblLayout w:type="fixed"/>
          <w:tblCellMar>
            <w:top w:w="0" w:type="dxa"/>
            <w:left w:w="108" w:type="dxa"/>
            <w:bottom w:w="0" w:type="dxa"/>
            <w:right w:w="108" w:type="dxa"/>
          </w:tblCellMar>
        </w:tblPrEx>
        <w:trPr>
          <w:trHeight w:val="840" w:hRule="atLeast"/>
          <w:jc w:val="center"/>
        </w:trPr>
        <w:tc>
          <w:tcPr>
            <w:tcW w:w="1995" w:type="dxa"/>
            <w:tcBorders>
              <w:top w:val="single" w:color="000000" w:sz="4" w:space="0"/>
              <w:left w:val="single" w:color="000000" w:sz="4" w:space="0"/>
              <w:bottom w:val="single" w:color="000000" w:sz="4" w:space="0"/>
              <w:right w:val="single" w:color="000000" w:sz="4" w:space="0"/>
              <w:tl2br w:val="single" w:color="auto" w:sz="4" w:space="0"/>
            </w:tcBorders>
            <w:vAlign w:val="center"/>
          </w:tcPr>
          <w:p>
            <w:pPr>
              <w:spacing w:line="400" w:lineRule="exact"/>
              <w:ind w:firstLine="750" w:firstLineChars="250"/>
              <w:jc w:val="center"/>
              <w:rPr>
                <w:rFonts w:eastAsia="仿宋_GB2312"/>
                <w:color w:val="auto"/>
                <w:sz w:val="30"/>
                <w:szCs w:val="30"/>
                <w:highlight w:val="none"/>
              </w:rPr>
            </w:pPr>
            <w:r>
              <w:rPr>
                <w:rFonts w:eastAsia="仿宋_GB2312"/>
                <w:color w:val="auto"/>
                <w:sz w:val="30"/>
                <w:szCs w:val="30"/>
                <w:highlight w:val="none"/>
              </w:rPr>
              <w:t>项目</w:t>
            </w:r>
          </w:p>
          <w:p>
            <w:pPr>
              <w:spacing w:line="400" w:lineRule="exact"/>
              <w:rPr>
                <w:rFonts w:eastAsia="仿宋_GB2312"/>
                <w:color w:val="auto"/>
                <w:sz w:val="30"/>
                <w:szCs w:val="30"/>
                <w:highlight w:val="none"/>
              </w:rPr>
            </w:pPr>
            <w:r>
              <w:rPr>
                <w:rFonts w:eastAsia="仿宋_GB2312"/>
                <w:color w:val="auto"/>
                <w:sz w:val="30"/>
                <w:szCs w:val="30"/>
                <w:highlight w:val="none"/>
              </w:rPr>
              <w:t>年度</w:t>
            </w:r>
          </w:p>
        </w:tc>
        <w:tc>
          <w:tcPr>
            <w:tcW w:w="2016" w:type="dxa"/>
            <w:tcBorders>
              <w:top w:val="single" w:color="000000" w:sz="4" w:space="0"/>
              <w:left w:val="nil"/>
              <w:bottom w:val="single" w:color="000000" w:sz="4" w:space="0"/>
              <w:right w:val="single" w:color="000000" w:sz="4" w:space="0"/>
            </w:tcBorders>
            <w:vAlign w:val="center"/>
          </w:tcPr>
          <w:p>
            <w:pPr>
              <w:spacing w:line="400" w:lineRule="exact"/>
              <w:jc w:val="center"/>
              <w:rPr>
                <w:rFonts w:eastAsia="仿宋_GB2312"/>
                <w:color w:val="auto"/>
                <w:sz w:val="30"/>
                <w:szCs w:val="30"/>
                <w:highlight w:val="none"/>
              </w:rPr>
            </w:pPr>
            <w:r>
              <w:rPr>
                <w:rFonts w:eastAsia="仿宋_GB2312"/>
                <w:color w:val="auto"/>
                <w:sz w:val="30"/>
                <w:szCs w:val="30"/>
                <w:highlight w:val="none"/>
              </w:rPr>
              <w:t>总额</w:t>
            </w:r>
          </w:p>
          <w:p>
            <w:pPr>
              <w:spacing w:line="400" w:lineRule="exact"/>
              <w:jc w:val="center"/>
              <w:rPr>
                <w:rFonts w:eastAsia="仿宋_GB2312"/>
                <w:color w:val="auto"/>
                <w:sz w:val="30"/>
                <w:szCs w:val="30"/>
                <w:highlight w:val="none"/>
              </w:rPr>
            </w:pPr>
            <w:r>
              <w:rPr>
                <w:rFonts w:eastAsia="仿宋_GB2312"/>
                <w:color w:val="auto"/>
                <w:sz w:val="30"/>
                <w:szCs w:val="30"/>
                <w:highlight w:val="none"/>
              </w:rPr>
              <w:t>（万元）</w:t>
            </w:r>
          </w:p>
        </w:tc>
        <w:tc>
          <w:tcPr>
            <w:tcW w:w="246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仿宋_GB2312"/>
                <w:color w:val="auto"/>
                <w:sz w:val="30"/>
                <w:szCs w:val="30"/>
                <w:highlight w:val="none"/>
              </w:rPr>
            </w:pPr>
            <w:r>
              <w:rPr>
                <w:rFonts w:eastAsia="仿宋_GB2312"/>
                <w:color w:val="auto"/>
                <w:sz w:val="30"/>
                <w:szCs w:val="30"/>
                <w:highlight w:val="none"/>
              </w:rPr>
              <w:t>用于教育</w:t>
            </w:r>
          </w:p>
          <w:p>
            <w:pPr>
              <w:spacing w:line="400" w:lineRule="exact"/>
              <w:jc w:val="center"/>
              <w:rPr>
                <w:rFonts w:eastAsia="仿宋_GB2312"/>
                <w:color w:val="auto"/>
                <w:sz w:val="30"/>
                <w:szCs w:val="30"/>
                <w:highlight w:val="none"/>
              </w:rPr>
            </w:pPr>
            <w:r>
              <w:rPr>
                <w:rFonts w:eastAsia="仿宋_GB2312"/>
                <w:color w:val="auto"/>
                <w:sz w:val="30"/>
                <w:szCs w:val="30"/>
                <w:highlight w:val="none"/>
              </w:rPr>
              <w:t>（万元）</w:t>
            </w:r>
          </w:p>
        </w:tc>
        <w:tc>
          <w:tcPr>
            <w:tcW w:w="202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仿宋_GB2312"/>
                <w:color w:val="auto"/>
                <w:sz w:val="30"/>
                <w:szCs w:val="30"/>
                <w:highlight w:val="none"/>
              </w:rPr>
            </w:pPr>
            <w:r>
              <w:rPr>
                <w:rFonts w:eastAsia="仿宋_GB2312"/>
                <w:color w:val="auto"/>
                <w:sz w:val="30"/>
                <w:szCs w:val="30"/>
                <w:highlight w:val="none"/>
              </w:rPr>
              <w:t>用于教育所占比例%</w:t>
            </w:r>
          </w:p>
        </w:tc>
      </w:tr>
      <w:tr>
        <w:tblPrEx>
          <w:tblLayout w:type="fixed"/>
          <w:tblCellMar>
            <w:top w:w="0" w:type="dxa"/>
            <w:left w:w="108" w:type="dxa"/>
            <w:bottom w:w="0" w:type="dxa"/>
            <w:right w:w="108" w:type="dxa"/>
          </w:tblCellMar>
        </w:tblPrEx>
        <w:trPr>
          <w:trHeight w:val="325" w:hRule="atLeast"/>
          <w:jc w:val="center"/>
        </w:trPr>
        <w:tc>
          <w:tcPr>
            <w:tcW w:w="199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仿宋_GB2312"/>
                <w:color w:val="auto"/>
                <w:sz w:val="32"/>
                <w:szCs w:val="32"/>
                <w:highlight w:val="none"/>
              </w:rPr>
            </w:pPr>
            <w:r>
              <w:rPr>
                <w:rFonts w:eastAsia="仿宋_GB2312"/>
                <w:color w:val="auto"/>
                <w:sz w:val="30"/>
                <w:szCs w:val="30"/>
                <w:highlight w:val="none"/>
              </w:rPr>
              <w:t>20</w:t>
            </w:r>
            <w:r>
              <w:rPr>
                <w:rFonts w:hint="eastAsia" w:eastAsia="仿宋_GB2312"/>
                <w:color w:val="auto"/>
                <w:sz w:val="30"/>
                <w:szCs w:val="30"/>
                <w:highlight w:val="none"/>
                <w:lang w:val="en-US" w:eastAsia="zh-CN"/>
              </w:rPr>
              <w:t>19</w:t>
            </w:r>
            <w:r>
              <w:rPr>
                <w:rFonts w:eastAsia="仿宋_GB2312"/>
                <w:color w:val="auto"/>
                <w:sz w:val="30"/>
                <w:szCs w:val="30"/>
                <w:highlight w:val="none"/>
              </w:rPr>
              <w:t>年</w:t>
            </w:r>
          </w:p>
        </w:tc>
        <w:tc>
          <w:tcPr>
            <w:tcW w:w="2016" w:type="dxa"/>
            <w:tcBorders>
              <w:top w:val="single" w:color="000000" w:sz="4" w:space="0"/>
              <w:left w:val="nil"/>
              <w:bottom w:val="single" w:color="000000" w:sz="4" w:space="0"/>
              <w:right w:val="single" w:color="000000" w:sz="4" w:space="0"/>
            </w:tcBorders>
            <w:vAlign w:val="center"/>
          </w:tcPr>
          <w:p>
            <w:pPr>
              <w:spacing w:line="400" w:lineRule="exact"/>
              <w:jc w:val="center"/>
              <w:rPr>
                <w:rFonts w:hint="default" w:eastAsia="仿宋_GB2312"/>
                <w:color w:val="auto"/>
                <w:sz w:val="32"/>
                <w:szCs w:val="32"/>
                <w:highlight w:val="none"/>
                <w:lang w:val="en-US" w:eastAsia="zh-CN"/>
              </w:rPr>
            </w:pPr>
            <w:r>
              <w:rPr>
                <w:rFonts w:hint="eastAsia" w:eastAsia="仿宋_GB2312"/>
                <w:color w:val="auto"/>
                <w:sz w:val="32"/>
                <w:szCs w:val="32"/>
                <w:highlight w:val="none"/>
                <w:lang w:val="en-US" w:eastAsia="zh-CN"/>
              </w:rPr>
              <w:t>3500</w:t>
            </w:r>
          </w:p>
        </w:tc>
        <w:tc>
          <w:tcPr>
            <w:tcW w:w="246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eastAsia="仿宋_GB2312"/>
                <w:color w:val="auto"/>
                <w:sz w:val="32"/>
                <w:szCs w:val="32"/>
                <w:highlight w:val="none"/>
                <w:lang w:val="en-US" w:eastAsia="zh-CN"/>
              </w:rPr>
            </w:pPr>
            <w:r>
              <w:rPr>
                <w:rFonts w:hint="eastAsia" w:eastAsia="仿宋_GB2312"/>
                <w:color w:val="auto"/>
                <w:sz w:val="32"/>
                <w:szCs w:val="32"/>
                <w:highlight w:val="none"/>
                <w:lang w:val="en-US" w:eastAsia="zh-CN"/>
              </w:rPr>
              <w:t>350</w:t>
            </w:r>
          </w:p>
        </w:tc>
        <w:tc>
          <w:tcPr>
            <w:tcW w:w="202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仿宋_GB2312"/>
                <w:color w:val="auto"/>
                <w:sz w:val="32"/>
                <w:szCs w:val="32"/>
                <w:highlight w:val="none"/>
              </w:rPr>
            </w:pPr>
            <w:r>
              <w:rPr>
                <w:rFonts w:eastAsia="仿宋_GB2312"/>
                <w:color w:val="auto"/>
                <w:sz w:val="32"/>
                <w:szCs w:val="32"/>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995" w:type="dxa"/>
            <w:tcBorders>
              <w:right w:val="single" w:color="000000" w:sz="4" w:space="0"/>
            </w:tcBorders>
            <w:vAlign w:val="center"/>
          </w:tcPr>
          <w:p>
            <w:pPr>
              <w:spacing w:line="400" w:lineRule="exact"/>
              <w:jc w:val="center"/>
              <w:rPr>
                <w:rFonts w:eastAsia="仿宋_GB2312"/>
                <w:color w:val="auto"/>
                <w:sz w:val="32"/>
                <w:szCs w:val="32"/>
                <w:highlight w:val="none"/>
              </w:rPr>
            </w:pPr>
            <w:r>
              <w:rPr>
                <w:rFonts w:eastAsia="仿宋_GB2312"/>
                <w:color w:val="auto"/>
                <w:sz w:val="30"/>
                <w:szCs w:val="30"/>
                <w:highlight w:val="none"/>
              </w:rPr>
              <w:t>20</w:t>
            </w:r>
            <w:r>
              <w:rPr>
                <w:rFonts w:hint="eastAsia" w:eastAsia="仿宋_GB2312"/>
                <w:color w:val="auto"/>
                <w:sz w:val="30"/>
                <w:szCs w:val="30"/>
                <w:highlight w:val="none"/>
                <w:lang w:val="en-US" w:eastAsia="zh-CN"/>
              </w:rPr>
              <w:t>20</w:t>
            </w:r>
            <w:r>
              <w:rPr>
                <w:rFonts w:eastAsia="仿宋_GB2312"/>
                <w:color w:val="auto"/>
                <w:sz w:val="30"/>
                <w:szCs w:val="30"/>
                <w:highlight w:val="none"/>
              </w:rPr>
              <w:t>年</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eastAsia="仿宋_GB2312"/>
                <w:color w:val="auto"/>
                <w:sz w:val="32"/>
                <w:szCs w:val="32"/>
                <w:highlight w:val="none"/>
                <w:lang w:val="en-US" w:eastAsia="zh-CN"/>
              </w:rPr>
            </w:pPr>
            <w:r>
              <w:rPr>
                <w:rFonts w:hint="eastAsia" w:eastAsia="仿宋_GB2312"/>
                <w:color w:val="auto"/>
                <w:sz w:val="32"/>
                <w:szCs w:val="32"/>
                <w:highlight w:val="none"/>
                <w:lang w:val="en-US" w:eastAsia="zh-CN"/>
              </w:rPr>
              <w:t>2810</w:t>
            </w:r>
          </w:p>
        </w:tc>
        <w:tc>
          <w:tcPr>
            <w:tcW w:w="246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eastAsia="仿宋_GB2312"/>
                <w:color w:val="auto"/>
                <w:sz w:val="32"/>
                <w:szCs w:val="32"/>
                <w:highlight w:val="none"/>
                <w:lang w:val="en-US" w:eastAsia="zh-CN"/>
              </w:rPr>
            </w:pPr>
            <w:r>
              <w:rPr>
                <w:rFonts w:hint="eastAsia" w:eastAsia="仿宋_GB2312"/>
                <w:color w:val="auto"/>
                <w:sz w:val="32"/>
                <w:szCs w:val="32"/>
                <w:highlight w:val="none"/>
                <w:lang w:val="en-US" w:eastAsia="zh-CN"/>
              </w:rPr>
              <w:t>281</w:t>
            </w:r>
          </w:p>
        </w:tc>
        <w:tc>
          <w:tcPr>
            <w:tcW w:w="202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仿宋_GB2312"/>
                <w:color w:val="auto"/>
                <w:sz w:val="32"/>
                <w:szCs w:val="32"/>
                <w:highlight w:val="none"/>
              </w:rPr>
            </w:pPr>
            <w:r>
              <w:rPr>
                <w:rFonts w:eastAsia="仿宋_GB2312"/>
                <w:color w:val="auto"/>
                <w:sz w:val="32"/>
                <w:szCs w:val="32"/>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995" w:type="dxa"/>
            <w:tcBorders>
              <w:right w:val="single" w:color="000000" w:sz="4" w:space="0"/>
            </w:tcBorders>
            <w:vAlign w:val="center"/>
          </w:tcPr>
          <w:p>
            <w:pPr>
              <w:spacing w:line="400" w:lineRule="exact"/>
              <w:jc w:val="center"/>
              <w:rPr>
                <w:rFonts w:eastAsia="仿宋_GB2312"/>
                <w:color w:val="auto"/>
                <w:sz w:val="32"/>
                <w:szCs w:val="32"/>
                <w:highlight w:val="none"/>
              </w:rPr>
            </w:pPr>
            <w:r>
              <w:rPr>
                <w:rFonts w:eastAsia="仿宋_GB2312"/>
                <w:color w:val="auto"/>
                <w:sz w:val="30"/>
                <w:szCs w:val="30"/>
                <w:highlight w:val="none"/>
              </w:rPr>
              <w:t>20</w:t>
            </w:r>
            <w:r>
              <w:rPr>
                <w:rFonts w:hint="eastAsia" w:eastAsia="仿宋_GB2312"/>
                <w:color w:val="auto"/>
                <w:sz w:val="30"/>
                <w:szCs w:val="30"/>
                <w:highlight w:val="none"/>
                <w:lang w:val="en-US" w:eastAsia="zh-CN"/>
              </w:rPr>
              <w:t>21</w:t>
            </w:r>
            <w:r>
              <w:rPr>
                <w:rFonts w:eastAsia="仿宋_GB2312"/>
                <w:color w:val="auto"/>
                <w:sz w:val="30"/>
                <w:szCs w:val="30"/>
                <w:highlight w:val="none"/>
              </w:rPr>
              <w:t>年</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0</w:t>
            </w:r>
          </w:p>
        </w:tc>
        <w:tc>
          <w:tcPr>
            <w:tcW w:w="246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0</w:t>
            </w:r>
          </w:p>
        </w:tc>
        <w:tc>
          <w:tcPr>
            <w:tcW w:w="202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仿宋_GB2312"/>
                <w:color w:val="auto"/>
                <w:sz w:val="32"/>
                <w:szCs w:val="32"/>
                <w:highlight w:val="none"/>
              </w:rPr>
            </w:pPr>
            <w:r>
              <w:rPr>
                <w:rFonts w:eastAsia="仿宋_GB2312"/>
                <w:color w:val="auto"/>
                <w:sz w:val="32"/>
                <w:szCs w:val="32"/>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995" w:type="dxa"/>
            <w:tcBorders>
              <w:right w:val="single" w:color="000000" w:sz="4" w:space="0"/>
            </w:tcBorders>
            <w:vAlign w:val="center"/>
          </w:tcPr>
          <w:p>
            <w:pPr>
              <w:spacing w:line="400" w:lineRule="exact"/>
              <w:jc w:val="center"/>
              <w:rPr>
                <w:rFonts w:eastAsia="仿宋_GB2312"/>
                <w:color w:val="auto"/>
                <w:sz w:val="32"/>
                <w:szCs w:val="32"/>
                <w:highlight w:val="none"/>
              </w:rPr>
            </w:pPr>
            <w:r>
              <w:rPr>
                <w:rFonts w:eastAsia="仿宋_GB2312"/>
                <w:color w:val="auto"/>
                <w:sz w:val="30"/>
                <w:szCs w:val="30"/>
                <w:highlight w:val="none"/>
              </w:rPr>
              <w:t>20</w:t>
            </w:r>
            <w:r>
              <w:rPr>
                <w:rFonts w:hint="eastAsia" w:eastAsia="仿宋_GB2312"/>
                <w:color w:val="auto"/>
                <w:sz w:val="30"/>
                <w:szCs w:val="30"/>
                <w:highlight w:val="none"/>
                <w:lang w:val="en-US" w:eastAsia="zh-CN"/>
              </w:rPr>
              <w:t>22</w:t>
            </w:r>
            <w:r>
              <w:rPr>
                <w:rFonts w:eastAsia="仿宋_GB2312"/>
                <w:color w:val="auto"/>
                <w:sz w:val="30"/>
                <w:szCs w:val="30"/>
                <w:highlight w:val="none"/>
              </w:rPr>
              <w:t>年</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eastAsia="仿宋_GB2312"/>
                <w:color w:val="auto"/>
                <w:sz w:val="32"/>
                <w:szCs w:val="32"/>
                <w:highlight w:val="none"/>
                <w:lang w:val="en-US" w:eastAsia="zh-CN"/>
              </w:rPr>
            </w:pPr>
            <w:r>
              <w:rPr>
                <w:rFonts w:hint="eastAsia" w:eastAsia="仿宋_GB2312"/>
                <w:color w:val="auto"/>
                <w:sz w:val="32"/>
                <w:szCs w:val="32"/>
                <w:highlight w:val="none"/>
                <w:lang w:val="en-US" w:eastAsia="zh-CN"/>
              </w:rPr>
              <w:t>6170</w:t>
            </w:r>
          </w:p>
        </w:tc>
        <w:tc>
          <w:tcPr>
            <w:tcW w:w="246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default" w:eastAsia="仿宋_GB2312"/>
                <w:color w:val="auto"/>
                <w:sz w:val="32"/>
                <w:szCs w:val="32"/>
                <w:highlight w:val="none"/>
                <w:lang w:val="en-US" w:eastAsia="zh-CN"/>
              </w:rPr>
            </w:pPr>
            <w:r>
              <w:rPr>
                <w:rFonts w:hint="eastAsia" w:eastAsia="仿宋_GB2312"/>
                <w:color w:val="auto"/>
                <w:sz w:val="32"/>
                <w:szCs w:val="32"/>
                <w:highlight w:val="none"/>
                <w:lang w:val="en-US" w:eastAsia="zh-CN"/>
              </w:rPr>
              <w:t>617</w:t>
            </w:r>
          </w:p>
        </w:tc>
        <w:tc>
          <w:tcPr>
            <w:tcW w:w="202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仿宋_GB2312"/>
                <w:color w:val="auto"/>
                <w:sz w:val="32"/>
                <w:szCs w:val="32"/>
                <w:highlight w:val="none"/>
              </w:rPr>
            </w:pPr>
            <w:r>
              <w:rPr>
                <w:rFonts w:eastAsia="仿宋_GB2312"/>
                <w:color w:val="auto"/>
                <w:sz w:val="32"/>
                <w:szCs w:val="32"/>
                <w:highlight w:val="none"/>
              </w:rPr>
              <w:t>10</w:t>
            </w:r>
          </w:p>
        </w:tc>
      </w:tr>
    </w:tbl>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自查自评得15分，此项与自治区义务教育均衡发展验收得分持平。</w:t>
      </w:r>
    </w:p>
    <w:p>
      <w:pPr>
        <w:spacing w:line="560" w:lineRule="exact"/>
        <w:ind w:firstLine="643" w:firstLineChars="200"/>
        <w:rPr>
          <w:rFonts w:eastAsia="仿宋_GB2312"/>
          <w:b/>
          <w:color w:val="auto"/>
          <w:sz w:val="32"/>
          <w:szCs w:val="32"/>
          <w:highlight w:val="none"/>
        </w:rPr>
      </w:pPr>
      <w:r>
        <w:rPr>
          <w:rFonts w:eastAsia="仿宋_GB2312"/>
          <w:b/>
          <w:color w:val="auto"/>
          <w:sz w:val="32"/>
          <w:szCs w:val="32"/>
          <w:highlight w:val="none"/>
        </w:rPr>
        <w:t>（5）A1-B3-C10项目建设（10分）</w:t>
      </w:r>
    </w:p>
    <w:p>
      <w:pPr>
        <w:spacing w:line="560" w:lineRule="exact"/>
        <w:ind w:firstLine="643" w:firstLineChars="200"/>
        <w:rPr>
          <w:rFonts w:eastAsia="仿宋_GB2312"/>
          <w:color w:val="auto"/>
          <w:sz w:val="32"/>
          <w:szCs w:val="32"/>
        </w:rPr>
      </w:pPr>
      <w:r>
        <w:rPr>
          <w:rFonts w:eastAsia="仿宋_GB2312"/>
          <w:b/>
          <w:color w:val="auto"/>
          <w:sz w:val="32"/>
          <w:szCs w:val="32"/>
          <w:highlight w:val="none"/>
        </w:rPr>
        <w:t>经自查：</w:t>
      </w:r>
      <w:r>
        <w:rPr>
          <w:rFonts w:eastAsia="仿宋_GB2312"/>
          <w:color w:val="auto"/>
          <w:sz w:val="32"/>
          <w:szCs w:val="32"/>
          <w:highlight w:val="none"/>
        </w:rPr>
        <w:t>我县教育项目建设工程严格按照国家和自治区建设</w:t>
      </w:r>
      <w:r>
        <w:rPr>
          <w:rFonts w:eastAsia="仿宋_GB2312"/>
          <w:color w:val="auto"/>
          <w:sz w:val="32"/>
          <w:szCs w:val="32"/>
        </w:rPr>
        <w:t>投资计划及中小学标准化建设的要求实施，坚持执行招标投标、质量监督验收责任追究等制度，加强项目合同管理及施工质量进度管理，搭建“绿色通道”、实行特事特办，严把工程质量、强化推进落实，对所有项目工程建设倒排工期、严督实导，确保项目有序推进、有效落实，所有建设项目档案资料齐全。从2014年至2018年，全面有效的实施自治区“全面改薄”计划，总投资30423万元，建设校舍总面积91438平方米，已经批复下达资金31629万元，目前校舍建设已全部竣工，总竣工率100%。</w:t>
      </w:r>
    </w:p>
    <w:p>
      <w:pPr>
        <w:spacing w:line="560" w:lineRule="exact"/>
        <w:ind w:firstLine="640" w:firstLineChars="200"/>
        <w:rPr>
          <w:rFonts w:eastAsia="仿宋_GB2312"/>
          <w:color w:val="auto"/>
          <w:sz w:val="32"/>
          <w:szCs w:val="32"/>
        </w:rPr>
      </w:pPr>
      <w:r>
        <w:rPr>
          <w:rFonts w:eastAsia="仿宋_GB2312"/>
          <w:color w:val="auto"/>
          <w:sz w:val="32"/>
          <w:szCs w:val="32"/>
        </w:rPr>
        <w:t>2021年以来，争取项目资金1500万元，新建喀拉托海镇寄宿制中心小学教学楼2600平方米，阔克铁热克乡寄宿制中心小学教学楼1800平方米；申请上级专项资金1200万元，新建特克斯县第一小学教学楼3400平方米；投入112万元，为10所义务教育学校进行校舍维修；投入1557.42万元，新建县第一中学学生宿舍楼5390平方米。</w:t>
      </w:r>
    </w:p>
    <w:p>
      <w:pPr>
        <w:spacing w:line="560" w:lineRule="exact"/>
        <w:ind w:firstLine="640" w:firstLineChars="200"/>
        <w:rPr>
          <w:rFonts w:eastAsia="仿宋_GB2312"/>
          <w:color w:val="auto"/>
          <w:sz w:val="32"/>
          <w:szCs w:val="32"/>
        </w:rPr>
      </w:pPr>
      <w:r>
        <w:rPr>
          <w:rFonts w:eastAsia="仿宋_GB2312"/>
          <w:color w:val="auto"/>
          <w:sz w:val="32"/>
          <w:szCs w:val="32"/>
        </w:rPr>
        <w:t>对口援疆资金按照比例用于教育项目建设，争取援疆资金1.35亿元，新建1所江宁实验小学和1所幼儿园，目前正在投入使用；利用“十四五”五年规划资金及援疆资金，计划在县域新城区新建一所容纳2000名初中生的第三中学，全面提升县直学校办学条件，将有效化解县城中小学“择校热”“大校额”“大班额”问题。</w:t>
      </w:r>
    </w:p>
    <w:p>
      <w:pPr>
        <w:spacing w:line="560" w:lineRule="exact"/>
        <w:ind w:firstLine="640" w:firstLineChars="200"/>
        <w:rPr>
          <w:rFonts w:eastAsia="仿宋_GB2312"/>
          <w:color w:val="auto"/>
          <w:sz w:val="32"/>
          <w:szCs w:val="32"/>
        </w:rPr>
      </w:pPr>
      <w:r>
        <w:rPr>
          <w:rFonts w:eastAsia="仿宋_GB2312"/>
          <w:color w:val="auto"/>
          <w:sz w:val="32"/>
          <w:szCs w:val="32"/>
        </w:rPr>
        <w:t>自查自评得10分，此项与自治区义务教育均衡发展验收得分持平。</w:t>
      </w:r>
    </w:p>
    <w:p>
      <w:pPr>
        <w:spacing w:line="560" w:lineRule="exact"/>
        <w:ind w:firstLine="643" w:firstLineChars="200"/>
        <w:rPr>
          <w:rFonts w:eastAsia="仿宋_GB2312"/>
          <w:b/>
          <w:color w:val="auto"/>
          <w:sz w:val="32"/>
          <w:szCs w:val="32"/>
        </w:rPr>
      </w:pPr>
      <w:r>
        <w:rPr>
          <w:rFonts w:eastAsia="仿宋_GB2312"/>
          <w:b/>
          <w:color w:val="auto"/>
          <w:sz w:val="32"/>
          <w:szCs w:val="32"/>
        </w:rPr>
        <w:t>A1组织领导（10项C级指标）赋分155分，自查自评得</w:t>
      </w:r>
      <w:r>
        <w:rPr>
          <w:rFonts w:hint="eastAsia" w:eastAsia="仿宋_GB2312"/>
          <w:b/>
          <w:color w:val="auto"/>
          <w:sz w:val="32"/>
          <w:szCs w:val="32"/>
        </w:rPr>
        <w:t>149.99</w:t>
      </w:r>
      <w:r>
        <w:rPr>
          <w:rFonts w:eastAsia="仿宋_GB2312"/>
          <w:b/>
          <w:color w:val="auto"/>
          <w:sz w:val="32"/>
          <w:szCs w:val="32"/>
        </w:rPr>
        <w:t>分。</w:t>
      </w:r>
    </w:p>
    <w:p>
      <w:pPr>
        <w:spacing w:line="560" w:lineRule="exact"/>
        <w:ind w:firstLine="640" w:firstLineChars="200"/>
        <w:rPr>
          <w:rFonts w:eastAsia="黑体"/>
          <w:color w:val="auto"/>
          <w:sz w:val="32"/>
          <w:szCs w:val="32"/>
        </w:rPr>
      </w:pPr>
      <w:r>
        <w:rPr>
          <w:rFonts w:eastAsia="黑体"/>
          <w:color w:val="auto"/>
          <w:sz w:val="32"/>
          <w:szCs w:val="32"/>
        </w:rPr>
        <w:t>二、A2发展水平（305分）</w:t>
      </w:r>
    </w:p>
    <w:p>
      <w:pPr>
        <w:spacing w:line="560" w:lineRule="exact"/>
        <w:ind w:firstLine="640" w:firstLineChars="200"/>
        <w:rPr>
          <w:rFonts w:eastAsia="楷体_GB2312"/>
          <w:color w:val="auto"/>
          <w:sz w:val="32"/>
          <w:szCs w:val="32"/>
        </w:rPr>
      </w:pPr>
      <w:r>
        <w:rPr>
          <w:rFonts w:eastAsia="楷体_GB2312"/>
          <w:color w:val="auto"/>
          <w:sz w:val="32"/>
          <w:szCs w:val="32"/>
        </w:rPr>
        <w:t>1.A2-B4经费管理（30分）</w:t>
      </w:r>
    </w:p>
    <w:p>
      <w:pPr>
        <w:spacing w:line="560" w:lineRule="exact"/>
        <w:ind w:firstLine="643" w:firstLineChars="200"/>
        <w:rPr>
          <w:rFonts w:eastAsia="仿宋_GB2312"/>
          <w:b/>
          <w:color w:val="auto"/>
          <w:sz w:val="32"/>
          <w:szCs w:val="32"/>
        </w:rPr>
      </w:pPr>
      <w:r>
        <w:rPr>
          <w:rFonts w:eastAsia="仿宋_GB2312"/>
          <w:b/>
          <w:color w:val="auto"/>
          <w:sz w:val="32"/>
          <w:szCs w:val="32"/>
        </w:rPr>
        <w:t>（1）A2-B4-C11保障机制（15分）</w:t>
      </w:r>
    </w:p>
    <w:p>
      <w:pPr>
        <w:spacing w:line="560" w:lineRule="exact"/>
        <w:ind w:firstLine="643" w:firstLineChars="200"/>
        <w:rPr>
          <w:rFonts w:eastAsia="仿宋_GB2312"/>
          <w:color w:val="auto"/>
          <w:sz w:val="32"/>
          <w:szCs w:val="32"/>
          <w:highlight w:val="none"/>
        </w:rPr>
      </w:pPr>
      <w:r>
        <w:rPr>
          <w:rFonts w:eastAsia="仿宋_GB2312"/>
          <w:b/>
          <w:color w:val="auto"/>
          <w:sz w:val="32"/>
          <w:szCs w:val="32"/>
        </w:rPr>
        <w:t>经自查：</w:t>
      </w:r>
      <w:r>
        <w:rPr>
          <w:rFonts w:eastAsia="仿宋_GB2312"/>
          <w:color w:val="auto"/>
          <w:sz w:val="32"/>
          <w:szCs w:val="32"/>
        </w:rPr>
        <w:t>特克斯县严格按照文件执行财务管理，教师工资足额按时发放、无克扣教师工资现象，及时拨付城市及农村义务教育经费保障机制资金，无挪用现象，落实义务教育经费保障机制，严格执行“两免一补”政策。</w:t>
      </w:r>
      <w:r>
        <w:rPr>
          <w:rFonts w:eastAsia="仿宋_GB2312"/>
          <w:color w:val="auto"/>
          <w:sz w:val="32"/>
          <w:szCs w:val="32"/>
          <w:highlight w:val="none"/>
        </w:rPr>
        <w:t>201</w:t>
      </w:r>
      <w:r>
        <w:rPr>
          <w:rFonts w:hint="eastAsia" w:eastAsia="仿宋_GB2312"/>
          <w:color w:val="auto"/>
          <w:sz w:val="32"/>
          <w:szCs w:val="32"/>
          <w:highlight w:val="none"/>
          <w:lang w:val="en-US" w:eastAsia="zh-CN"/>
        </w:rPr>
        <w:t>9</w:t>
      </w:r>
      <w:r>
        <w:rPr>
          <w:rFonts w:eastAsia="仿宋_GB2312"/>
          <w:color w:val="auto"/>
          <w:sz w:val="32"/>
          <w:szCs w:val="32"/>
          <w:highlight w:val="none"/>
        </w:rPr>
        <w:t>年</w:t>
      </w:r>
      <w:r>
        <w:rPr>
          <w:rFonts w:hint="eastAsia" w:eastAsia="仿宋_GB2312"/>
          <w:color w:val="auto"/>
          <w:sz w:val="32"/>
          <w:szCs w:val="32"/>
          <w:highlight w:val="none"/>
          <w:lang w:eastAsia="zh-CN"/>
        </w:rPr>
        <w:t>—</w:t>
      </w:r>
      <w:r>
        <w:rPr>
          <w:rFonts w:eastAsia="仿宋_GB2312"/>
          <w:color w:val="auto"/>
          <w:sz w:val="32"/>
          <w:szCs w:val="32"/>
          <w:highlight w:val="none"/>
        </w:rPr>
        <w:t>20</w:t>
      </w:r>
      <w:r>
        <w:rPr>
          <w:rFonts w:hint="eastAsia" w:eastAsia="仿宋_GB2312"/>
          <w:color w:val="auto"/>
          <w:sz w:val="32"/>
          <w:szCs w:val="32"/>
          <w:highlight w:val="none"/>
          <w:lang w:val="en-US" w:eastAsia="zh-CN"/>
        </w:rPr>
        <w:t>22</w:t>
      </w:r>
      <w:r>
        <w:rPr>
          <w:rFonts w:eastAsia="仿宋_GB2312"/>
          <w:color w:val="auto"/>
          <w:sz w:val="32"/>
          <w:szCs w:val="32"/>
          <w:highlight w:val="none"/>
        </w:rPr>
        <w:t>年，共拨付公用经费</w:t>
      </w:r>
      <w:r>
        <w:rPr>
          <w:rFonts w:hint="eastAsia" w:eastAsia="仿宋_GB2312"/>
          <w:color w:val="auto"/>
          <w:sz w:val="32"/>
          <w:szCs w:val="32"/>
          <w:highlight w:val="none"/>
          <w:lang w:val="en-US" w:eastAsia="zh-CN"/>
        </w:rPr>
        <w:t>9996.64</w:t>
      </w:r>
      <w:r>
        <w:rPr>
          <w:rFonts w:eastAsia="仿宋_GB2312"/>
          <w:color w:val="auto"/>
          <w:sz w:val="32"/>
          <w:szCs w:val="32"/>
          <w:highlight w:val="none"/>
        </w:rPr>
        <w:t>万元（含取暖费），其中县级配套资金</w:t>
      </w:r>
      <w:r>
        <w:rPr>
          <w:rFonts w:hint="eastAsia" w:eastAsia="仿宋_GB2312"/>
          <w:color w:val="auto"/>
          <w:sz w:val="32"/>
          <w:szCs w:val="32"/>
          <w:highlight w:val="none"/>
          <w:lang w:val="en-US" w:eastAsia="zh-CN"/>
        </w:rPr>
        <w:t>1402.39</w:t>
      </w:r>
      <w:r>
        <w:rPr>
          <w:rFonts w:eastAsia="仿宋_GB2312"/>
          <w:color w:val="auto"/>
          <w:sz w:val="32"/>
          <w:szCs w:val="32"/>
          <w:highlight w:val="none"/>
        </w:rPr>
        <w:t>万元；小学生均公用经费每生每年6</w:t>
      </w:r>
      <w:r>
        <w:rPr>
          <w:rFonts w:hint="eastAsia" w:eastAsia="仿宋_GB2312"/>
          <w:color w:val="auto"/>
          <w:sz w:val="32"/>
          <w:szCs w:val="32"/>
          <w:highlight w:val="none"/>
          <w:lang w:val="en-US" w:eastAsia="zh-CN"/>
        </w:rPr>
        <w:t>50</w:t>
      </w:r>
      <w:r>
        <w:rPr>
          <w:rFonts w:eastAsia="仿宋_GB2312"/>
          <w:color w:val="auto"/>
          <w:sz w:val="32"/>
          <w:szCs w:val="32"/>
          <w:highlight w:val="none"/>
        </w:rPr>
        <w:t>元，初中生均公用经费每生每年8</w:t>
      </w:r>
      <w:r>
        <w:rPr>
          <w:rFonts w:hint="eastAsia" w:eastAsia="仿宋_GB2312"/>
          <w:color w:val="auto"/>
          <w:sz w:val="32"/>
          <w:szCs w:val="32"/>
          <w:highlight w:val="none"/>
          <w:lang w:val="en-US" w:eastAsia="zh-CN"/>
        </w:rPr>
        <w:t>50</w:t>
      </w:r>
      <w:r>
        <w:rPr>
          <w:rFonts w:eastAsia="仿宋_GB2312"/>
          <w:color w:val="auto"/>
          <w:sz w:val="32"/>
          <w:szCs w:val="32"/>
          <w:highlight w:val="none"/>
        </w:rPr>
        <w:t>元，生均取暖费180元，达到了国家和自治区规定标准。</w:t>
      </w:r>
    </w:p>
    <w:p>
      <w:pPr>
        <w:spacing w:line="560" w:lineRule="exact"/>
        <w:ind w:firstLine="640" w:firstLineChars="200"/>
        <w:rPr>
          <w:rFonts w:eastAsia="仿宋_GB2312"/>
          <w:color w:val="auto"/>
          <w:sz w:val="32"/>
          <w:szCs w:val="32"/>
        </w:rPr>
      </w:pPr>
      <w:r>
        <w:rPr>
          <w:rFonts w:eastAsia="仿宋_GB2312"/>
          <w:color w:val="auto"/>
          <w:sz w:val="32"/>
          <w:szCs w:val="32"/>
        </w:rPr>
        <w:t>自查自评得15分，此项与自治区义务教育均衡发展验收得分持平。</w:t>
      </w:r>
    </w:p>
    <w:p>
      <w:pPr>
        <w:spacing w:line="560" w:lineRule="exact"/>
        <w:ind w:firstLine="643" w:firstLineChars="200"/>
        <w:rPr>
          <w:rFonts w:eastAsia="仿宋_GB2312"/>
          <w:b/>
          <w:color w:val="auto"/>
          <w:sz w:val="32"/>
          <w:szCs w:val="32"/>
        </w:rPr>
      </w:pPr>
      <w:r>
        <w:rPr>
          <w:rFonts w:eastAsia="仿宋_GB2312"/>
          <w:b/>
          <w:color w:val="auto"/>
          <w:sz w:val="32"/>
          <w:szCs w:val="32"/>
        </w:rPr>
        <w:t>（2）A2-B4-C12规范管理（15分）</w:t>
      </w:r>
    </w:p>
    <w:p>
      <w:pPr>
        <w:spacing w:line="560" w:lineRule="exact"/>
        <w:ind w:firstLine="643" w:firstLineChars="200"/>
        <w:rPr>
          <w:rFonts w:eastAsia="仿宋_GB2312"/>
          <w:color w:val="auto"/>
          <w:sz w:val="32"/>
          <w:szCs w:val="32"/>
        </w:rPr>
      </w:pPr>
      <w:r>
        <w:rPr>
          <w:rFonts w:eastAsia="仿宋_GB2312"/>
          <w:b/>
          <w:color w:val="auto"/>
          <w:sz w:val="32"/>
          <w:szCs w:val="32"/>
        </w:rPr>
        <w:t>经自查：</w:t>
      </w:r>
      <w:r>
        <w:rPr>
          <w:rFonts w:eastAsia="仿宋_GB2312"/>
          <w:color w:val="auto"/>
          <w:sz w:val="32"/>
          <w:szCs w:val="32"/>
        </w:rPr>
        <w:t>特克斯县2003年成立教育会计核算中心，按照“校财局管校用”的原则，对全县教育单位实施“集中管理、分校核算”的管理模式，由县教育局核算中心集中管理中小学财务；每年积极主动配合审计、财政等部门对财务进行专项审计或抽检；健全教育系统内部审计体系，规范财务管理并加强监督力度；加强对全县中小学的财务管理，要求各学校按照规定编制经费预算，对学校的经费进行动态监控，落实对学校的经费报销制度。2012年创建为自治区教育收费示范县，2016年顺利通过自治区的检查，达到基础教育会计基础工作规范化考核达标县，基本实现基础教育财务信息化管理。</w:t>
      </w:r>
    </w:p>
    <w:p>
      <w:pPr>
        <w:spacing w:line="560" w:lineRule="exact"/>
        <w:ind w:firstLine="640" w:firstLineChars="200"/>
        <w:rPr>
          <w:rFonts w:eastAsia="仿宋_GB2312"/>
          <w:color w:val="auto"/>
          <w:sz w:val="32"/>
          <w:szCs w:val="32"/>
          <w:highlight w:val="none"/>
        </w:rPr>
      </w:pPr>
      <w:r>
        <w:rPr>
          <w:rFonts w:eastAsia="仿宋_GB2312"/>
          <w:color w:val="auto"/>
          <w:sz w:val="32"/>
          <w:szCs w:val="32"/>
        </w:rPr>
        <w:t>落实国家、自治区困难家庭学生资助政策，现执行寄宿生标准小学每年每生补助1250元，初中每年每生补助1500元。</w:t>
      </w:r>
      <w:r>
        <w:rPr>
          <w:rFonts w:eastAsia="仿宋_GB2312"/>
          <w:color w:val="auto"/>
          <w:sz w:val="32"/>
          <w:szCs w:val="32"/>
          <w:highlight w:val="none"/>
        </w:rPr>
        <w:t>201</w:t>
      </w:r>
      <w:r>
        <w:rPr>
          <w:rFonts w:hint="eastAsia" w:eastAsia="仿宋_GB2312"/>
          <w:color w:val="auto"/>
          <w:sz w:val="32"/>
          <w:szCs w:val="32"/>
          <w:highlight w:val="none"/>
          <w:lang w:val="en-US" w:eastAsia="zh-CN"/>
        </w:rPr>
        <w:t>9</w:t>
      </w:r>
      <w:r>
        <w:rPr>
          <w:rFonts w:eastAsia="仿宋_GB2312"/>
          <w:color w:val="auto"/>
          <w:sz w:val="32"/>
          <w:szCs w:val="32"/>
          <w:highlight w:val="none"/>
        </w:rPr>
        <w:t>年</w:t>
      </w:r>
      <w:r>
        <w:rPr>
          <w:rFonts w:hint="eastAsia" w:eastAsia="仿宋_GB2312"/>
          <w:color w:val="auto"/>
          <w:sz w:val="32"/>
          <w:szCs w:val="32"/>
          <w:highlight w:val="none"/>
          <w:lang w:eastAsia="zh-CN"/>
        </w:rPr>
        <w:t>—</w:t>
      </w:r>
      <w:r>
        <w:rPr>
          <w:rFonts w:eastAsia="仿宋_GB2312"/>
          <w:color w:val="auto"/>
          <w:sz w:val="32"/>
          <w:szCs w:val="32"/>
          <w:highlight w:val="none"/>
        </w:rPr>
        <w:t>20</w:t>
      </w:r>
      <w:r>
        <w:rPr>
          <w:rFonts w:hint="eastAsia" w:eastAsia="仿宋_GB2312"/>
          <w:color w:val="auto"/>
          <w:sz w:val="32"/>
          <w:szCs w:val="32"/>
          <w:highlight w:val="none"/>
          <w:lang w:val="en-US" w:eastAsia="zh-CN"/>
        </w:rPr>
        <w:t>22</w:t>
      </w:r>
      <w:r>
        <w:rPr>
          <w:rFonts w:eastAsia="仿宋_GB2312"/>
          <w:color w:val="auto"/>
          <w:sz w:val="32"/>
          <w:szCs w:val="32"/>
          <w:highlight w:val="none"/>
        </w:rPr>
        <w:t>年共拨付寄宿生补助资金</w:t>
      </w:r>
      <w:r>
        <w:rPr>
          <w:rFonts w:hint="eastAsia" w:eastAsia="仿宋_GB2312"/>
          <w:color w:val="auto"/>
          <w:sz w:val="32"/>
          <w:szCs w:val="32"/>
          <w:highlight w:val="none"/>
          <w:lang w:val="en-US" w:eastAsia="zh-CN"/>
        </w:rPr>
        <w:t xml:space="preserve"> 3243.17 </w:t>
      </w:r>
      <w:r>
        <w:rPr>
          <w:rFonts w:eastAsia="仿宋_GB2312"/>
          <w:color w:val="auto"/>
          <w:sz w:val="32"/>
          <w:szCs w:val="32"/>
          <w:highlight w:val="none"/>
        </w:rPr>
        <w:t>万元</w:t>
      </w:r>
      <w:r>
        <w:rPr>
          <w:rFonts w:hint="eastAsia" w:eastAsia="仿宋_GB2312"/>
          <w:color w:val="auto"/>
          <w:sz w:val="32"/>
          <w:szCs w:val="32"/>
          <w:highlight w:val="none"/>
        </w:rPr>
        <w:t>（其中含</w:t>
      </w:r>
      <w:r>
        <w:rPr>
          <w:rFonts w:eastAsia="仿宋_GB2312"/>
          <w:color w:val="auto"/>
          <w:sz w:val="32"/>
          <w:szCs w:val="32"/>
          <w:highlight w:val="none"/>
        </w:rPr>
        <w:t>县级配套资金</w:t>
      </w:r>
      <w:r>
        <w:rPr>
          <w:rFonts w:hint="eastAsia" w:eastAsia="仿宋_GB2312"/>
          <w:color w:val="auto"/>
          <w:sz w:val="32"/>
          <w:szCs w:val="32"/>
          <w:highlight w:val="none"/>
          <w:lang w:val="en-US" w:eastAsia="zh-CN"/>
        </w:rPr>
        <w:t xml:space="preserve"> 718.06</w:t>
      </w:r>
      <w:r>
        <w:rPr>
          <w:rFonts w:eastAsia="仿宋_GB2312"/>
          <w:color w:val="auto"/>
          <w:sz w:val="32"/>
          <w:szCs w:val="32"/>
          <w:highlight w:val="none"/>
        </w:rPr>
        <w:t>万元</w:t>
      </w:r>
      <w:r>
        <w:rPr>
          <w:rFonts w:hint="eastAsia" w:eastAsia="仿宋_GB2312"/>
          <w:color w:val="auto"/>
          <w:sz w:val="32"/>
          <w:szCs w:val="32"/>
          <w:highlight w:val="none"/>
        </w:rPr>
        <w:t>）</w:t>
      </w:r>
      <w:r>
        <w:rPr>
          <w:rFonts w:eastAsia="仿宋_GB2312"/>
          <w:color w:val="auto"/>
          <w:sz w:val="32"/>
          <w:szCs w:val="32"/>
          <w:highlight w:val="none"/>
        </w:rPr>
        <w:t>，</w:t>
      </w:r>
      <w:r>
        <w:rPr>
          <w:rFonts w:hint="eastAsia" w:eastAsia="仿宋_GB2312"/>
          <w:color w:val="auto"/>
          <w:sz w:val="32"/>
          <w:szCs w:val="32"/>
          <w:highlight w:val="none"/>
          <w:lang w:val="en-US" w:eastAsia="zh-CN"/>
        </w:rPr>
        <w:t>2019</w:t>
      </w:r>
      <w:r>
        <w:rPr>
          <w:rFonts w:eastAsia="仿宋_GB2312"/>
          <w:color w:val="auto"/>
          <w:sz w:val="32"/>
          <w:szCs w:val="32"/>
          <w:highlight w:val="none"/>
        </w:rPr>
        <w:t>年拨付</w:t>
      </w:r>
      <w:r>
        <w:rPr>
          <w:rFonts w:hint="eastAsia" w:eastAsia="仿宋_GB2312"/>
          <w:color w:val="auto"/>
          <w:sz w:val="32"/>
          <w:szCs w:val="32"/>
          <w:highlight w:val="none"/>
          <w:lang w:val="en-US" w:eastAsia="zh-CN"/>
        </w:rPr>
        <w:t>753.35</w:t>
      </w:r>
      <w:r>
        <w:rPr>
          <w:rFonts w:eastAsia="仿宋_GB2312"/>
          <w:color w:val="auto"/>
          <w:sz w:val="32"/>
          <w:szCs w:val="32"/>
          <w:highlight w:val="none"/>
        </w:rPr>
        <w:t>万元，20</w:t>
      </w:r>
      <w:r>
        <w:rPr>
          <w:rFonts w:hint="eastAsia" w:eastAsia="仿宋_GB2312"/>
          <w:color w:val="auto"/>
          <w:sz w:val="32"/>
          <w:szCs w:val="32"/>
          <w:highlight w:val="none"/>
          <w:lang w:val="en-US" w:eastAsia="zh-CN"/>
        </w:rPr>
        <w:t>20</w:t>
      </w:r>
      <w:r>
        <w:rPr>
          <w:rFonts w:eastAsia="仿宋_GB2312"/>
          <w:color w:val="auto"/>
          <w:sz w:val="32"/>
          <w:szCs w:val="32"/>
          <w:highlight w:val="none"/>
        </w:rPr>
        <w:t>年拨付</w:t>
      </w:r>
      <w:r>
        <w:rPr>
          <w:rFonts w:hint="eastAsia" w:eastAsia="仿宋_GB2312"/>
          <w:color w:val="auto"/>
          <w:sz w:val="32"/>
          <w:szCs w:val="32"/>
          <w:highlight w:val="none"/>
          <w:lang w:val="en-US" w:eastAsia="zh-CN"/>
        </w:rPr>
        <w:t xml:space="preserve">960.42 </w:t>
      </w:r>
      <w:r>
        <w:rPr>
          <w:rFonts w:eastAsia="仿宋_GB2312"/>
          <w:color w:val="auto"/>
          <w:sz w:val="32"/>
          <w:szCs w:val="32"/>
          <w:highlight w:val="none"/>
        </w:rPr>
        <w:t>万元，20</w:t>
      </w:r>
      <w:r>
        <w:rPr>
          <w:rFonts w:hint="eastAsia" w:eastAsia="仿宋_GB2312"/>
          <w:color w:val="auto"/>
          <w:sz w:val="32"/>
          <w:szCs w:val="32"/>
          <w:highlight w:val="none"/>
          <w:lang w:val="en-US" w:eastAsia="zh-CN"/>
        </w:rPr>
        <w:t>21</w:t>
      </w:r>
      <w:r>
        <w:rPr>
          <w:rFonts w:eastAsia="仿宋_GB2312"/>
          <w:color w:val="auto"/>
          <w:sz w:val="32"/>
          <w:szCs w:val="32"/>
          <w:highlight w:val="none"/>
        </w:rPr>
        <w:t>年拨付</w:t>
      </w:r>
      <w:r>
        <w:rPr>
          <w:rFonts w:hint="eastAsia" w:eastAsia="仿宋_GB2312"/>
          <w:color w:val="auto"/>
          <w:sz w:val="32"/>
          <w:szCs w:val="32"/>
          <w:highlight w:val="none"/>
          <w:lang w:val="en-US" w:eastAsia="zh-CN"/>
        </w:rPr>
        <w:t xml:space="preserve">738.38 </w:t>
      </w:r>
      <w:r>
        <w:rPr>
          <w:rFonts w:eastAsia="仿宋_GB2312"/>
          <w:color w:val="auto"/>
          <w:sz w:val="32"/>
          <w:szCs w:val="32"/>
          <w:highlight w:val="none"/>
        </w:rPr>
        <w:t>万元，20</w:t>
      </w:r>
      <w:r>
        <w:rPr>
          <w:rFonts w:hint="eastAsia" w:eastAsia="仿宋_GB2312"/>
          <w:color w:val="auto"/>
          <w:sz w:val="32"/>
          <w:szCs w:val="32"/>
          <w:highlight w:val="none"/>
          <w:lang w:val="en-US" w:eastAsia="zh-CN"/>
        </w:rPr>
        <w:t>22</w:t>
      </w:r>
      <w:r>
        <w:rPr>
          <w:rFonts w:eastAsia="仿宋_GB2312"/>
          <w:color w:val="auto"/>
          <w:sz w:val="32"/>
          <w:szCs w:val="32"/>
          <w:highlight w:val="none"/>
        </w:rPr>
        <w:t>年拨付</w:t>
      </w:r>
      <w:r>
        <w:rPr>
          <w:rFonts w:hint="eastAsia" w:eastAsia="仿宋_GB2312"/>
          <w:color w:val="auto"/>
          <w:sz w:val="32"/>
          <w:szCs w:val="32"/>
          <w:highlight w:val="none"/>
          <w:lang w:val="en-US" w:eastAsia="zh-CN"/>
        </w:rPr>
        <w:t>791.02</w:t>
      </w:r>
      <w:r>
        <w:rPr>
          <w:rFonts w:eastAsia="仿宋_GB2312"/>
          <w:color w:val="auto"/>
          <w:sz w:val="32"/>
          <w:szCs w:val="32"/>
          <w:highlight w:val="none"/>
        </w:rPr>
        <w:t>万元</w:t>
      </w:r>
      <w:r>
        <w:rPr>
          <w:rFonts w:hint="eastAsia" w:eastAsia="仿宋_GB2312"/>
          <w:color w:val="auto"/>
          <w:sz w:val="32"/>
          <w:szCs w:val="32"/>
          <w:highlight w:val="none"/>
        </w:rPr>
        <w:t>。</w:t>
      </w:r>
    </w:p>
    <w:p>
      <w:pPr>
        <w:spacing w:line="560" w:lineRule="exact"/>
        <w:ind w:firstLine="640" w:firstLineChars="200"/>
        <w:rPr>
          <w:rFonts w:eastAsia="仿宋_GB2312"/>
          <w:color w:val="auto"/>
          <w:sz w:val="32"/>
          <w:szCs w:val="32"/>
        </w:rPr>
      </w:pPr>
      <w:r>
        <w:rPr>
          <w:rFonts w:eastAsia="仿宋_GB2312"/>
          <w:color w:val="auto"/>
          <w:sz w:val="32"/>
          <w:szCs w:val="32"/>
        </w:rPr>
        <w:t>自查自评得15分，此项与自治区义务教育均衡发展验收得分持平。</w:t>
      </w:r>
    </w:p>
    <w:p>
      <w:pPr>
        <w:spacing w:line="560" w:lineRule="exact"/>
        <w:ind w:firstLine="640" w:firstLineChars="200"/>
        <w:rPr>
          <w:rFonts w:eastAsia="楷体_GB2312"/>
          <w:color w:val="auto"/>
          <w:sz w:val="32"/>
          <w:szCs w:val="32"/>
        </w:rPr>
      </w:pPr>
      <w:r>
        <w:rPr>
          <w:rFonts w:eastAsia="楷体_GB2312"/>
          <w:color w:val="auto"/>
          <w:sz w:val="32"/>
          <w:szCs w:val="32"/>
        </w:rPr>
        <w:t>2.A2-B5队伍建设（215分）</w:t>
      </w:r>
    </w:p>
    <w:p>
      <w:pPr>
        <w:spacing w:line="560" w:lineRule="exact"/>
        <w:ind w:firstLine="643" w:firstLineChars="200"/>
        <w:rPr>
          <w:rFonts w:eastAsia="仿宋_GB2312"/>
          <w:b/>
          <w:color w:val="auto"/>
          <w:sz w:val="32"/>
          <w:szCs w:val="32"/>
        </w:rPr>
      </w:pPr>
      <w:r>
        <w:rPr>
          <w:rFonts w:eastAsia="仿宋_GB2312"/>
          <w:b/>
          <w:color w:val="auto"/>
          <w:sz w:val="32"/>
          <w:szCs w:val="32"/>
        </w:rPr>
        <w:t>（1）A2-B5-*C13编制落实（30分）</w:t>
      </w:r>
    </w:p>
    <w:p>
      <w:pPr>
        <w:spacing w:line="560" w:lineRule="exact"/>
        <w:ind w:firstLine="643" w:firstLineChars="200"/>
        <w:rPr>
          <w:rFonts w:eastAsia="仿宋_GB2312"/>
          <w:color w:val="auto"/>
          <w:sz w:val="32"/>
          <w:szCs w:val="32"/>
        </w:rPr>
      </w:pPr>
      <w:r>
        <w:rPr>
          <w:rFonts w:eastAsia="仿宋_GB2312"/>
          <w:b/>
          <w:color w:val="auto"/>
          <w:sz w:val="32"/>
          <w:szCs w:val="32"/>
        </w:rPr>
        <w:t>经自查：</w:t>
      </w:r>
      <w:r>
        <w:rPr>
          <w:rFonts w:hint="eastAsia" w:eastAsia="仿宋_GB2312"/>
          <w:color w:val="auto"/>
          <w:sz w:val="32"/>
          <w:szCs w:val="32"/>
        </w:rPr>
        <w:t>特教发〔2022〕13号文件核定我县义务教育学校教职工编制1587人（其中小学1026人，初中561人）。2022年实有教职工2334人（其中小学1599人，初中735人），实有专任教师1774人（其中小学1213人，初中561人）。按照《新疆维吾尔自治区中小学机构编制管理规定》（新编委〔2013〕1号文件），我县城镇小学生师比17.5：1，农村班师比1：2.3，初中生师比15.8：1，班师比1：3.5，小学、初中生/班师比均达到规定标准。</w:t>
      </w:r>
    </w:p>
    <w:p>
      <w:pPr>
        <w:spacing w:line="560" w:lineRule="exact"/>
        <w:ind w:firstLine="640" w:firstLineChars="200"/>
        <w:rPr>
          <w:rFonts w:eastAsia="仿宋_GB2312"/>
          <w:color w:val="auto"/>
          <w:sz w:val="32"/>
          <w:szCs w:val="32"/>
        </w:rPr>
      </w:pPr>
      <w:r>
        <w:rPr>
          <w:rFonts w:eastAsia="仿宋_GB2312"/>
          <w:color w:val="auto"/>
          <w:sz w:val="32"/>
          <w:szCs w:val="32"/>
        </w:rPr>
        <w:t>自查自评得30分，此项与自治区义务教育均衡发展验收得分持平。</w:t>
      </w:r>
    </w:p>
    <w:p>
      <w:pPr>
        <w:spacing w:line="560" w:lineRule="exact"/>
        <w:ind w:firstLine="643" w:firstLineChars="200"/>
        <w:rPr>
          <w:rFonts w:eastAsia="仿宋_GB2312"/>
          <w:b/>
          <w:color w:val="auto"/>
          <w:sz w:val="32"/>
          <w:szCs w:val="32"/>
        </w:rPr>
      </w:pPr>
      <w:r>
        <w:rPr>
          <w:rFonts w:eastAsia="仿宋_GB2312"/>
          <w:b/>
          <w:color w:val="auto"/>
          <w:sz w:val="32"/>
          <w:szCs w:val="32"/>
        </w:rPr>
        <w:t>（2）A2-B5-*C14轮岗交流（30分）</w:t>
      </w:r>
    </w:p>
    <w:p>
      <w:pPr>
        <w:spacing w:line="560" w:lineRule="exact"/>
        <w:ind w:firstLine="643" w:firstLineChars="200"/>
        <w:rPr>
          <w:rFonts w:hint="eastAsia" w:eastAsia="仿宋_GB2312"/>
          <w:color w:val="auto"/>
          <w:sz w:val="32"/>
          <w:szCs w:val="32"/>
        </w:rPr>
      </w:pPr>
      <w:r>
        <w:rPr>
          <w:rFonts w:eastAsia="仿宋_GB2312"/>
          <w:b/>
          <w:color w:val="auto"/>
          <w:sz w:val="32"/>
          <w:szCs w:val="32"/>
        </w:rPr>
        <w:t>经自查：</w:t>
      </w:r>
      <w:r>
        <w:rPr>
          <w:rFonts w:hint="eastAsia" w:eastAsia="仿宋_GB2312"/>
          <w:color w:val="auto"/>
          <w:sz w:val="32"/>
          <w:szCs w:val="32"/>
        </w:rPr>
        <w:t>为进一步完善教师管理体制和师资统筹配置机制，贯彻落实《自治州乡村教师支持计划（2015-2020年）实施办法》和《关于进一步加强乡村教师队伍建设实施方案》，规范有序组织教师校际交流，合理配置师资，增强教师队伍活力，全力推进国家通用语言文字教育教学全覆盖，制定《特克斯县2022—2023学年义务教育阶段学校校长、教师交流轮岗工作方案》（特教发〔2022〕70号）、《特克斯县义务教育学校校长、教师交流制度》（特教发〔2019〕176号），通过开展教师交流轮岗，减缓了我县乡村学校师资力量薄弱的压力，促进了教师之间的相互交流，带动了部分学科的发展，今后我们将进一步推进校长、教师交流轮岗工作，重点引导优秀校长和骨干教师向农村学校、薄弱学校流动，加强学校管理和教育教学等经验的交流，优化教师队伍结构，重点培养乡村学校骨干人才，推进骨干教师合理分布，缩小校际差距、城乡差距，合理配置师资源，为实现义务教育</w:t>
      </w:r>
      <w:r>
        <w:rPr>
          <w:rFonts w:hint="eastAsia" w:eastAsia="仿宋_GB2312"/>
          <w:color w:val="auto"/>
          <w:sz w:val="32"/>
          <w:szCs w:val="32"/>
          <w:lang w:eastAsia="zh-CN"/>
        </w:rPr>
        <w:t>优质</w:t>
      </w:r>
      <w:r>
        <w:rPr>
          <w:rFonts w:hint="eastAsia" w:eastAsia="仿宋_GB2312"/>
          <w:color w:val="auto"/>
          <w:sz w:val="32"/>
          <w:szCs w:val="32"/>
        </w:rPr>
        <w:t>均衡发展工作奠定基础。</w:t>
      </w:r>
    </w:p>
    <w:p>
      <w:pPr>
        <w:spacing w:line="560" w:lineRule="exact"/>
        <w:ind w:firstLine="640" w:firstLineChars="200"/>
        <w:rPr>
          <w:rFonts w:eastAsia="仿宋_GB2312"/>
          <w:color w:val="auto"/>
          <w:sz w:val="32"/>
          <w:szCs w:val="32"/>
        </w:rPr>
      </w:pPr>
      <w:r>
        <w:rPr>
          <w:rFonts w:hint="eastAsia" w:eastAsia="仿宋_GB2312"/>
          <w:color w:val="auto"/>
          <w:sz w:val="32"/>
          <w:szCs w:val="32"/>
        </w:rPr>
        <w:t>2022</w:t>
      </w:r>
      <w:r>
        <w:rPr>
          <w:rFonts w:hint="eastAsia" w:eastAsia="仿宋_GB2312"/>
          <w:color w:val="auto"/>
          <w:sz w:val="32"/>
          <w:szCs w:val="32"/>
          <w:lang w:val="en-US" w:eastAsia="zh-CN"/>
        </w:rPr>
        <w:t>—</w:t>
      </w:r>
      <w:r>
        <w:rPr>
          <w:rFonts w:hint="eastAsia" w:eastAsia="仿宋_GB2312"/>
          <w:color w:val="auto"/>
          <w:sz w:val="32"/>
          <w:szCs w:val="32"/>
        </w:rPr>
        <w:t>2023学年义务教育阶段教师交流12</w:t>
      </w:r>
      <w:r>
        <w:rPr>
          <w:rFonts w:hint="eastAsia" w:eastAsia="仿宋_GB2312"/>
          <w:color w:val="auto"/>
          <w:sz w:val="32"/>
          <w:szCs w:val="32"/>
          <w:lang w:val="en-US" w:eastAsia="zh-CN"/>
        </w:rPr>
        <w:t>6</w:t>
      </w:r>
      <w:r>
        <w:rPr>
          <w:rFonts w:hint="eastAsia" w:eastAsia="仿宋_GB2312"/>
          <w:color w:val="auto"/>
          <w:sz w:val="32"/>
          <w:szCs w:val="32"/>
        </w:rPr>
        <w:t>人，交流率7.</w:t>
      </w:r>
      <w:r>
        <w:rPr>
          <w:rFonts w:hint="eastAsia" w:eastAsia="仿宋_GB2312"/>
          <w:color w:val="auto"/>
          <w:sz w:val="32"/>
          <w:szCs w:val="32"/>
          <w:lang w:val="en-US" w:eastAsia="zh-CN"/>
        </w:rPr>
        <w:t>1</w:t>
      </w:r>
      <w:r>
        <w:rPr>
          <w:rFonts w:hint="eastAsia" w:eastAsia="仿宋_GB2312"/>
          <w:color w:val="auto"/>
          <w:sz w:val="32"/>
          <w:szCs w:val="32"/>
        </w:rPr>
        <w:t>%，交流率符合要求。</w:t>
      </w:r>
    </w:p>
    <w:p>
      <w:pPr>
        <w:spacing w:line="560" w:lineRule="exact"/>
        <w:ind w:firstLine="640" w:firstLineChars="200"/>
        <w:rPr>
          <w:rFonts w:eastAsia="仿宋_GB2312"/>
          <w:color w:val="auto"/>
          <w:sz w:val="32"/>
          <w:szCs w:val="32"/>
        </w:rPr>
      </w:pPr>
      <w:r>
        <w:rPr>
          <w:rFonts w:eastAsia="仿宋_GB2312"/>
          <w:color w:val="auto"/>
          <w:sz w:val="32"/>
          <w:szCs w:val="32"/>
        </w:rPr>
        <w:t>自查自评得30分，此项与自治区义务教育均衡发展验收得分持平。</w:t>
      </w:r>
    </w:p>
    <w:p>
      <w:pPr>
        <w:spacing w:line="560" w:lineRule="exact"/>
        <w:ind w:firstLine="643" w:firstLineChars="200"/>
        <w:rPr>
          <w:rFonts w:eastAsia="仿宋_GB2312"/>
          <w:b/>
          <w:color w:val="auto"/>
          <w:sz w:val="32"/>
          <w:szCs w:val="32"/>
        </w:rPr>
      </w:pPr>
      <w:r>
        <w:rPr>
          <w:rFonts w:eastAsia="仿宋_GB2312"/>
          <w:b/>
          <w:color w:val="auto"/>
          <w:sz w:val="32"/>
          <w:szCs w:val="32"/>
        </w:rPr>
        <w:t>（3）A2-B5-*C15绩效工资（30分）</w:t>
      </w:r>
    </w:p>
    <w:p>
      <w:pPr>
        <w:spacing w:line="560" w:lineRule="exact"/>
        <w:ind w:firstLine="643" w:firstLineChars="200"/>
        <w:rPr>
          <w:rFonts w:eastAsia="仿宋_GB2312"/>
          <w:color w:val="auto"/>
          <w:sz w:val="32"/>
          <w:szCs w:val="32"/>
          <w:highlight w:val="none"/>
        </w:rPr>
      </w:pPr>
      <w:r>
        <w:rPr>
          <w:rFonts w:eastAsia="仿宋_GB2312"/>
          <w:b/>
          <w:color w:val="auto"/>
          <w:sz w:val="32"/>
          <w:szCs w:val="32"/>
        </w:rPr>
        <w:t>经自查：</w:t>
      </w:r>
      <w:r>
        <w:rPr>
          <w:rFonts w:eastAsia="仿宋_GB2312"/>
          <w:color w:val="auto"/>
          <w:sz w:val="32"/>
          <w:szCs w:val="32"/>
          <w:highlight w:val="none"/>
        </w:rPr>
        <w:t>我县依法落实教师待遇，通过教师工资正常晋升和津贴补贴待遇标准的提高，保证教师平均工资不低于公务员的平均工资并逐年提高，为农村学校教职工发放农村基层补贴。20</w:t>
      </w:r>
      <w:r>
        <w:rPr>
          <w:rFonts w:hint="eastAsia" w:eastAsia="仿宋_GB2312"/>
          <w:color w:val="auto"/>
          <w:sz w:val="32"/>
          <w:szCs w:val="32"/>
          <w:highlight w:val="none"/>
          <w:lang w:val="en-US" w:eastAsia="zh-CN"/>
        </w:rPr>
        <w:t>22</w:t>
      </w:r>
      <w:r>
        <w:rPr>
          <w:rFonts w:eastAsia="仿宋_GB2312"/>
          <w:color w:val="auto"/>
          <w:sz w:val="32"/>
          <w:szCs w:val="32"/>
          <w:highlight w:val="none"/>
        </w:rPr>
        <w:t>年我县</w:t>
      </w:r>
      <w:r>
        <w:rPr>
          <w:rFonts w:hint="eastAsia" w:eastAsia="仿宋_GB2312"/>
          <w:color w:val="auto"/>
          <w:sz w:val="32"/>
          <w:szCs w:val="32"/>
          <w:highlight w:val="none"/>
          <w:lang w:val="en-US" w:eastAsia="zh-CN"/>
        </w:rPr>
        <w:t>义务教育教师基础绩效奖</w:t>
      </w:r>
      <w:r>
        <w:rPr>
          <w:rFonts w:eastAsia="仿宋_GB2312"/>
          <w:color w:val="auto"/>
          <w:sz w:val="32"/>
          <w:szCs w:val="32"/>
          <w:highlight w:val="none"/>
        </w:rPr>
        <w:t>平均</w:t>
      </w:r>
      <w:r>
        <w:rPr>
          <w:rFonts w:hint="eastAsia" w:eastAsia="仿宋_GB2312"/>
          <w:color w:val="auto"/>
          <w:sz w:val="32"/>
          <w:szCs w:val="32"/>
          <w:highlight w:val="none"/>
          <w:lang w:val="en-US" w:eastAsia="zh-CN"/>
        </w:rPr>
        <w:t>增加776.2</w:t>
      </w:r>
      <w:r>
        <w:rPr>
          <w:rFonts w:eastAsia="仿宋_GB2312"/>
          <w:color w:val="auto"/>
          <w:sz w:val="32"/>
          <w:szCs w:val="32"/>
          <w:highlight w:val="none"/>
        </w:rPr>
        <w:t>元；每年特岗教师招聘到位后，县财政部门严格按照特岗教师与当地教师“同城同待遇”的要求，按照“管理以县为主，经费省级统筹、中央适当支持”的原则，为特岗教师测算工资、津贴及保险等各项费用并及时拨付资金，按时足额发放，并享受与在编教师一样的社会保障待遇；建</w:t>
      </w:r>
      <w:r>
        <w:rPr>
          <w:rFonts w:hint="eastAsia" w:eastAsia="仿宋_GB2312"/>
          <w:color w:val="auto"/>
          <w:sz w:val="32"/>
          <w:szCs w:val="32"/>
          <w:highlight w:val="none"/>
          <w:lang w:eastAsia="zh-CN"/>
        </w:rPr>
        <w:t>成</w:t>
      </w:r>
      <w:r>
        <w:rPr>
          <w:rFonts w:eastAsia="仿宋_GB2312"/>
          <w:color w:val="auto"/>
          <w:sz w:val="32"/>
          <w:szCs w:val="32"/>
          <w:highlight w:val="none"/>
        </w:rPr>
        <w:t>周转房824套（其中县城260套），基本满足使用；制定《特克斯县教育系统奖励性绩效考核管理办法的意见及建议》，各学校制定切合学校实际的奖励性绩效考核方案以及评定细则，做到扣分有依据，奖励有证据。我县教师的奖励性绩效工资全部按照标准进行发放。</w:t>
      </w:r>
    </w:p>
    <w:p>
      <w:pPr>
        <w:spacing w:line="560" w:lineRule="exact"/>
        <w:ind w:firstLine="640" w:firstLineChars="200"/>
        <w:rPr>
          <w:rFonts w:eastAsia="仿宋_GB2312"/>
          <w:color w:val="auto"/>
          <w:sz w:val="32"/>
          <w:szCs w:val="32"/>
        </w:rPr>
      </w:pPr>
      <w:r>
        <w:rPr>
          <w:rFonts w:eastAsia="仿宋_GB2312"/>
          <w:color w:val="auto"/>
          <w:sz w:val="32"/>
          <w:szCs w:val="32"/>
        </w:rPr>
        <w:t>自查自评得30分，此项与自治区义务教育均衡发展验收得分持平。</w:t>
      </w:r>
    </w:p>
    <w:p>
      <w:pPr>
        <w:spacing w:line="560" w:lineRule="exact"/>
        <w:ind w:firstLine="643" w:firstLineChars="200"/>
        <w:rPr>
          <w:rFonts w:eastAsia="仿宋_GB2312"/>
          <w:b/>
          <w:color w:val="auto"/>
          <w:sz w:val="32"/>
          <w:szCs w:val="32"/>
        </w:rPr>
      </w:pPr>
      <w:r>
        <w:rPr>
          <w:rFonts w:eastAsia="仿宋_GB2312"/>
          <w:b/>
          <w:color w:val="auto"/>
          <w:sz w:val="32"/>
          <w:szCs w:val="32"/>
        </w:rPr>
        <w:t>（4）A2-B5-C16管理队伍（20分）</w:t>
      </w:r>
    </w:p>
    <w:p>
      <w:pPr>
        <w:spacing w:line="560" w:lineRule="exact"/>
        <w:ind w:firstLine="643" w:firstLineChars="200"/>
        <w:rPr>
          <w:rFonts w:eastAsia="仿宋_GB2312"/>
          <w:color w:val="auto"/>
          <w:sz w:val="32"/>
          <w:szCs w:val="32"/>
        </w:rPr>
      </w:pPr>
      <w:r>
        <w:rPr>
          <w:rFonts w:eastAsia="仿宋_GB2312"/>
          <w:b/>
          <w:color w:val="auto"/>
          <w:sz w:val="32"/>
          <w:szCs w:val="32"/>
        </w:rPr>
        <w:t>经自查：</w:t>
      </w:r>
      <w:r>
        <w:rPr>
          <w:rFonts w:eastAsia="仿宋_GB2312"/>
          <w:color w:val="auto"/>
          <w:sz w:val="32"/>
          <w:szCs w:val="32"/>
        </w:rPr>
        <w:t>全县共有义务教育阶段书记、校长共</w:t>
      </w:r>
      <w:r>
        <w:rPr>
          <w:rFonts w:hint="eastAsia" w:eastAsia="仿宋_GB2312"/>
          <w:color w:val="auto"/>
          <w:sz w:val="32"/>
          <w:szCs w:val="32"/>
          <w:lang w:val="en-US" w:eastAsia="zh-CN"/>
        </w:rPr>
        <w:t>48</w:t>
      </w:r>
      <w:r>
        <w:rPr>
          <w:rFonts w:eastAsia="仿宋_GB2312"/>
          <w:color w:val="auto"/>
          <w:sz w:val="32"/>
          <w:szCs w:val="32"/>
        </w:rPr>
        <w:t>人，</w:t>
      </w:r>
      <w:r>
        <w:rPr>
          <w:rFonts w:hint="eastAsia" w:eastAsia="仿宋_GB2312"/>
          <w:color w:val="auto"/>
          <w:sz w:val="32"/>
          <w:szCs w:val="32"/>
          <w:lang w:val="en-US" w:eastAsia="zh-CN"/>
        </w:rPr>
        <w:t>48</w:t>
      </w:r>
      <w:r>
        <w:rPr>
          <w:rFonts w:eastAsia="仿宋_GB2312"/>
          <w:color w:val="auto"/>
          <w:sz w:val="32"/>
          <w:szCs w:val="32"/>
        </w:rPr>
        <w:t>人均已完成岗位培训，岗位培训率为100%。</w:t>
      </w:r>
      <w:r>
        <w:rPr>
          <w:rFonts w:eastAsia="仿宋_GB2312"/>
          <w:b/>
          <w:color w:val="auto"/>
          <w:sz w:val="32"/>
          <w:szCs w:val="32"/>
        </w:rPr>
        <w:t>一是</w:t>
      </w:r>
      <w:r>
        <w:rPr>
          <w:rFonts w:eastAsia="仿宋_GB2312"/>
          <w:color w:val="auto"/>
          <w:sz w:val="32"/>
          <w:szCs w:val="32"/>
        </w:rPr>
        <w:t>配齐配强中小学校书记、校长队伍。县委累计调整、任命书记、校长28人次；教育局新任命中小学书记、校长（副校长）72名，新任命学区主任8名，专职副书记16名，对25名作用发挥不明显的中小学书记、校长，副校长进行了免职。以交流学习为主对书记、校长进行能力素质的提升，优化中小学校书记、校长队伍，达到“头雁”带“群雁”的目的。</w:t>
      </w:r>
      <w:r>
        <w:rPr>
          <w:rFonts w:eastAsia="仿宋_GB2312"/>
          <w:b/>
          <w:color w:val="auto"/>
          <w:sz w:val="32"/>
          <w:szCs w:val="32"/>
        </w:rPr>
        <w:t>二是</w:t>
      </w:r>
      <w:r>
        <w:rPr>
          <w:rFonts w:eastAsia="仿宋_GB2312"/>
          <w:color w:val="auto"/>
          <w:sz w:val="32"/>
          <w:szCs w:val="32"/>
        </w:rPr>
        <w:t>加强能力素质提升，按照“培养+实践”模式，组织</w:t>
      </w:r>
      <w:r>
        <w:rPr>
          <w:rFonts w:eastAsia="仿宋_GB2312"/>
          <w:color w:val="auto"/>
          <w:sz w:val="32"/>
          <w:szCs w:val="32"/>
          <w:highlight w:val="none"/>
        </w:rPr>
        <w:t>3</w:t>
      </w:r>
      <w:r>
        <w:rPr>
          <w:rFonts w:hint="eastAsia" w:eastAsia="仿宋_GB2312"/>
          <w:color w:val="auto"/>
          <w:sz w:val="32"/>
          <w:szCs w:val="32"/>
          <w:highlight w:val="none"/>
          <w:lang w:val="en-US" w:eastAsia="zh-CN"/>
        </w:rPr>
        <w:t>2</w:t>
      </w:r>
      <w:r>
        <w:rPr>
          <w:rFonts w:eastAsia="仿宋_GB2312"/>
          <w:color w:val="auto"/>
          <w:sz w:val="32"/>
          <w:szCs w:val="32"/>
          <w:highlight w:val="none"/>
        </w:rPr>
        <w:t>名</w:t>
      </w:r>
      <w:r>
        <w:rPr>
          <w:rFonts w:eastAsia="仿宋_GB2312"/>
          <w:color w:val="auto"/>
          <w:sz w:val="32"/>
          <w:szCs w:val="32"/>
        </w:rPr>
        <w:t>中小学书记、校长参加岗前培训和提高培训，利用寒暑假对200名中小学书记、校长和副校长进行了党员示范班，提升学校领导班子的整体素质。选派44名学校管理人员赴南京江宁对口学校进行观摩、培训与学习，并与之结对，通过走出去，请进来的方式，全力打造一支政治信念坚定、组织管理能力强、思想作风优良、作用发挥明显的管理队伍。</w:t>
      </w:r>
    </w:p>
    <w:p>
      <w:pPr>
        <w:spacing w:line="560" w:lineRule="exact"/>
        <w:ind w:firstLine="640" w:firstLineChars="200"/>
        <w:rPr>
          <w:rFonts w:eastAsia="仿宋_GB2312"/>
          <w:color w:val="auto"/>
          <w:sz w:val="32"/>
          <w:szCs w:val="32"/>
        </w:rPr>
      </w:pPr>
      <w:r>
        <w:rPr>
          <w:rFonts w:eastAsia="仿宋_GB2312"/>
          <w:color w:val="auto"/>
          <w:sz w:val="32"/>
          <w:szCs w:val="32"/>
        </w:rPr>
        <w:t>自查自评得20分，此项与自治区义务教育均衡发展验收得分持平。</w:t>
      </w:r>
    </w:p>
    <w:p>
      <w:pPr>
        <w:spacing w:line="560" w:lineRule="exact"/>
        <w:ind w:firstLine="643" w:firstLineChars="200"/>
        <w:rPr>
          <w:rFonts w:eastAsia="仿宋_GB2312"/>
          <w:b/>
          <w:color w:val="auto"/>
          <w:sz w:val="32"/>
          <w:szCs w:val="32"/>
        </w:rPr>
      </w:pPr>
      <w:r>
        <w:rPr>
          <w:rFonts w:eastAsia="仿宋_GB2312"/>
          <w:b/>
          <w:color w:val="auto"/>
          <w:sz w:val="32"/>
          <w:szCs w:val="32"/>
        </w:rPr>
        <w:t>（5）A2-B5-C17教师队伍（30分）</w:t>
      </w:r>
    </w:p>
    <w:p>
      <w:pPr>
        <w:spacing w:line="560" w:lineRule="exact"/>
        <w:ind w:firstLine="643" w:firstLineChars="200"/>
        <w:rPr>
          <w:rFonts w:hint="eastAsia" w:eastAsia="仿宋_GB2312"/>
          <w:color w:val="auto"/>
          <w:sz w:val="32"/>
          <w:szCs w:val="32"/>
        </w:rPr>
      </w:pPr>
      <w:r>
        <w:rPr>
          <w:rFonts w:eastAsia="仿宋_GB2312"/>
          <w:b/>
          <w:color w:val="auto"/>
          <w:sz w:val="32"/>
          <w:szCs w:val="32"/>
        </w:rPr>
        <w:t>经自查：</w:t>
      </w:r>
      <w:r>
        <w:rPr>
          <w:rFonts w:hint="eastAsia" w:eastAsia="仿宋_GB2312"/>
          <w:color w:val="auto"/>
          <w:sz w:val="32"/>
          <w:szCs w:val="32"/>
        </w:rPr>
        <w:t>近年来，我县通过</w:t>
      </w:r>
      <w:r>
        <w:rPr>
          <w:rFonts w:hint="eastAsia" w:eastAsia="仿宋_GB2312"/>
          <w:color w:val="auto"/>
          <w:sz w:val="32"/>
          <w:szCs w:val="32"/>
          <w:lang w:eastAsia="zh-CN"/>
        </w:rPr>
        <w:t>安置</w:t>
      </w:r>
      <w:r>
        <w:rPr>
          <w:rFonts w:hint="eastAsia" w:eastAsia="仿宋_GB2312"/>
          <w:color w:val="auto"/>
          <w:sz w:val="32"/>
          <w:szCs w:val="32"/>
        </w:rPr>
        <w:t>免费师范生、县聘教师等方式解决了部分学校专业教师不足问题，并通过岗位调整、实习支教等形式，满足了学校的教育教学需求，小学专任教师1213人，学历合格1213人，学历合格率100%</w:t>
      </w:r>
      <w:r>
        <w:rPr>
          <w:rFonts w:hint="eastAsia" w:eastAsia="仿宋_GB2312"/>
          <w:color w:val="auto"/>
          <w:sz w:val="32"/>
          <w:szCs w:val="32"/>
          <w:lang w:eastAsia="zh-CN"/>
        </w:rPr>
        <w:t>；</w:t>
      </w:r>
      <w:r>
        <w:rPr>
          <w:rFonts w:hint="eastAsia" w:eastAsia="仿宋_GB2312"/>
          <w:color w:val="auto"/>
          <w:sz w:val="32"/>
          <w:szCs w:val="32"/>
        </w:rPr>
        <w:t>教师资格证</w:t>
      </w:r>
      <w:r>
        <w:rPr>
          <w:rFonts w:hint="eastAsia" w:eastAsia="仿宋_GB2312"/>
          <w:color w:val="auto"/>
          <w:sz w:val="32"/>
          <w:szCs w:val="32"/>
          <w:lang w:eastAsia="zh-CN"/>
        </w:rPr>
        <w:t>达标</w:t>
      </w:r>
      <w:r>
        <w:rPr>
          <w:rFonts w:hint="eastAsia" w:eastAsia="仿宋_GB2312"/>
          <w:color w:val="auto"/>
          <w:sz w:val="32"/>
          <w:szCs w:val="32"/>
        </w:rPr>
        <w:t>1213人，</w:t>
      </w:r>
      <w:r>
        <w:rPr>
          <w:rFonts w:hint="eastAsia" w:eastAsia="仿宋_GB2312"/>
          <w:color w:val="auto"/>
          <w:sz w:val="32"/>
          <w:szCs w:val="32"/>
          <w:lang w:eastAsia="zh-CN"/>
        </w:rPr>
        <w:t>资格</w:t>
      </w:r>
      <w:r>
        <w:rPr>
          <w:rFonts w:hint="eastAsia" w:eastAsia="仿宋_GB2312"/>
          <w:color w:val="auto"/>
          <w:sz w:val="32"/>
          <w:szCs w:val="32"/>
        </w:rPr>
        <w:t>达标率100%；专业对口902人，专业对口率为74.4%，教师资格对口931人，对口率为76.8%。</w:t>
      </w:r>
    </w:p>
    <w:p>
      <w:pPr>
        <w:spacing w:line="560" w:lineRule="exact"/>
        <w:ind w:firstLine="640" w:firstLineChars="200"/>
        <w:rPr>
          <w:rFonts w:hint="eastAsia" w:eastAsia="仿宋_GB2312"/>
          <w:color w:val="auto"/>
          <w:sz w:val="32"/>
          <w:szCs w:val="32"/>
        </w:rPr>
      </w:pPr>
      <w:r>
        <w:rPr>
          <w:rFonts w:hint="eastAsia" w:eastAsia="仿宋_GB2312"/>
          <w:color w:val="auto"/>
          <w:sz w:val="32"/>
          <w:szCs w:val="32"/>
        </w:rPr>
        <w:t>初中专任教师561人，学历合格561人，学历合格率100%，教师资格证</w:t>
      </w:r>
      <w:r>
        <w:rPr>
          <w:rFonts w:hint="eastAsia" w:eastAsia="仿宋_GB2312"/>
          <w:color w:val="auto"/>
          <w:sz w:val="32"/>
          <w:szCs w:val="32"/>
          <w:lang w:eastAsia="zh-CN"/>
        </w:rPr>
        <w:t>达标</w:t>
      </w:r>
      <w:r>
        <w:rPr>
          <w:rFonts w:hint="eastAsia" w:eastAsia="仿宋_GB2312"/>
          <w:color w:val="auto"/>
          <w:sz w:val="32"/>
          <w:szCs w:val="32"/>
        </w:rPr>
        <w:t>561人，资格达标率100%；专业对口43</w:t>
      </w:r>
      <w:r>
        <w:rPr>
          <w:rFonts w:hint="eastAsia" w:eastAsia="仿宋_GB2312"/>
          <w:color w:val="auto"/>
          <w:sz w:val="32"/>
          <w:szCs w:val="32"/>
          <w:lang w:val="en-US" w:eastAsia="zh-CN"/>
        </w:rPr>
        <w:t>8</w:t>
      </w:r>
      <w:r>
        <w:rPr>
          <w:rFonts w:hint="eastAsia" w:eastAsia="仿宋_GB2312"/>
          <w:color w:val="auto"/>
          <w:sz w:val="32"/>
          <w:szCs w:val="32"/>
        </w:rPr>
        <w:t>人，专业对口率为7</w:t>
      </w:r>
      <w:r>
        <w:rPr>
          <w:rFonts w:hint="eastAsia" w:eastAsia="仿宋_GB2312"/>
          <w:color w:val="auto"/>
          <w:sz w:val="32"/>
          <w:szCs w:val="32"/>
          <w:lang w:val="en-US" w:eastAsia="zh-CN"/>
        </w:rPr>
        <w:t>8.1</w:t>
      </w:r>
      <w:r>
        <w:rPr>
          <w:rFonts w:hint="eastAsia" w:eastAsia="仿宋_GB2312"/>
          <w:color w:val="auto"/>
          <w:sz w:val="32"/>
          <w:szCs w:val="32"/>
        </w:rPr>
        <w:t>%,教师资格对口4</w:t>
      </w:r>
      <w:r>
        <w:rPr>
          <w:rFonts w:hint="eastAsia" w:eastAsia="仿宋_GB2312"/>
          <w:color w:val="auto"/>
          <w:sz w:val="32"/>
          <w:szCs w:val="32"/>
          <w:lang w:val="en-US" w:eastAsia="zh-CN"/>
        </w:rPr>
        <w:t>71</w:t>
      </w:r>
      <w:r>
        <w:rPr>
          <w:rFonts w:hint="eastAsia" w:eastAsia="仿宋_GB2312"/>
          <w:color w:val="auto"/>
          <w:sz w:val="32"/>
          <w:szCs w:val="32"/>
        </w:rPr>
        <w:t>人，对口率为8</w:t>
      </w:r>
      <w:r>
        <w:rPr>
          <w:rFonts w:hint="eastAsia" w:eastAsia="仿宋_GB2312"/>
          <w:color w:val="auto"/>
          <w:sz w:val="32"/>
          <w:szCs w:val="32"/>
          <w:lang w:val="en-US" w:eastAsia="zh-CN"/>
        </w:rPr>
        <w:t>4</w:t>
      </w:r>
      <w:r>
        <w:rPr>
          <w:rFonts w:hint="eastAsia" w:eastAsia="仿宋_GB2312"/>
          <w:color w:val="auto"/>
          <w:sz w:val="32"/>
          <w:szCs w:val="32"/>
        </w:rPr>
        <w:t>%。</w:t>
      </w:r>
    </w:p>
    <w:p>
      <w:pPr>
        <w:spacing w:line="560" w:lineRule="exact"/>
        <w:ind w:firstLine="640" w:firstLineChars="200"/>
        <w:rPr>
          <w:rFonts w:eastAsia="仿宋_GB2312"/>
          <w:color w:val="auto"/>
          <w:sz w:val="32"/>
          <w:szCs w:val="32"/>
        </w:rPr>
      </w:pPr>
      <w:r>
        <w:rPr>
          <w:rFonts w:hint="eastAsia" w:eastAsia="仿宋_GB2312"/>
          <w:color w:val="auto"/>
          <w:sz w:val="32"/>
          <w:szCs w:val="32"/>
        </w:rPr>
        <w:t>目前，中小学</w:t>
      </w:r>
      <w:r>
        <w:rPr>
          <w:rFonts w:hint="eastAsia" w:eastAsia="仿宋_GB2312"/>
          <w:color w:val="auto"/>
          <w:sz w:val="32"/>
          <w:szCs w:val="32"/>
          <w:lang w:eastAsia="zh-CN"/>
        </w:rPr>
        <w:t>学历合格率、教师</w:t>
      </w:r>
      <w:r>
        <w:rPr>
          <w:rFonts w:hint="eastAsia" w:eastAsia="仿宋_GB2312"/>
          <w:color w:val="auto"/>
          <w:sz w:val="32"/>
          <w:szCs w:val="32"/>
        </w:rPr>
        <w:t>资格</w:t>
      </w:r>
      <w:r>
        <w:rPr>
          <w:rFonts w:hint="eastAsia" w:eastAsia="仿宋_GB2312"/>
          <w:color w:val="auto"/>
          <w:sz w:val="32"/>
          <w:szCs w:val="32"/>
          <w:lang w:eastAsia="zh-CN"/>
        </w:rPr>
        <w:t>达标率</w:t>
      </w:r>
      <w:r>
        <w:rPr>
          <w:rFonts w:hint="eastAsia" w:eastAsia="仿宋_GB2312"/>
          <w:color w:val="auto"/>
          <w:sz w:val="32"/>
          <w:szCs w:val="32"/>
        </w:rPr>
        <w:t>均为100%，达到规定标准；中小学专业对口率、教师资格对口率均达到70%以上的规定标准；获得中级及以上专业技术职务教师752人，占42.4%，达到40%以上的规定。</w:t>
      </w:r>
    </w:p>
    <w:p>
      <w:pPr>
        <w:spacing w:line="560" w:lineRule="exact"/>
        <w:ind w:firstLine="640" w:firstLineChars="200"/>
        <w:rPr>
          <w:rFonts w:eastAsia="仿宋_GB2312"/>
          <w:color w:val="auto"/>
          <w:sz w:val="32"/>
          <w:szCs w:val="32"/>
        </w:rPr>
      </w:pPr>
      <w:r>
        <w:rPr>
          <w:rFonts w:eastAsia="仿宋_GB2312"/>
          <w:color w:val="auto"/>
          <w:sz w:val="32"/>
          <w:szCs w:val="32"/>
        </w:rPr>
        <w:t>自查自评得30分，此项</w:t>
      </w:r>
      <w:r>
        <w:rPr>
          <w:rFonts w:hint="eastAsia" w:eastAsia="仿宋_GB2312"/>
          <w:color w:val="auto"/>
          <w:sz w:val="32"/>
          <w:szCs w:val="32"/>
          <w:lang w:eastAsia="zh-CN"/>
        </w:rPr>
        <w:t>比</w:t>
      </w:r>
      <w:r>
        <w:rPr>
          <w:rFonts w:eastAsia="仿宋_GB2312"/>
          <w:color w:val="auto"/>
          <w:sz w:val="32"/>
          <w:szCs w:val="32"/>
        </w:rPr>
        <w:t>自治区义务教育均衡发展</w:t>
      </w:r>
      <w:r>
        <w:rPr>
          <w:rFonts w:hint="eastAsia" w:eastAsia="仿宋_GB2312"/>
          <w:color w:val="auto"/>
          <w:sz w:val="32"/>
          <w:szCs w:val="32"/>
          <w:lang w:eastAsia="zh-CN"/>
        </w:rPr>
        <w:t>时得分提高</w:t>
      </w:r>
      <w:r>
        <w:rPr>
          <w:rFonts w:hint="eastAsia" w:eastAsia="仿宋_GB2312"/>
          <w:color w:val="auto"/>
          <w:sz w:val="32"/>
          <w:szCs w:val="32"/>
          <w:lang w:val="en-US" w:eastAsia="zh-CN"/>
        </w:rPr>
        <w:t>1分</w:t>
      </w:r>
      <w:r>
        <w:rPr>
          <w:rFonts w:eastAsia="仿宋_GB2312"/>
          <w:color w:val="auto"/>
          <w:sz w:val="32"/>
          <w:szCs w:val="32"/>
        </w:rPr>
        <w:t>。</w:t>
      </w:r>
    </w:p>
    <w:p>
      <w:pPr>
        <w:spacing w:line="560" w:lineRule="exact"/>
        <w:ind w:firstLine="643" w:firstLineChars="200"/>
        <w:rPr>
          <w:rFonts w:eastAsia="仿宋_GB2312"/>
          <w:b/>
          <w:color w:val="auto"/>
          <w:sz w:val="32"/>
          <w:szCs w:val="32"/>
        </w:rPr>
      </w:pPr>
      <w:r>
        <w:rPr>
          <w:rFonts w:eastAsia="仿宋_GB2312"/>
          <w:b/>
          <w:color w:val="auto"/>
          <w:sz w:val="32"/>
          <w:szCs w:val="32"/>
        </w:rPr>
        <w:t>（6）A2-B5-C18教辅队伍（20分）</w:t>
      </w:r>
    </w:p>
    <w:p>
      <w:pPr>
        <w:spacing w:line="560" w:lineRule="exact"/>
        <w:ind w:firstLine="643" w:firstLineChars="200"/>
        <w:rPr>
          <w:rFonts w:eastAsia="仿宋_GB2312"/>
          <w:color w:val="auto"/>
          <w:sz w:val="32"/>
          <w:szCs w:val="32"/>
        </w:rPr>
      </w:pPr>
      <w:r>
        <w:rPr>
          <w:rFonts w:eastAsia="仿宋_GB2312"/>
          <w:b/>
          <w:color w:val="auto"/>
          <w:sz w:val="32"/>
          <w:szCs w:val="32"/>
        </w:rPr>
        <w:t>经自查：</w:t>
      </w:r>
      <w:r>
        <w:rPr>
          <w:rFonts w:hint="eastAsia" w:eastAsia="仿宋_GB2312"/>
          <w:color w:val="auto"/>
          <w:sz w:val="32"/>
          <w:szCs w:val="32"/>
        </w:rPr>
        <w:t>按照自治区《办学基本标准》要求，各学校均配备专兼职图书管理、实验、现代教育技术、心理健康教育、后勤服务、安全保卫等教辅人员。我县</w:t>
      </w:r>
      <w:r>
        <w:rPr>
          <w:rFonts w:hint="eastAsia" w:eastAsia="仿宋_GB2312"/>
          <w:color w:val="auto"/>
          <w:sz w:val="32"/>
          <w:szCs w:val="32"/>
          <w:lang w:eastAsia="zh-CN"/>
        </w:rPr>
        <w:t>义务教育</w:t>
      </w:r>
      <w:r>
        <w:rPr>
          <w:rFonts w:hint="eastAsia" w:eastAsia="仿宋_GB2312"/>
          <w:color w:val="auto"/>
          <w:sz w:val="32"/>
          <w:szCs w:val="32"/>
        </w:rPr>
        <w:t>中小学已配备专兼职教辅674人，其中专职486人，兼职188人，参加相关培训并取得相应资格证674人，持证上岗率为100%；中小学工勤人员26人，取得相应资格证书26人，持证上岗率为100%。</w:t>
      </w:r>
    </w:p>
    <w:p>
      <w:pPr>
        <w:spacing w:line="560" w:lineRule="exact"/>
        <w:ind w:firstLine="640" w:firstLineChars="200"/>
        <w:rPr>
          <w:rFonts w:eastAsia="仿宋_GB2312"/>
          <w:color w:val="auto"/>
          <w:sz w:val="32"/>
          <w:szCs w:val="32"/>
        </w:rPr>
      </w:pPr>
      <w:r>
        <w:rPr>
          <w:rFonts w:eastAsia="仿宋_GB2312"/>
          <w:color w:val="auto"/>
          <w:sz w:val="32"/>
          <w:szCs w:val="32"/>
        </w:rPr>
        <w:t>自查自评得20分，此项与自治区义务教育均衡发展验收得分持平。</w:t>
      </w:r>
    </w:p>
    <w:p>
      <w:pPr>
        <w:spacing w:line="560" w:lineRule="exact"/>
        <w:ind w:firstLine="643" w:firstLineChars="200"/>
        <w:rPr>
          <w:rFonts w:eastAsia="仿宋_GB2312"/>
          <w:b/>
          <w:color w:val="auto"/>
          <w:sz w:val="32"/>
          <w:szCs w:val="32"/>
        </w:rPr>
      </w:pPr>
      <w:r>
        <w:rPr>
          <w:rFonts w:eastAsia="仿宋_GB2312"/>
          <w:b/>
          <w:color w:val="auto"/>
          <w:sz w:val="32"/>
          <w:szCs w:val="32"/>
        </w:rPr>
        <w:t>（7）A2-B5-C19教研队伍（25分）</w:t>
      </w:r>
    </w:p>
    <w:p>
      <w:pPr>
        <w:spacing w:line="560" w:lineRule="exact"/>
        <w:ind w:firstLine="643" w:firstLineChars="200"/>
        <w:rPr>
          <w:rFonts w:hint="eastAsia" w:eastAsia="仿宋_GB2312"/>
          <w:color w:val="auto"/>
          <w:sz w:val="32"/>
          <w:szCs w:val="32"/>
        </w:rPr>
      </w:pPr>
      <w:r>
        <w:rPr>
          <w:rFonts w:eastAsia="仿宋_GB2312"/>
          <w:b/>
          <w:color w:val="auto"/>
          <w:sz w:val="32"/>
          <w:szCs w:val="32"/>
        </w:rPr>
        <w:t>经自查：</w:t>
      </w:r>
      <w:r>
        <w:rPr>
          <w:rFonts w:hint="eastAsia" w:eastAsia="仿宋_GB2312"/>
          <w:b/>
          <w:bCs/>
          <w:color w:val="auto"/>
          <w:sz w:val="32"/>
          <w:szCs w:val="32"/>
        </w:rPr>
        <w:t>一是</w:t>
      </w:r>
      <w:r>
        <w:rPr>
          <w:rFonts w:hint="eastAsia" w:eastAsia="仿宋_GB2312"/>
          <w:color w:val="auto"/>
          <w:sz w:val="32"/>
          <w:szCs w:val="32"/>
        </w:rPr>
        <w:t>依据《关于加强和改进自治区基础教育教学研究工作的意见》设立教研中心，根据实际情况配备13名专职学科教研员，制定《特克斯县中小学教研活动管理办法（试行）》《特克斯县教育科研课题管理办法》，将教研工作纳入我县教育事业发展总体规划；建立《特克斯县教育局教研室教研员岗位职责》《特克斯县教育局教研员分工》等教研工作</w:t>
      </w:r>
      <w:r>
        <w:rPr>
          <w:rFonts w:hint="eastAsia" w:eastAsia="仿宋_GB2312"/>
          <w:color w:val="auto"/>
          <w:sz w:val="32"/>
          <w:szCs w:val="32"/>
          <w:lang w:eastAsia="zh-CN"/>
        </w:rPr>
        <w:t>机制</w:t>
      </w:r>
      <w:r>
        <w:rPr>
          <w:rFonts w:hint="eastAsia" w:eastAsia="仿宋_GB2312"/>
          <w:color w:val="auto"/>
          <w:sz w:val="32"/>
          <w:szCs w:val="32"/>
        </w:rPr>
        <w:t>，通过调整教研人员、加强教研投入等措施，使教研工作不断规范，教研质量稳步提高。</w:t>
      </w:r>
      <w:r>
        <w:rPr>
          <w:rFonts w:hint="eastAsia" w:eastAsia="仿宋_GB2312"/>
          <w:b/>
          <w:bCs/>
          <w:color w:val="auto"/>
          <w:sz w:val="32"/>
          <w:szCs w:val="32"/>
        </w:rPr>
        <w:t>二是</w:t>
      </w:r>
      <w:r>
        <w:rPr>
          <w:rFonts w:hint="eastAsia" w:eastAsia="仿宋_GB2312"/>
          <w:color w:val="auto"/>
          <w:sz w:val="32"/>
          <w:szCs w:val="32"/>
        </w:rPr>
        <w:t>按照国家课程计划规定的学科种类及实际工作需要，制定《特克斯县中小学兼职教研员选聘方案与管理制度》，选聘兼职学科教研员24名；制定《特克斯县中小学教研活动管理办法》，狠抓教研活动的落实，教师指导、课题研究、教学评比、教法推广、教学检查等工作扎实有效</w:t>
      </w:r>
      <w:r>
        <w:rPr>
          <w:rFonts w:hint="eastAsia" w:eastAsia="仿宋_GB2312"/>
          <w:color w:val="auto"/>
          <w:sz w:val="32"/>
          <w:szCs w:val="32"/>
          <w:lang w:eastAsia="zh-CN"/>
        </w:rPr>
        <w:t>开展</w:t>
      </w:r>
      <w:r>
        <w:rPr>
          <w:rFonts w:hint="eastAsia" w:eastAsia="仿宋_GB2312"/>
          <w:color w:val="auto"/>
          <w:sz w:val="32"/>
          <w:szCs w:val="32"/>
        </w:rPr>
        <w:t>。</w:t>
      </w:r>
      <w:r>
        <w:rPr>
          <w:rFonts w:hint="eastAsia" w:eastAsia="仿宋_GB2312"/>
          <w:b/>
          <w:bCs/>
          <w:color w:val="auto"/>
          <w:sz w:val="32"/>
          <w:szCs w:val="32"/>
        </w:rPr>
        <w:t>三是</w:t>
      </w:r>
      <w:r>
        <w:rPr>
          <w:rFonts w:hint="eastAsia" w:eastAsia="仿宋_GB2312"/>
          <w:color w:val="auto"/>
          <w:sz w:val="32"/>
          <w:szCs w:val="32"/>
        </w:rPr>
        <w:t>注重教师的专业发展，做好教师的业务培训，紧抓校本培训，加强教学常规工作的检查，优化课堂，努力改善国语教学环境。深入基层，做好视导工作，开展送教下乡与联片教研活动，关注并帮助薄弱学校，持续提高教学质量；以“课题研究”为突破口，做好教科研工作，印发《特克斯县课题管理办法》，自2021年以来，已结题自治区级课题3个、州级4个；2022年新立项自治区级课题1个，2022—2024年新立项州级课题16项（其中有一项重点课题）。</w:t>
      </w:r>
    </w:p>
    <w:p>
      <w:pPr>
        <w:spacing w:line="560" w:lineRule="exact"/>
        <w:ind w:left="638" w:leftChars="304"/>
        <w:rPr>
          <w:rFonts w:eastAsia="仿宋_GB2312"/>
          <w:color w:val="auto"/>
          <w:sz w:val="32"/>
          <w:szCs w:val="32"/>
        </w:rPr>
      </w:pPr>
      <w:r>
        <w:rPr>
          <w:rFonts w:eastAsia="仿宋_GB2312"/>
          <w:color w:val="auto"/>
          <w:sz w:val="32"/>
          <w:szCs w:val="32"/>
        </w:rPr>
        <w:t>全县各学校的特色教研活动不明显，扣1分。</w:t>
      </w:r>
    </w:p>
    <w:p>
      <w:pPr>
        <w:spacing w:line="560" w:lineRule="exact"/>
        <w:ind w:firstLine="640" w:firstLineChars="200"/>
        <w:rPr>
          <w:rFonts w:eastAsia="仿宋_GB2312"/>
          <w:color w:val="auto"/>
          <w:sz w:val="32"/>
          <w:szCs w:val="32"/>
        </w:rPr>
      </w:pPr>
      <w:r>
        <w:rPr>
          <w:rFonts w:eastAsia="仿宋_GB2312"/>
          <w:color w:val="auto"/>
          <w:sz w:val="32"/>
          <w:szCs w:val="32"/>
        </w:rPr>
        <w:t>自查自评得24分，此项</w:t>
      </w:r>
      <w:r>
        <w:rPr>
          <w:rFonts w:hint="eastAsia" w:eastAsia="仿宋_GB2312"/>
          <w:color w:val="auto"/>
          <w:sz w:val="32"/>
          <w:szCs w:val="32"/>
          <w:lang w:eastAsia="zh-CN"/>
        </w:rPr>
        <w:t>比</w:t>
      </w:r>
      <w:r>
        <w:rPr>
          <w:rFonts w:eastAsia="仿宋_GB2312"/>
          <w:color w:val="auto"/>
          <w:sz w:val="32"/>
          <w:szCs w:val="32"/>
        </w:rPr>
        <w:t>自治区义务教育均衡发展验收</w:t>
      </w:r>
      <w:r>
        <w:rPr>
          <w:rFonts w:hint="eastAsia" w:eastAsia="仿宋_GB2312"/>
          <w:color w:val="auto"/>
          <w:sz w:val="32"/>
          <w:szCs w:val="32"/>
          <w:lang w:eastAsia="zh-CN"/>
        </w:rPr>
        <w:t>时</w:t>
      </w:r>
      <w:r>
        <w:rPr>
          <w:rFonts w:eastAsia="仿宋_GB2312"/>
          <w:color w:val="auto"/>
          <w:sz w:val="32"/>
          <w:szCs w:val="32"/>
        </w:rPr>
        <w:t>得分</w:t>
      </w:r>
      <w:r>
        <w:rPr>
          <w:rFonts w:hint="eastAsia" w:eastAsia="仿宋_GB2312"/>
          <w:color w:val="auto"/>
          <w:sz w:val="32"/>
          <w:szCs w:val="32"/>
          <w:lang w:eastAsia="zh-CN"/>
        </w:rPr>
        <w:t>提高</w:t>
      </w:r>
      <w:r>
        <w:rPr>
          <w:rFonts w:hint="eastAsia" w:eastAsia="仿宋_GB2312"/>
          <w:color w:val="auto"/>
          <w:sz w:val="32"/>
          <w:szCs w:val="32"/>
          <w:lang w:val="en-US" w:eastAsia="zh-CN"/>
        </w:rPr>
        <w:t>0.5分</w:t>
      </w:r>
      <w:r>
        <w:rPr>
          <w:rFonts w:eastAsia="仿宋_GB2312"/>
          <w:color w:val="auto"/>
          <w:sz w:val="32"/>
          <w:szCs w:val="32"/>
        </w:rPr>
        <w:t>。</w:t>
      </w:r>
    </w:p>
    <w:p>
      <w:pPr>
        <w:spacing w:line="560" w:lineRule="exact"/>
        <w:ind w:firstLine="643" w:firstLineChars="200"/>
        <w:rPr>
          <w:rFonts w:eastAsia="仿宋_GB2312"/>
          <w:b/>
          <w:color w:val="auto"/>
          <w:sz w:val="32"/>
          <w:szCs w:val="32"/>
        </w:rPr>
      </w:pPr>
      <w:r>
        <w:rPr>
          <w:rFonts w:eastAsia="仿宋_GB2312"/>
          <w:b/>
          <w:color w:val="auto"/>
          <w:sz w:val="32"/>
          <w:szCs w:val="32"/>
        </w:rPr>
        <w:t>（8）A2-B5-*C20教师培训（30分）</w:t>
      </w:r>
    </w:p>
    <w:p>
      <w:pPr>
        <w:spacing w:line="560" w:lineRule="exact"/>
        <w:ind w:firstLine="643" w:firstLineChars="200"/>
        <w:rPr>
          <w:rFonts w:eastAsia="仿宋_GB2312"/>
          <w:color w:val="auto"/>
          <w:sz w:val="32"/>
          <w:szCs w:val="32"/>
        </w:rPr>
      </w:pPr>
      <w:r>
        <w:rPr>
          <w:rFonts w:eastAsia="仿宋_GB2312"/>
          <w:b/>
          <w:color w:val="auto"/>
          <w:sz w:val="32"/>
          <w:szCs w:val="32"/>
        </w:rPr>
        <w:t>经自查：</w:t>
      </w:r>
      <w:r>
        <w:rPr>
          <w:rFonts w:eastAsia="仿宋_GB2312"/>
          <w:color w:val="auto"/>
          <w:sz w:val="32"/>
          <w:szCs w:val="32"/>
        </w:rPr>
        <w:t>制定《特克斯县第六个五年管理周期中小学和幼儿园教师继续教育实施规划（2019-2023年)》《特克斯县2019年中小学教师继续教育考核细则》等文件，各学校均制定教师继续培训规划，并按照要求选派教师参加第六轮继续教育，本轮继续教育以校本培训为主阵地，借助“国培计划”、“区培计划”、“地州计划”等培训项目，培训机会向薄弱学校倾斜，为更多的乡村教师提供外出学习的机会，2019年</w:t>
      </w:r>
      <w:r>
        <w:rPr>
          <w:rFonts w:hint="eastAsia" w:eastAsia="仿宋_GB2312"/>
          <w:color w:val="auto"/>
          <w:sz w:val="32"/>
          <w:szCs w:val="32"/>
        </w:rPr>
        <w:t>以来参加各级各类培训197413人次，其中</w:t>
      </w:r>
      <w:r>
        <w:rPr>
          <w:rFonts w:eastAsia="仿宋_GB2312"/>
          <w:color w:val="auto"/>
          <w:sz w:val="32"/>
          <w:szCs w:val="32"/>
        </w:rPr>
        <w:t>国培</w:t>
      </w:r>
      <w:r>
        <w:rPr>
          <w:rFonts w:hint="eastAsia" w:eastAsia="仿宋_GB2312"/>
          <w:color w:val="auto"/>
          <w:sz w:val="32"/>
          <w:szCs w:val="32"/>
        </w:rPr>
        <w:t>897人次</w:t>
      </w:r>
      <w:r>
        <w:rPr>
          <w:rFonts w:eastAsia="仿宋_GB2312"/>
          <w:color w:val="auto"/>
          <w:sz w:val="32"/>
          <w:szCs w:val="32"/>
        </w:rPr>
        <w:t>、区培</w:t>
      </w:r>
      <w:r>
        <w:rPr>
          <w:rFonts w:hint="eastAsia" w:eastAsia="仿宋_GB2312"/>
          <w:color w:val="auto"/>
          <w:sz w:val="32"/>
          <w:szCs w:val="32"/>
        </w:rPr>
        <w:t>206人次</w:t>
      </w:r>
      <w:r>
        <w:rPr>
          <w:rFonts w:eastAsia="仿宋_GB2312"/>
          <w:color w:val="auto"/>
          <w:sz w:val="32"/>
          <w:szCs w:val="32"/>
        </w:rPr>
        <w:t>、州</w:t>
      </w:r>
      <w:r>
        <w:rPr>
          <w:rFonts w:hint="eastAsia" w:eastAsia="仿宋_GB2312"/>
          <w:color w:val="auto"/>
          <w:sz w:val="32"/>
          <w:szCs w:val="32"/>
        </w:rPr>
        <w:t>级培训34176</w:t>
      </w:r>
      <w:r>
        <w:rPr>
          <w:rFonts w:eastAsia="仿宋_GB2312"/>
          <w:color w:val="auto"/>
          <w:sz w:val="32"/>
          <w:szCs w:val="32"/>
        </w:rPr>
        <w:t>人</w:t>
      </w:r>
      <w:r>
        <w:rPr>
          <w:rFonts w:hint="eastAsia" w:eastAsia="仿宋_GB2312"/>
          <w:color w:val="auto"/>
          <w:sz w:val="32"/>
          <w:szCs w:val="32"/>
        </w:rPr>
        <w:t>次、</w:t>
      </w:r>
      <w:r>
        <w:rPr>
          <w:rFonts w:eastAsia="仿宋_GB2312"/>
          <w:color w:val="auto"/>
          <w:sz w:val="32"/>
          <w:szCs w:val="32"/>
        </w:rPr>
        <w:t>县</w:t>
      </w:r>
      <w:r>
        <w:rPr>
          <w:rFonts w:hint="eastAsia" w:eastAsia="仿宋_GB2312"/>
          <w:color w:val="auto"/>
          <w:sz w:val="32"/>
          <w:szCs w:val="32"/>
        </w:rPr>
        <w:t>级培训30534人次，校本培训131600人次</w:t>
      </w:r>
      <w:r>
        <w:rPr>
          <w:rFonts w:eastAsia="仿宋_GB2312"/>
          <w:color w:val="auto"/>
          <w:sz w:val="32"/>
          <w:szCs w:val="32"/>
        </w:rPr>
        <w:t>。</w:t>
      </w:r>
    </w:p>
    <w:p>
      <w:pPr>
        <w:spacing w:line="560" w:lineRule="exact"/>
        <w:ind w:firstLine="640" w:firstLineChars="200"/>
        <w:rPr>
          <w:rFonts w:eastAsia="仿宋_GB2312"/>
          <w:color w:val="auto"/>
          <w:sz w:val="32"/>
          <w:szCs w:val="32"/>
        </w:rPr>
      </w:pPr>
      <w:r>
        <w:rPr>
          <w:rFonts w:eastAsia="仿宋_GB2312"/>
          <w:color w:val="auto"/>
          <w:sz w:val="32"/>
          <w:szCs w:val="32"/>
        </w:rPr>
        <w:t>目前，全县义务教育中小学专任教师</w:t>
      </w:r>
      <w:r>
        <w:rPr>
          <w:rFonts w:hint="eastAsia" w:eastAsia="仿宋_GB2312"/>
          <w:color w:val="auto"/>
          <w:sz w:val="32"/>
          <w:szCs w:val="32"/>
        </w:rPr>
        <w:t>1774</w:t>
      </w:r>
      <w:r>
        <w:rPr>
          <w:rFonts w:eastAsia="仿宋_GB2312"/>
          <w:color w:val="auto"/>
          <w:sz w:val="32"/>
          <w:szCs w:val="32"/>
        </w:rPr>
        <w:t>人，已参加第六管理周期继续教育培训</w:t>
      </w:r>
      <w:r>
        <w:rPr>
          <w:rFonts w:hint="eastAsia" w:eastAsia="仿宋_GB2312"/>
          <w:color w:val="auto"/>
          <w:sz w:val="32"/>
          <w:szCs w:val="32"/>
          <w:highlight w:val="none"/>
        </w:rPr>
        <w:t>1</w:t>
      </w:r>
      <w:r>
        <w:rPr>
          <w:rFonts w:hint="eastAsia" w:eastAsia="仿宋_GB2312"/>
          <w:color w:val="auto"/>
          <w:sz w:val="32"/>
          <w:szCs w:val="32"/>
          <w:highlight w:val="none"/>
          <w:lang w:val="en-US" w:eastAsia="zh-CN"/>
        </w:rPr>
        <w:t>571</w:t>
      </w:r>
      <w:r>
        <w:rPr>
          <w:rFonts w:eastAsia="仿宋_GB2312"/>
          <w:color w:val="auto"/>
          <w:sz w:val="32"/>
          <w:szCs w:val="32"/>
          <w:highlight w:val="none"/>
        </w:rPr>
        <w:t>人，参训率</w:t>
      </w:r>
      <w:r>
        <w:rPr>
          <w:rFonts w:hint="eastAsia" w:eastAsia="仿宋_GB2312"/>
          <w:color w:val="auto"/>
          <w:sz w:val="32"/>
          <w:szCs w:val="32"/>
          <w:highlight w:val="none"/>
        </w:rPr>
        <w:t>为</w:t>
      </w:r>
      <w:r>
        <w:rPr>
          <w:rFonts w:hint="eastAsia" w:eastAsia="仿宋_GB2312"/>
          <w:color w:val="auto"/>
          <w:sz w:val="32"/>
          <w:szCs w:val="32"/>
          <w:highlight w:val="none"/>
          <w:lang w:val="en-US" w:eastAsia="zh-CN"/>
        </w:rPr>
        <w:t>88.6</w:t>
      </w:r>
      <w:r>
        <w:rPr>
          <w:rFonts w:eastAsia="仿宋_GB2312"/>
          <w:color w:val="auto"/>
          <w:sz w:val="32"/>
          <w:szCs w:val="32"/>
          <w:highlight w:val="none"/>
        </w:rPr>
        <w:t>%。</w:t>
      </w:r>
    </w:p>
    <w:p>
      <w:pPr>
        <w:spacing w:line="560" w:lineRule="exact"/>
        <w:ind w:firstLine="640" w:firstLineChars="200"/>
        <w:rPr>
          <w:rFonts w:eastAsia="仿宋_GB2312"/>
          <w:color w:val="auto"/>
          <w:sz w:val="32"/>
          <w:szCs w:val="32"/>
        </w:rPr>
      </w:pPr>
      <w:r>
        <w:rPr>
          <w:rFonts w:eastAsia="仿宋_GB2312"/>
          <w:color w:val="auto"/>
          <w:sz w:val="32"/>
          <w:szCs w:val="32"/>
        </w:rPr>
        <w:t>自查自评得30分，此项</w:t>
      </w:r>
      <w:r>
        <w:rPr>
          <w:rFonts w:hint="eastAsia" w:eastAsia="仿宋_GB2312"/>
          <w:color w:val="auto"/>
          <w:sz w:val="32"/>
          <w:szCs w:val="32"/>
          <w:lang w:eastAsia="zh-CN"/>
        </w:rPr>
        <w:t>比</w:t>
      </w:r>
      <w:r>
        <w:rPr>
          <w:rFonts w:eastAsia="仿宋_GB2312"/>
          <w:color w:val="auto"/>
          <w:sz w:val="32"/>
          <w:szCs w:val="32"/>
        </w:rPr>
        <w:t>自治区义务教</w:t>
      </w:r>
      <w:bookmarkStart w:id="0" w:name="_GoBack"/>
      <w:bookmarkEnd w:id="0"/>
      <w:r>
        <w:rPr>
          <w:rFonts w:eastAsia="仿宋_GB2312"/>
          <w:color w:val="auto"/>
          <w:sz w:val="32"/>
          <w:szCs w:val="32"/>
        </w:rPr>
        <w:t>育均衡发展</w:t>
      </w:r>
      <w:r>
        <w:rPr>
          <w:rFonts w:hint="eastAsia" w:eastAsia="仿宋_GB2312"/>
          <w:color w:val="auto"/>
          <w:sz w:val="32"/>
          <w:szCs w:val="32"/>
          <w:lang w:eastAsia="zh-CN"/>
        </w:rPr>
        <w:t>验收时得分提高</w:t>
      </w:r>
      <w:r>
        <w:rPr>
          <w:rFonts w:hint="eastAsia" w:eastAsia="仿宋_GB2312"/>
          <w:color w:val="auto"/>
          <w:sz w:val="32"/>
          <w:szCs w:val="32"/>
          <w:lang w:val="en-US" w:eastAsia="zh-CN"/>
        </w:rPr>
        <w:t>1分</w:t>
      </w:r>
      <w:r>
        <w:rPr>
          <w:rFonts w:eastAsia="仿宋_GB2312"/>
          <w:color w:val="auto"/>
          <w:sz w:val="32"/>
          <w:szCs w:val="32"/>
        </w:rPr>
        <w:t>。</w:t>
      </w:r>
    </w:p>
    <w:p>
      <w:pPr>
        <w:spacing w:line="560" w:lineRule="exact"/>
        <w:ind w:firstLine="640" w:firstLineChars="200"/>
        <w:rPr>
          <w:rFonts w:eastAsia="楷体_GB2312"/>
          <w:color w:val="auto"/>
          <w:sz w:val="32"/>
          <w:szCs w:val="32"/>
        </w:rPr>
      </w:pPr>
      <w:r>
        <w:rPr>
          <w:rFonts w:eastAsia="楷体_GB2312"/>
          <w:color w:val="auto"/>
          <w:sz w:val="32"/>
          <w:szCs w:val="32"/>
        </w:rPr>
        <w:t>3.A2-B6普及程度（60分）</w:t>
      </w:r>
    </w:p>
    <w:p>
      <w:pPr>
        <w:spacing w:line="560" w:lineRule="exact"/>
        <w:ind w:firstLine="643" w:firstLineChars="200"/>
        <w:rPr>
          <w:rFonts w:eastAsia="仿宋_GB2312"/>
          <w:b/>
          <w:color w:val="auto"/>
          <w:sz w:val="32"/>
          <w:szCs w:val="32"/>
        </w:rPr>
      </w:pPr>
      <w:r>
        <w:rPr>
          <w:rFonts w:eastAsia="仿宋_GB2312"/>
          <w:b/>
          <w:color w:val="auto"/>
          <w:sz w:val="32"/>
          <w:szCs w:val="32"/>
        </w:rPr>
        <w:t>（1） A2-B6-C21入学率（20分）</w:t>
      </w:r>
    </w:p>
    <w:p>
      <w:pPr>
        <w:spacing w:line="560" w:lineRule="exact"/>
        <w:ind w:firstLine="643" w:firstLineChars="200"/>
        <w:rPr>
          <w:rFonts w:eastAsia="仿宋_GB2312"/>
          <w:color w:val="auto"/>
          <w:sz w:val="32"/>
          <w:szCs w:val="32"/>
        </w:rPr>
      </w:pPr>
      <w:r>
        <w:rPr>
          <w:rFonts w:eastAsia="仿宋_GB2312"/>
          <w:b/>
          <w:color w:val="auto"/>
          <w:sz w:val="32"/>
          <w:szCs w:val="32"/>
        </w:rPr>
        <w:t>经自查：</w:t>
      </w:r>
      <w:r>
        <w:rPr>
          <w:rFonts w:eastAsia="仿宋_GB2312"/>
          <w:color w:val="auto"/>
          <w:sz w:val="32"/>
          <w:szCs w:val="32"/>
        </w:rPr>
        <w:t>2022-2023学年小学适龄儿童总数18729人、失能37人，已入学18692人、小学入学率达到100%，其中县政府所在地小学适龄儿童人数2938人、失能人员5人、已入学2933人、入学率100%，农、牧区适龄儿童人数15791人、失能32人、已入学15759人、入学率100%。</w:t>
      </w:r>
    </w:p>
    <w:p>
      <w:pPr>
        <w:spacing w:line="560" w:lineRule="exact"/>
        <w:ind w:firstLine="640" w:firstLineChars="200"/>
        <w:rPr>
          <w:rFonts w:eastAsia="仿宋_GB2312"/>
          <w:color w:val="auto"/>
          <w:sz w:val="32"/>
          <w:szCs w:val="32"/>
        </w:rPr>
      </w:pPr>
      <w:r>
        <w:rPr>
          <w:rFonts w:eastAsia="仿宋_GB2312"/>
          <w:color w:val="auto"/>
          <w:sz w:val="32"/>
          <w:szCs w:val="32"/>
        </w:rPr>
        <w:t xml:space="preserve">2022-2023学年初中适龄少年总人数8826人、失能人数18人，已入学8859人、入学率达到100.6%，其中县政府所在地初中适龄少年人数1310人、失能3人、已入学1309人，入学率100.2%；农牧区适龄少年人数7516人、失能15人、入学7550人、入学率100.7%。 </w:t>
      </w:r>
    </w:p>
    <w:p>
      <w:pPr>
        <w:spacing w:line="560" w:lineRule="exact"/>
        <w:ind w:firstLine="640" w:firstLineChars="200"/>
        <w:rPr>
          <w:rFonts w:eastAsia="仿宋_GB2312"/>
          <w:color w:val="auto"/>
          <w:sz w:val="32"/>
          <w:szCs w:val="32"/>
        </w:rPr>
      </w:pPr>
      <w:r>
        <w:rPr>
          <w:rFonts w:eastAsia="仿宋_GB2312"/>
          <w:color w:val="auto"/>
          <w:sz w:val="32"/>
          <w:szCs w:val="32"/>
        </w:rPr>
        <w:t>上学年小学在校生18959人，辍学0人，辍学率0；上学年初中在校生7577人，辍学0人，辍学率0。</w:t>
      </w:r>
    </w:p>
    <w:p>
      <w:pPr>
        <w:spacing w:line="560" w:lineRule="exact"/>
        <w:ind w:firstLine="640" w:firstLineChars="200"/>
        <w:rPr>
          <w:rFonts w:eastAsia="仿宋_GB2312"/>
          <w:color w:val="auto"/>
          <w:sz w:val="32"/>
          <w:szCs w:val="32"/>
        </w:rPr>
      </w:pPr>
      <w:r>
        <w:rPr>
          <w:rFonts w:eastAsia="仿宋_GB2312"/>
          <w:color w:val="auto"/>
          <w:sz w:val="32"/>
          <w:szCs w:val="32"/>
        </w:rPr>
        <w:t>自查自评得20分，此项与自治区义务教育均衡发展验收得分持平。</w:t>
      </w:r>
    </w:p>
    <w:p>
      <w:pPr>
        <w:spacing w:line="560" w:lineRule="exact"/>
        <w:ind w:firstLine="643" w:firstLineChars="200"/>
        <w:rPr>
          <w:rFonts w:eastAsia="仿宋_GB2312"/>
          <w:b/>
          <w:color w:val="auto"/>
          <w:sz w:val="32"/>
          <w:szCs w:val="32"/>
        </w:rPr>
      </w:pPr>
      <w:r>
        <w:rPr>
          <w:rFonts w:eastAsia="仿宋_GB2312"/>
          <w:b/>
          <w:color w:val="auto"/>
          <w:sz w:val="32"/>
          <w:szCs w:val="32"/>
        </w:rPr>
        <w:t>（2）A2-B6-*C22巩固率（20分）</w:t>
      </w:r>
    </w:p>
    <w:p>
      <w:pPr>
        <w:spacing w:line="560" w:lineRule="exact"/>
        <w:ind w:firstLine="643" w:firstLineChars="200"/>
        <w:rPr>
          <w:rFonts w:eastAsia="仿宋_GB2312"/>
          <w:color w:val="auto"/>
          <w:sz w:val="32"/>
          <w:szCs w:val="32"/>
        </w:rPr>
      </w:pPr>
      <w:r>
        <w:rPr>
          <w:rFonts w:eastAsia="仿宋_GB2312"/>
          <w:b/>
          <w:color w:val="auto"/>
          <w:sz w:val="32"/>
          <w:szCs w:val="32"/>
        </w:rPr>
        <w:t>经自查：</w:t>
      </w:r>
      <w:r>
        <w:rPr>
          <w:rFonts w:eastAsia="仿宋_GB2312"/>
          <w:color w:val="auto"/>
          <w:sz w:val="32"/>
          <w:szCs w:val="32"/>
        </w:rPr>
        <w:t>学籍计算：小学六年前招生人数3418人，死亡3人，当年小学毕业生数3374人，小学巩固率达到98.8%；初中三年前招生数2598人、死亡3人、当年初中毕业生数2567人、初中巩固率达到98.9%。</w:t>
      </w:r>
    </w:p>
    <w:p>
      <w:pPr>
        <w:spacing w:line="560" w:lineRule="exact"/>
        <w:ind w:firstLine="640" w:firstLineChars="200"/>
        <w:rPr>
          <w:rFonts w:eastAsia="仿宋_GB2312"/>
          <w:color w:val="auto"/>
          <w:sz w:val="32"/>
          <w:szCs w:val="32"/>
        </w:rPr>
      </w:pPr>
      <w:r>
        <w:rPr>
          <w:rFonts w:eastAsia="仿宋_GB2312"/>
          <w:color w:val="auto"/>
          <w:sz w:val="32"/>
          <w:szCs w:val="32"/>
        </w:rPr>
        <w:t>户籍计算：小学六年前招生3277人、死亡3人、当年小学毕业生数3238人、小学巩固率达到98.9%；初中三年前招生数2494人、死亡3人、当年初中毕业生数2473人、初中巩固率达到99.3%。</w:t>
      </w:r>
    </w:p>
    <w:p>
      <w:pPr>
        <w:spacing w:line="560" w:lineRule="exact"/>
        <w:ind w:firstLine="640" w:firstLineChars="200"/>
        <w:rPr>
          <w:rFonts w:eastAsia="仿宋_GB2312"/>
          <w:color w:val="auto"/>
          <w:sz w:val="32"/>
          <w:szCs w:val="32"/>
        </w:rPr>
      </w:pPr>
      <w:r>
        <w:rPr>
          <w:rFonts w:eastAsia="仿宋_GB2312"/>
          <w:color w:val="auto"/>
          <w:sz w:val="32"/>
          <w:szCs w:val="32"/>
        </w:rPr>
        <w:t>自查自评得20分，此项与自治区义务教育均衡发展验收得分持平。</w:t>
      </w:r>
    </w:p>
    <w:p>
      <w:pPr>
        <w:spacing w:line="560" w:lineRule="exact"/>
        <w:ind w:firstLine="643" w:firstLineChars="200"/>
        <w:rPr>
          <w:rFonts w:eastAsia="仿宋_GB2312"/>
          <w:b/>
          <w:color w:val="auto"/>
          <w:sz w:val="32"/>
          <w:szCs w:val="32"/>
        </w:rPr>
      </w:pPr>
      <w:r>
        <w:rPr>
          <w:rFonts w:eastAsia="仿宋_GB2312"/>
          <w:b/>
          <w:color w:val="auto"/>
          <w:sz w:val="32"/>
          <w:szCs w:val="32"/>
        </w:rPr>
        <w:t>（3）A2-B6-*C23残疾儿童少年入学率（20分）</w:t>
      </w:r>
    </w:p>
    <w:p>
      <w:pPr>
        <w:spacing w:line="560" w:lineRule="exact"/>
        <w:ind w:firstLine="643" w:firstLineChars="200"/>
        <w:rPr>
          <w:rFonts w:eastAsia="仿宋_GB2312"/>
          <w:color w:val="auto"/>
          <w:sz w:val="32"/>
          <w:szCs w:val="32"/>
        </w:rPr>
      </w:pPr>
      <w:r>
        <w:rPr>
          <w:rFonts w:eastAsia="仿宋_GB2312"/>
          <w:b/>
          <w:color w:val="auto"/>
          <w:sz w:val="32"/>
          <w:szCs w:val="32"/>
        </w:rPr>
        <w:t>经自查：</w:t>
      </w:r>
      <w:r>
        <w:rPr>
          <w:rFonts w:eastAsia="仿宋_GB2312"/>
          <w:color w:val="auto"/>
          <w:sz w:val="32"/>
          <w:szCs w:val="32"/>
        </w:rPr>
        <w:t>我县高度重视残疾儿童少年的就学问题，出台并下发《关于成立特克斯县残疾人教育专家委员会的通知》（特教残字〔2019〕01号）文件，成立由县教育局、县残联、县卫健委、县民政局四</w:t>
      </w:r>
      <w:r>
        <w:rPr>
          <w:rFonts w:hint="eastAsia" w:eastAsia="仿宋_GB2312"/>
          <w:color w:val="auto"/>
          <w:sz w:val="32"/>
          <w:szCs w:val="32"/>
          <w:lang w:eastAsia="zh-CN"/>
        </w:rPr>
        <w:t>部分</w:t>
      </w:r>
      <w:r>
        <w:rPr>
          <w:rFonts w:eastAsia="仿宋_GB2312"/>
          <w:color w:val="auto"/>
          <w:sz w:val="32"/>
          <w:szCs w:val="32"/>
        </w:rPr>
        <w:t>联合的残疾人教育专家委员会，对全县适龄残疾儿童少年进行入学评估，并对残疾儿童少年建立了“一生一案”。制定了《特克斯县残疾少年儿童送教上门实施方案》，督促相关责任学校根据残疾生的情况制定有针对性的送教上门方案，保证每月至少送教3-4次。2022-2023学年我县三类残疾儿童、少年总数142人，已入学142人，入学率100%。</w:t>
      </w:r>
    </w:p>
    <w:p>
      <w:pPr>
        <w:spacing w:line="560" w:lineRule="exact"/>
        <w:ind w:firstLine="640" w:firstLineChars="200"/>
        <w:rPr>
          <w:rFonts w:eastAsia="仿宋_GB2312"/>
          <w:color w:val="auto"/>
          <w:sz w:val="32"/>
          <w:szCs w:val="32"/>
        </w:rPr>
      </w:pPr>
      <w:r>
        <w:rPr>
          <w:rFonts w:eastAsia="仿宋_GB2312"/>
          <w:color w:val="auto"/>
          <w:sz w:val="32"/>
          <w:szCs w:val="32"/>
        </w:rPr>
        <w:t>自查自评得20分，此项与自治区义务教育均衡发展验收得分持平。</w:t>
      </w:r>
    </w:p>
    <w:p>
      <w:pPr>
        <w:spacing w:line="560" w:lineRule="exact"/>
        <w:ind w:firstLine="643" w:firstLineChars="200"/>
        <w:rPr>
          <w:rFonts w:eastAsia="仿宋_GB2312"/>
          <w:b/>
          <w:color w:val="auto"/>
          <w:sz w:val="32"/>
          <w:szCs w:val="32"/>
        </w:rPr>
      </w:pPr>
      <w:r>
        <w:rPr>
          <w:rFonts w:eastAsia="仿宋_GB2312"/>
          <w:b/>
          <w:color w:val="auto"/>
          <w:sz w:val="32"/>
          <w:szCs w:val="32"/>
        </w:rPr>
        <w:t>A2发展水平（14项C级指标）赋分305分，自查自评得304分。</w:t>
      </w:r>
    </w:p>
    <w:p>
      <w:pPr>
        <w:spacing w:line="560" w:lineRule="exact"/>
        <w:ind w:firstLine="640" w:firstLineChars="200"/>
        <w:rPr>
          <w:rFonts w:eastAsia="黑体"/>
          <w:color w:val="auto"/>
          <w:sz w:val="32"/>
          <w:szCs w:val="32"/>
        </w:rPr>
      </w:pPr>
      <w:r>
        <w:rPr>
          <w:rFonts w:eastAsia="黑体"/>
          <w:color w:val="auto"/>
          <w:sz w:val="32"/>
          <w:szCs w:val="32"/>
        </w:rPr>
        <w:t>三、A3管理与质量（340分）</w:t>
      </w:r>
    </w:p>
    <w:p>
      <w:pPr>
        <w:spacing w:line="560" w:lineRule="exact"/>
        <w:ind w:firstLine="640" w:firstLineChars="200"/>
        <w:rPr>
          <w:rFonts w:eastAsia="楷体_GB2312"/>
          <w:color w:val="auto"/>
          <w:sz w:val="32"/>
          <w:szCs w:val="32"/>
        </w:rPr>
      </w:pPr>
      <w:r>
        <w:rPr>
          <w:rFonts w:eastAsia="楷体_GB2312"/>
          <w:color w:val="auto"/>
          <w:sz w:val="32"/>
          <w:szCs w:val="32"/>
        </w:rPr>
        <w:t>1.A3-B7教育管理（170分）</w:t>
      </w:r>
    </w:p>
    <w:p>
      <w:pPr>
        <w:spacing w:line="560" w:lineRule="exact"/>
        <w:ind w:firstLine="643" w:firstLineChars="200"/>
        <w:rPr>
          <w:rFonts w:eastAsia="仿宋_GB2312"/>
          <w:b/>
          <w:color w:val="auto"/>
          <w:sz w:val="32"/>
          <w:szCs w:val="32"/>
        </w:rPr>
      </w:pPr>
      <w:r>
        <w:rPr>
          <w:rFonts w:eastAsia="仿宋_GB2312"/>
          <w:b/>
          <w:color w:val="auto"/>
          <w:sz w:val="32"/>
          <w:szCs w:val="32"/>
        </w:rPr>
        <w:t>（1）A3-B7-*C24平等入学（20分）</w:t>
      </w:r>
    </w:p>
    <w:p>
      <w:pPr>
        <w:spacing w:line="560" w:lineRule="exact"/>
        <w:ind w:firstLine="643" w:firstLineChars="200"/>
        <w:rPr>
          <w:rFonts w:eastAsia="仿宋_GB2312"/>
          <w:color w:val="auto"/>
          <w:sz w:val="32"/>
          <w:szCs w:val="32"/>
        </w:rPr>
      </w:pPr>
      <w:r>
        <w:rPr>
          <w:rFonts w:eastAsia="仿宋_GB2312"/>
          <w:b/>
          <w:color w:val="auto"/>
          <w:sz w:val="32"/>
          <w:szCs w:val="32"/>
        </w:rPr>
        <w:t>经自查：</w:t>
      </w:r>
      <w:r>
        <w:rPr>
          <w:rFonts w:eastAsia="仿宋_GB2312"/>
          <w:color w:val="auto"/>
          <w:sz w:val="32"/>
          <w:szCs w:val="32"/>
        </w:rPr>
        <w:t>为保障流动人口（含进城务工人员）随迁子女享受平等入学的权利，我县印发《特克斯县流动人员（含进城务工人员）随迁子女平等就学意见》，使进城务工人员随迁子女均能同我县适龄儿童少年共同在公办学校平等就读，免费接受义务教育，并在教育教学、奖励、评优评先、入团入队等各方面与当地学生一视同仁，实行统一管理、统一要求，切实保证教育教学质量。制定《特克斯县进城务工人员随迁子女平等就学制度》《特克斯县2022年幼儿园及义务教育学校招生入学实施细则》，进一步规范转入、转出手续，确保流动人员（含进城务工人员）随迁子女不辍学，对符合条件的进城务工人员随迁子女与本地户籍人口子女同等对待，建立监督举报制度，接受社会和媒体监督，为进一步实现优质教育资源共享目标奠定了基础。2022</w:t>
      </w:r>
      <w:r>
        <w:rPr>
          <w:rFonts w:hint="eastAsia" w:eastAsia="仿宋_GB2312"/>
          <w:color w:val="auto"/>
          <w:sz w:val="32"/>
          <w:szCs w:val="32"/>
          <w:lang w:eastAsia="zh-CN"/>
        </w:rPr>
        <w:t>—</w:t>
      </w:r>
      <w:r>
        <w:rPr>
          <w:rFonts w:eastAsia="仿宋_GB2312"/>
          <w:color w:val="auto"/>
          <w:sz w:val="32"/>
          <w:szCs w:val="32"/>
        </w:rPr>
        <w:t>2023学年，特克斯县进城务工人员随迁子女176人（初中103 人、小学73人）在校就读，与现有学生混合编班，同等享受教育政策。</w:t>
      </w:r>
    </w:p>
    <w:p>
      <w:pPr>
        <w:spacing w:line="560" w:lineRule="exact"/>
        <w:ind w:firstLine="640" w:firstLineChars="200"/>
        <w:rPr>
          <w:rFonts w:eastAsia="仿宋_GB2312"/>
          <w:color w:val="auto"/>
          <w:sz w:val="32"/>
          <w:szCs w:val="32"/>
        </w:rPr>
      </w:pPr>
      <w:r>
        <w:rPr>
          <w:rFonts w:eastAsia="仿宋_GB2312"/>
          <w:color w:val="auto"/>
          <w:sz w:val="32"/>
          <w:szCs w:val="32"/>
        </w:rPr>
        <w:t>自查自评得20分，此项与自治区义务教育均衡发展验收得分持平。</w:t>
      </w:r>
    </w:p>
    <w:p>
      <w:pPr>
        <w:spacing w:line="560" w:lineRule="exact"/>
        <w:ind w:firstLine="643" w:firstLineChars="200"/>
        <w:rPr>
          <w:rFonts w:eastAsia="仿宋_GB2312"/>
          <w:b/>
          <w:color w:val="auto"/>
          <w:sz w:val="32"/>
          <w:szCs w:val="32"/>
        </w:rPr>
      </w:pPr>
      <w:r>
        <w:rPr>
          <w:rFonts w:eastAsia="仿宋_GB2312"/>
          <w:b/>
          <w:color w:val="auto"/>
          <w:sz w:val="32"/>
          <w:szCs w:val="32"/>
        </w:rPr>
        <w:t>（2）A3-B7-*C25关爱留守儿童（20分）</w:t>
      </w:r>
    </w:p>
    <w:p>
      <w:pPr>
        <w:spacing w:line="560" w:lineRule="exact"/>
        <w:ind w:firstLine="643" w:firstLineChars="200"/>
        <w:rPr>
          <w:rFonts w:eastAsia="仿宋_GB2312"/>
          <w:color w:val="auto"/>
          <w:sz w:val="32"/>
          <w:szCs w:val="32"/>
        </w:rPr>
      </w:pPr>
      <w:r>
        <w:rPr>
          <w:rFonts w:eastAsia="仿宋_GB2312"/>
          <w:b/>
          <w:color w:val="auto"/>
          <w:sz w:val="32"/>
          <w:szCs w:val="32"/>
        </w:rPr>
        <w:t>经自查：</w:t>
      </w:r>
      <w:r>
        <w:rPr>
          <w:rFonts w:eastAsia="仿宋_GB2312"/>
          <w:color w:val="auto"/>
          <w:sz w:val="32"/>
          <w:szCs w:val="32"/>
        </w:rPr>
        <w:t>县委、政府高度重视留守儿童教育，把留守儿童教育工作列入政府重要工作内容，印发《加强留守儿童关爱保护工作的实施方案》，指导各乡镇和有关单位做好留守儿童的</w:t>
      </w:r>
      <w:r>
        <w:rPr>
          <w:rFonts w:hint="eastAsia" w:eastAsia="仿宋_GB2312"/>
          <w:color w:val="auto"/>
          <w:sz w:val="32"/>
          <w:szCs w:val="32"/>
          <w:lang w:eastAsia="zh-CN"/>
        </w:rPr>
        <w:t>关心</w:t>
      </w:r>
      <w:r>
        <w:rPr>
          <w:rFonts w:eastAsia="仿宋_GB2312"/>
          <w:color w:val="auto"/>
          <w:sz w:val="32"/>
          <w:szCs w:val="32"/>
        </w:rPr>
        <w:t>关爱工作，制定《关于做好特克斯县留守儿童关爱工作的意见》，保障每位适龄儿童接受义务教育的权利，促进广大留守儿童平安健康成长。</w:t>
      </w:r>
      <w:r>
        <w:rPr>
          <w:rFonts w:eastAsia="仿宋_GB2312"/>
          <w:b/>
          <w:color w:val="auto"/>
          <w:sz w:val="32"/>
          <w:szCs w:val="32"/>
        </w:rPr>
        <w:t>一是</w:t>
      </w:r>
      <w:r>
        <w:rPr>
          <w:rFonts w:eastAsia="仿宋_GB2312"/>
          <w:color w:val="auto"/>
          <w:sz w:val="32"/>
          <w:szCs w:val="32"/>
        </w:rPr>
        <w:t>建立留守儿童“一生一档”。每学期初，各学校组织教师对本校的留守儿童情况进行摸底调查，详细了解留守儿童家庭情况、家长务工地点、联系电话、监护人等情况，并及时建档。</w:t>
      </w:r>
      <w:r>
        <w:rPr>
          <w:rFonts w:eastAsia="仿宋_GB2312"/>
          <w:b/>
          <w:color w:val="auto"/>
          <w:sz w:val="32"/>
          <w:szCs w:val="32"/>
        </w:rPr>
        <w:t>二是</w:t>
      </w:r>
      <w:r>
        <w:rPr>
          <w:rFonts w:eastAsia="仿宋_GB2312"/>
          <w:color w:val="auto"/>
          <w:sz w:val="32"/>
          <w:szCs w:val="32"/>
        </w:rPr>
        <w:t>学校开展关爱活动。在学习上优先辅导，生活上优先照顾，学校为在本校住宿或中午不能回家的留守儿童提供学习、就餐的场地，开放阅览室和活动室，尽力解决他们的实际困难。经摸底，2022</w:t>
      </w:r>
      <w:r>
        <w:rPr>
          <w:rFonts w:hint="eastAsia" w:eastAsia="仿宋_GB2312"/>
          <w:color w:val="auto"/>
          <w:sz w:val="32"/>
          <w:szCs w:val="32"/>
          <w:lang w:eastAsia="zh-CN"/>
        </w:rPr>
        <w:t>—</w:t>
      </w:r>
      <w:r>
        <w:rPr>
          <w:rFonts w:eastAsia="仿宋_GB2312"/>
          <w:color w:val="auto"/>
          <w:sz w:val="32"/>
          <w:szCs w:val="32"/>
        </w:rPr>
        <w:t>2023学年全县共有54名留守儿童（其中小学23人，初中31人），各校根据实际情况及时做好留守儿童的各项帮扶工作。</w:t>
      </w:r>
    </w:p>
    <w:p>
      <w:pPr>
        <w:spacing w:line="560" w:lineRule="exact"/>
        <w:ind w:firstLine="640" w:firstLineChars="200"/>
        <w:rPr>
          <w:rFonts w:eastAsia="仿宋_GB2312"/>
          <w:color w:val="auto"/>
          <w:sz w:val="32"/>
          <w:szCs w:val="32"/>
        </w:rPr>
      </w:pPr>
      <w:r>
        <w:rPr>
          <w:rFonts w:eastAsia="仿宋_GB2312"/>
          <w:color w:val="auto"/>
          <w:sz w:val="32"/>
          <w:szCs w:val="32"/>
        </w:rPr>
        <w:t>自查自评得20分，此项与自治区义务教育均衡发展验收得分持平。</w:t>
      </w:r>
    </w:p>
    <w:p>
      <w:pPr>
        <w:spacing w:line="560" w:lineRule="exact"/>
        <w:ind w:firstLine="643" w:firstLineChars="200"/>
        <w:rPr>
          <w:rFonts w:eastAsia="仿宋_GB2312"/>
          <w:b/>
          <w:color w:val="auto"/>
          <w:sz w:val="32"/>
          <w:szCs w:val="32"/>
        </w:rPr>
      </w:pPr>
      <w:r>
        <w:rPr>
          <w:rFonts w:eastAsia="仿宋_GB2312"/>
          <w:b/>
          <w:color w:val="auto"/>
          <w:sz w:val="32"/>
          <w:szCs w:val="32"/>
        </w:rPr>
        <w:t>（3）A3-B7-*C26高中招生（10分）</w:t>
      </w:r>
    </w:p>
    <w:p>
      <w:pPr>
        <w:spacing w:line="560" w:lineRule="exact"/>
        <w:ind w:firstLine="643" w:firstLineChars="200"/>
        <w:rPr>
          <w:rFonts w:eastAsia="仿宋_GB2312"/>
          <w:color w:val="auto"/>
          <w:sz w:val="32"/>
          <w:szCs w:val="32"/>
        </w:rPr>
      </w:pPr>
      <w:r>
        <w:rPr>
          <w:rFonts w:eastAsia="仿宋_GB2312"/>
          <w:b/>
          <w:color w:val="auto"/>
          <w:sz w:val="32"/>
          <w:szCs w:val="32"/>
        </w:rPr>
        <w:t>经自查：</w:t>
      </w:r>
      <w:r>
        <w:rPr>
          <w:rFonts w:eastAsia="仿宋_GB2312"/>
          <w:color w:val="auto"/>
          <w:sz w:val="32"/>
          <w:szCs w:val="32"/>
        </w:rPr>
        <w:t>我县严格按照州教育局《伊犁州直初中学业水平考试与高中招生实施方案的通知》文件规定，制定《特克斯县2022年普通高中招生工作实施方案》，强力落实招生政策，对学校招生工作进行全方位的检查、督促，取消以升学考试科目分数简单相加作为高中阶段唯一录取标准的做法，采用等级制加综合素质评定的录取办法，确保我县高级中学招生入学秩序更加规范，同时加大职业兜底工作，应入尽入。</w:t>
      </w:r>
      <w:r>
        <w:rPr>
          <w:rFonts w:eastAsia="仿宋_GB2312"/>
          <w:color w:val="auto"/>
          <w:sz w:val="32"/>
          <w:szCs w:val="32"/>
          <w:shd w:val="clear" w:color="auto" w:fill="FFFFFF"/>
        </w:rPr>
        <w:t>对已录取未报到或疑似辍学学生及时劝返复学，各初级中学精准掌握本校毕业学生数量和去向，加强与县职业技术学校沟通协调，</w:t>
      </w:r>
      <w:r>
        <w:rPr>
          <w:rFonts w:hint="eastAsia" w:eastAsia="仿宋_GB2312"/>
          <w:color w:val="auto"/>
          <w:sz w:val="32"/>
          <w:szCs w:val="32"/>
          <w:shd w:val="clear" w:color="auto" w:fill="FFFFFF"/>
          <w:lang w:eastAsia="zh-CN"/>
        </w:rPr>
        <w:t>将</w:t>
      </w:r>
      <w:r>
        <w:rPr>
          <w:rFonts w:eastAsia="仿宋_GB2312"/>
          <w:color w:val="auto"/>
          <w:sz w:val="32"/>
          <w:szCs w:val="32"/>
          <w:shd w:val="clear" w:color="auto" w:fill="FFFFFF"/>
        </w:rPr>
        <w:t>初中毕业未升入普通高中及其他职业技术学校</w:t>
      </w:r>
      <w:r>
        <w:rPr>
          <w:rFonts w:hint="eastAsia" w:eastAsia="仿宋_GB2312"/>
          <w:color w:val="auto"/>
          <w:sz w:val="32"/>
          <w:szCs w:val="32"/>
          <w:shd w:val="clear" w:color="auto" w:fill="FFFFFF"/>
          <w:lang w:eastAsia="zh-CN"/>
        </w:rPr>
        <w:t>未录取</w:t>
      </w:r>
      <w:r>
        <w:rPr>
          <w:rFonts w:eastAsia="仿宋_GB2312"/>
          <w:color w:val="auto"/>
          <w:sz w:val="32"/>
          <w:szCs w:val="32"/>
          <w:shd w:val="clear" w:color="auto" w:fill="FFFFFF"/>
        </w:rPr>
        <w:t>的学生名单推送各乡镇场，积极发挥乡镇、村委会作用，各乡镇、学校安排专人进行包联，入户走访，加强宣传教育，做好学生返校思想工作，确保初中毕业未升入高中的学生全部</w:t>
      </w:r>
      <w:r>
        <w:rPr>
          <w:rFonts w:hint="eastAsia" w:eastAsia="仿宋_GB2312"/>
          <w:color w:val="auto"/>
          <w:sz w:val="32"/>
          <w:szCs w:val="32"/>
          <w:shd w:val="clear" w:color="auto" w:fill="FFFFFF"/>
          <w:lang w:eastAsia="zh-CN"/>
        </w:rPr>
        <w:t>进</w:t>
      </w:r>
      <w:r>
        <w:rPr>
          <w:rFonts w:eastAsia="仿宋_GB2312"/>
          <w:color w:val="auto"/>
          <w:sz w:val="32"/>
          <w:szCs w:val="32"/>
          <w:shd w:val="clear" w:color="auto" w:fill="FFFFFF"/>
        </w:rPr>
        <w:t>入职业技术学校，接受职业教育。</w:t>
      </w:r>
    </w:p>
    <w:p>
      <w:pPr>
        <w:spacing w:line="560" w:lineRule="exact"/>
        <w:ind w:firstLine="640" w:firstLineChars="200"/>
        <w:rPr>
          <w:rFonts w:eastAsia="仿宋_GB2312"/>
          <w:color w:val="auto"/>
          <w:sz w:val="32"/>
          <w:szCs w:val="32"/>
        </w:rPr>
      </w:pPr>
      <w:r>
        <w:rPr>
          <w:rFonts w:eastAsia="仿宋_GB2312"/>
          <w:color w:val="auto"/>
          <w:sz w:val="32"/>
          <w:szCs w:val="32"/>
        </w:rPr>
        <w:t>2022年应届毕业生2565人</w:t>
      </w:r>
      <w:r>
        <w:rPr>
          <w:rFonts w:hint="eastAsia" w:eastAsia="仿宋_GB2312"/>
          <w:color w:val="auto"/>
          <w:sz w:val="32"/>
          <w:szCs w:val="32"/>
          <w:lang w:eastAsia="zh-CN"/>
        </w:rPr>
        <w:t>（</w:t>
      </w:r>
      <w:r>
        <w:rPr>
          <w:rFonts w:hint="eastAsia" w:eastAsia="仿宋_GB2312"/>
          <w:color w:val="auto"/>
          <w:sz w:val="32"/>
          <w:szCs w:val="32"/>
          <w:lang w:val="en-US" w:eastAsia="zh-CN"/>
        </w:rPr>
        <w:t>2人死亡、1人上足球班</w:t>
      </w:r>
      <w:r>
        <w:rPr>
          <w:rFonts w:hint="eastAsia" w:eastAsia="仿宋_GB2312"/>
          <w:color w:val="auto"/>
          <w:sz w:val="32"/>
          <w:szCs w:val="32"/>
          <w:lang w:eastAsia="zh-CN"/>
        </w:rPr>
        <w:t>）</w:t>
      </w:r>
      <w:r>
        <w:rPr>
          <w:rFonts w:eastAsia="仿宋_GB2312"/>
          <w:color w:val="auto"/>
          <w:sz w:val="32"/>
          <w:szCs w:val="32"/>
        </w:rPr>
        <w:t>，其中普通高中录取1413人，内高班录取12人，示范性高中录取16人，中职录取1121人。</w:t>
      </w:r>
    </w:p>
    <w:p>
      <w:pPr>
        <w:spacing w:line="560" w:lineRule="exact"/>
        <w:ind w:firstLine="640" w:firstLineChars="200"/>
        <w:rPr>
          <w:rFonts w:eastAsia="仿宋_GB2312"/>
          <w:color w:val="auto"/>
          <w:sz w:val="32"/>
          <w:szCs w:val="32"/>
        </w:rPr>
      </w:pPr>
      <w:r>
        <w:rPr>
          <w:rFonts w:eastAsia="仿宋_GB2312"/>
          <w:color w:val="auto"/>
          <w:sz w:val="32"/>
          <w:szCs w:val="32"/>
        </w:rPr>
        <w:t>自查自评得10分，此项与自治区义务教育均衡发展验收得分持平。</w:t>
      </w:r>
    </w:p>
    <w:p>
      <w:pPr>
        <w:spacing w:line="560" w:lineRule="exact"/>
        <w:ind w:firstLine="643" w:firstLineChars="200"/>
        <w:rPr>
          <w:rFonts w:eastAsia="仿宋_GB2312"/>
          <w:b/>
          <w:color w:val="auto"/>
          <w:sz w:val="32"/>
          <w:szCs w:val="32"/>
        </w:rPr>
      </w:pPr>
      <w:r>
        <w:rPr>
          <w:rFonts w:eastAsia="仿宋_GB2312"/>
          <w:b/>
          <w:color w:val="auto"/>
          <w:sz w:val="32"/>
          <w:szCs w:val="32"/>
        </w:rPr>
        <w:t>（4）A3-B7-*C27课程设置（20分）</w:t>
      </w:r>
    </w:p>
    <w:p>
      <w:pPr>
        <w:spacing w:line="560" w:lineRule="exact"/>
        <w:ind w:firstLine="643" w:firstLineChars="200"/>
        <w:rPr>
          <w:rFonts w:eastAsia="仿宋_GB2312"/>
          <w:color w:val="auto"/>
          <w:sz w:val="32"/>
          <w:szCs w:val="32"/>
        </w:rPr>
      </w:pPr>
      <w:r>
        <w:rPr>
          <w:rFonts w:eastAsia="仿宋_GB2312"/>
          <w:b/>
          <w:color w:val="auto"/>
          <w:sz w:val="32"/>
          <w:szCs w:val="32"/>
        </w:rPr>
        <w:t>经自查：</w:t>
      </w:r>
      <w:r>
        <w:rPr>
          <w:rFonts w:eastAsia="仿宋_GB2312"/>
          <w:color w:val="auto"/>
          <w:sz w:val="32"/>
          <w:szCs w:val="32"/>
        </w:rPr>
        <w:t>我县严格贯彻落实国家教育方针、课程标准（2022版）、《义务教育阶段课程设置方案》和《关于印发&lt;新疆维吾尔自治区中小学教学常规管理基本要求&gt;的通知》（新教厅</w:t>
      </w:r>
      <w:r>
        <w:rPr>
          <w:color w:val="auto"/>
          <w:sz w:val="32"/>
          <w:szCs w:val="32"/>
        </w:rPr>
        <w:t>〔</w:t>
      </w:r>
      <w:r>
        <w:rPr>
          <w:rFonts w:eastAsia="仿宋_GB2312"/>
          <w:color w:val="auto"/>
          <w:sz w:val="32"/>
          <w:szCs w:val="32"/>
        </w:rPr>
        <w:t>2021</w:t>
      </w:r>
      <w:r>
        <w:rPr>
          <w:color w:val="auto"/>
          <w:sz w:val="32"/>
          <w:szCs w:val="32"/>
        </w:rPr>
        <w:t>〕</w:t>
      </w:r>
      <w:r>
        <w:rPr>
          <w:rFonts w:eastAsia="仿宋_GB2312"/>
          <w:color w:val="auto"/>
          <w:sz w:val="32"/>
          <w:szCs w:val="32"/>
        </w:rPr>
        <w:t>32）号》文件精神，结合实际，</w:t>
      </w:r>
      <w:r>
        <w:rPr>
          <w:rFonts w:hint="eastAsia" w:eastAsia="仿宋_GB2312"/>
          <w:color w:val="auto"/>
          <w:sz w:val="32"/>
          <w:szCs w:val="32"/>
          <w:lang w:eastAsia="zh-CN"/>
        </w:rPr>
        <w:t>印发</w:t>
      </w:r>
      <w:r>
        <w:rPr>
          <w:rFonts w:eastAsia="仿宋_GB2312"/>
          <w:color w:val="auto"/>
          <w:sz w:val="32"/>
          <w:szCs w:val="32"/>
        </w:rPr>
        <w:t>《关于印发&lt;特克斯县中小学教学常规管理制度&gt;的通知》（特教发</w:t>
      </w:r>
      <w:r>
        <w:rPr>
          <w:color w:val="auto"/>
          <w:sz w:val="32"/>
          <w:szCs w:val="32"/>
        </w:rPr>
        <w:t>〔</w:t>
      </w:r>
      <w:r>
        <w:rPr>
          <w:rFonts w:eastAsia="仿宋_GB2312"/>
          <w:color w:val="auto"/>
          <w:sz w:val="32"/>
          <w:szCs w:val="32"/>
        </w:rPr>
        <w:t>2022</w:t>
      </w:r>
      <w:r>
        <w:rPr>
          <w:color w:val="auto"/>
          <w:sz w:val="32"/>
          <w:szCs w:val="32"/>
        </w:rPr>
        <w:t>〕</w:t>
      </w:r>
      <w:r>
        <w:rPr>
          <w:rFonts w:eastAsia="仿宋_GB2312"/>
          <w:color w:val="auto"/>
          <w:sz w:val="32"/>
          <w:szCs w:val="32"/>
        </w:rPr>
        <w:t>6）号）和《特克斯县关于进一步规范义务教育阶段课程管理工作的指导意见（修订稿）》（特教发</w:t>
      </w:r>
      <w:r>
        <w:rPr>
          <w:rFonts w:hint="eastAsia" w:ascii="宋体" w:hAnsi="宋体"/>
          <w:color w:val="auto"/>
          <w:sz w:val="32"/>
          <w:szCs w:val="32"/>
        </w:rPr>
        <w:t>〔</w:t>
      </w:r>
      <w:r>
        <w:rPr>
          <w:rFonts w:eastAsia="仿宋_GB2312"/>
          <w:color w:val="auto"/>
          <w:sz w:val="32"/>
          <w:szCs w:val="32"/>
        </w:rPr>
        <w:t>2022</w:t>
      </w:r>
      <w:r>
        <w:rPr>
          <w:rFonts w:hint="eastAsia" w:ascii="宋体" w:hAnsi="宋体"/>
          <w:color w:val="auto"/>
          <w:sz w:val="32"/>
          <w:szCs w:val="32"/>
        </w:rPr>
        <w:t>〕</w:t>
      </w:r>
      <w:r>
        <w:rPr>
          <w:rFonts w:eastAsia="仿宋_GB2312"/>
          <w:color w:val="auto"/>
          <w:sz w:val="32"/>
          <w:szCs w:val="32"/>
        </w:rPr>
        <w:t>73）号），切实开足开齐各类课程，并做到科学合理安排各学科课程。</w:t>
      </w:r>
      <w:r>
        <w:rPr>
          <w:rFonts w:eastAsia="仿宋_GB2312"/>
          <w:b/>
          <w:color w:val="auto"/>
          <w:sz w:val="32"/>
          <w:szCs w:val="32"/>
        </w:rPr>
        <w:t>一是</w:t>
      </w:r>
      <w:r>
        <w:rPr>
          <w:rFonts w:eastAsia="仿宋_GB2312"/>
          <w:color w:val="auto"/>
          <w:sz w:val="32"/>
          <w:szCs w:val="32"/>
        </w:rPr>
        <w:t>每学期开学前一周，教研中心对全县义务教育段中小学校课程表进行审核，坚持科学合理地开设各级各类课程。</w:t>
      </w:r>
      <w:r>
        <w:rPr>
          <w:rFonts w:eastAsia="仿宋_GB2312"/>
          <w:b/>
          <w:color w:val="auto"/>
          <w:sz w:val="32"/>
          <w:szCs w:val="32"/>
        </w:rPr>
        <w:t>二是</w:t>
      </w:r>
      <w:r>
        <w:rPr>
          <w:rFonts w:eastAsia="仿宋_GB2312"/>
          <w:color w:val="auto"/>
          <w:sz w:val="32"/>
          <w:szCs w:val="32"/>
        </w:rPr>
        <w:t>组织开展课程设置和新课程标准县、校两级培训，各中小学校能全面落实国家和自治区课程方案，执行课程标准</w:t>
      </w:r>
      <w:r>
        <w:rPr>
          <w:rFonts w:hint="eastAsia" w:eastAsia="仿宋_GB2312"/>
          <w:color w:val="auto"/>
          <w:sz w:val="32"/>
          <w:szCs w:val="32"/>
        </w:rPr>
        <w:t>。</w:t>
      </w:r>
      <w:r>
        <w:rPr>
          <w:rFonts w:eastAsia="仿宋_GB2312"/>
          <w:b/>
          <w:color w:val="auto"/>
          <w:sz w:val="32"/>
          <w:szCs w:val="32"/>
        </w:rPr>
        <w:t>三是</w:t>
      </w:r>
      <w:r>
        <w:rPr>
          <w:rFonts w:eastAsia="仿宋_GB2312"/>
          <w:color w:val="auto"/>
          <w:sz w:val="32"/>
          <w:szCs w:val="32"/>
        </w:rPr>
        <w:t>加强各学校教学常规管理，教研中心每学年对全县中小学进行全覆盖教学常规检查指导，将各学校存在的共性和个性问题当场反馈给学校领导及教师，以训代查、以查促教。</w:t>
      </w:r>
      <w:r>
        <w:rPr>
          <w:rFonts w:eastAsia="仿宋_GB2312"/>
          <w:b/>
          <w:color w:val="auto"/>
          <w:sz w:val="32"/>
          <w:szCs w:val="32"/>
        </w:rPr>
        <w:t>四是</w:t>
      </w:r>
      <w:r>
        <w:rPr>
          <w:rFonts w:eastAsia="仿宋_GB2312"/>
          <w:color w:val="auto"/>
          <w:sz w:val="32"/>
          <w:szCs w:val="32"/>
        </w:rPr>
        <w:t>严格按照自治区《关于进一步做好自治区义务教育阶段学校免费提供教科书工作的通知》和</w:t>
      </w:r>
      <w:r>
        <w:rPr>
          <w:rFonts w:hint="eastAsia" w:eastAsia="仿宋_GB2312"/>
          <w:color w:val="auto"/>
          <w:sz w:val="32"/>
          <w:szCs w:val="32"/>
        </w:rPr>
        <w:t>自治州</w:t>
      </w:r>
      <w:r>
        <w:rPr>
          <w:rFonts w:eastAsia="仿宋_GB2312"/>
          <w:color w:val="auto"/>
          <w:sz w:val="32"/>
          <w:szCs w:val="32"/>
        </w:rPr>
        <w:t>《关于进一步加强中小学教辅用书使用发行监管工作的通知》文件要求，在自治区教育厅发布的《中小学教学用书目录》《公告教辅用书目录》等审读过的范围来征订教科书</w:t>
      </w:r>
      <w:r>
        <w:rPr>
          <w:rFonts w:hint="eastAsia" w:eastAsia="仿宋_GB2312"/>
          <w:color w:val="auto"/>
          <w:sz w:val="32"/>
          <w:szCs w:val="32"/>
        </w:rPr>
        <w:t>，采用国家统编教材</w:t>
      </w:r>
      <w:r>
        <w:rPr>
          <w:rFonts w:eastAsia="仿宋_GB2312"/>
          <w:color w:val="auto"/>
          <w:sz w:val="32"/>
          <w:szCs w:val="32"/>
        </w:rPr>
        <w:t>。</w:t>
      </w:r>
    </w:p>
    <w:p>
      <w:pPr>
        <w:spacing w:line="560" w:lineRule="exact"/>
        <w:ind w:firstLine="640" w:firstLineChars="200"/>
        <w:rPr>
          <w:rFonts w:eastAsia="仿宋_GB2312"/>
          <w:color w:val="auto"/>
          <w:sz w:val="32"/>
          <w:szCs w:val="32"/>
        </w:rPr>
      </w:pPr>
      <w:r>
        <w:rPr>
          <w:rFonts w:eastAsia="仿宋_GB2312"/>
          <w:color w:val="auto"/>
          <w:sz w:val="32"/>
          <w:szCs w:val="32"/>
        </w:rPr>
        <w:t>自查自评得20分，此项与自治区义务教育均衡发展验收得分持平。</w:t>
      </w:r>
    </w:p>
    <w:p>
      <w:pPr>
        <w:spacing w:line="560" w:lineRule="exact"/>
        <w:ind w:firstLine="643" w:firstLineChars="200"/>
        <w:rPr>
          <w:rFonts w:eastAsia="仿宋_GB2312"/>
          <w:b/>
          <w:color w:val="auto"/>
          <w:sz w:val="32"/>
          <w:szCs w:val="32"/>
        </w:rPr>
      </w:pPr>
      <w:r>
        <w:rPr>
          <w:rFonts w:eastAsia="仿宋_GB2312"/>
          <w:b/>
          <w:color w:val="auto"/>
          <w:sz w:val="32"/>
          <w:szCs w:val="32"/>
        </w:rPr>
        <w:t>（5）A3-B7-*C28学生减负（20分）</w:t>
      </w:r>
    </w:p>
    <w:p>
      <w:pPr>
        <w:spacing w:line="560" w:lineRule="exact"/>
        <w:ind w:firstLine="643" w:firstLineChars="200"/>
        <w:rPr>
          <w:rFonts w:eastAsia="仿宋_GB2312"/>
          <w:color w:val="auto"/>
          <w:sz w:val="32"/>
          <w:szCs w:val="32"/>
        </w:rPr>
      </w:pPr>
      <w:r>
        <w:rPr>
          <w:rFonts w:eastAsia="仿宋_GB2312"/>
          <w:b/>
          <w:color w:val="auto"/>
          <w:sz w:val="32"/>
          <w:szCs w:val="32"/>
        </w:rPr>
        <w:t>经自查：</w:t>
      </w:r>
      <w:r>
        <w:rPr>
          <w:rFonts w:hint="eastAsia" w:ascii="仿宋_GB2312" w:eastAsia="仿宋_GB2312"/>
          <w:color w:val="auto"/>
          <w:sz w:val="32"/>
          <w:szCs w:val="32"/>
        </w:rPr>
        <w:t>根据《新疆维吾尔自治区规范中小学办学行为管理暂行办法》文件精神，制定《关于印发特克斯县贯彻落实&lt;自治区规范中小学办学行为管理暂行办法&gt;实施方案的通知》（特政办发〔2018〕149号）、《特克斯县减轻中小学课业负担实施方案》（特政办发〔2018〕31号）、《关于切实减轻中小学生课业负担，开展校外培训机构专项治理实施方案》《特克斯县关于进一步减轻义务教育阶段学生作业负担和校外培训负担工作实施方案》《特克斯县五项管理实施方案》，广泛宣传规范中小学办学行为有关文件精神，层层签订相关责任书，定期开展规范办学行为的专项检查；坚持依法治校，阳光招生，规范办学行为，严禁学校乱招生、乱办班、乱补课、乱收费；严格落实双减和五项管理工作，根据国家和自治区课程设置方案，开足开齐课程，按照“一教一辅”规范教辅教材征订；成立校外培训机构专项治理领导小组，对县域内培训机构进行全覆盖的清理整顿，减少学生作业量，切实减轻学生课业负担。</w:t>
      </w:r>
    </w:p>
    <w:p>
      <w:pPr>
        <w:spacing w:line="560" w:lineRule="exact"/>
        <w:ind w:firstLine="640" w:firstLineChars="200"/>
        <w:rPr>
          <w:rFonts w:eastAsia="仿宋_GB2312"/>
          <w:color w:val="auto"/>
          <w:sz w:val="32"/>
          <w:szCs w:val="32"/>
        </w:rPr>
      </w:pPr>
      <w:r>
        <w:rPr>
          <w:rFonts w:eastAsia="仿宋_GB2312"/>
          <w:color w:val="auto"/>
          <w:sz w:val="32"/>
          <w:szCs w:val="32"/>
        </w:rPr>
        <w:t>自查自评得</w:t>
      </w:r>
      <w:r>
        <w:rPr>
          <w:rFonts w:hint="eastAsia" w:eastAsia="仿宋_GB2312"/>
          <w:color w:val="auto"/>
          <w:sz w:val="32"/>
          <w:szCs w:val="32"/>
          <w:lang w:val="en-US" w:eastAsia="zh-CN"/>
        </w:rPr>
        <w:t>19</w:t>
      </w:r>
      <w:r>
        <w:rPr>
          <w:rFonts w:eastAsia="仿宋_GB2312"/>
          <w:color w:val="auto"/>
          <w:sz w:val="32"/>
          <w:szCs w:val="32"/>
        </w:rPr>
        <w:t>分，此项</w:t>
      </w:r>
      <w:r>
        <w:rPr>
          <w:rFonts w:hint="eastAsia" w:eastAsia="仿宋_GB2312"/>
          <w:color w:val="auto"/>
          <w:sz w:val="32"/>
          <w:szCs w:val="32"/>
          <w:lang w:eastAsia="zh-CN"/>
        </w:rPr>
        <w:t>与</w:t>
      </w:r>
      <w:r>
        <w:rPr>
          <w:rFonts w:eastAsia="仿宋_GB2312"/>
          <w:color w:val="auto"/>
          <w:sz w:val="32"/>
          <w:szCs w:val="32"/>
        </w:rPr>
        <w:t>自治区义务教育均衡发展验收得分持平。</w:t>
      </w:r>
    </w:p>
    <w:p>
      <w:pPr>
        <w:spacing w:line="560" w:lineRule="exact"/>
        <w:ind w:firstLine="643" w:firstLineChars="200"/>
        <w:rPr>
          <w:rFonts w:eastAsia="仿宋_GB2312"/>
          <w:b/>
          <w:color w:val="auto"/>
          <w:sz w:val="32"/>
          <w:szCs w:val="32"/>
        </w:rPr>
      </w:pPr>
      <w:r>
        <w:rPr>
          <w:rFonts w:eastAsia="仿宋_GB2312"/>
          <w:b/>
          <w:color w:val="auto"/>
          <w:sz w:val="32"/>
          <w:szCs w:val="32"/>
        </w:rPr>
        <w:t>（6）A3-B7-*C29配置均衡（20分）</w:t>
      </w:r>
    </w:p>
    <w:p>
      <w:pPr>
        <w:spacing w:line="560" w:lineRule="exact"/>
        <w:ind w:firstLine="643" w:firstLineChars="200"/>
        <w:rPr>
          <w:rFonts w:eastAsia="仿宋_GB2312"/>
          <w:color w:val="auto"/>
          <w:sz w:val="32"/>
          <w:szCs w:val="32"/>
        </w:rPr>
      </w:pPr>
      <w:r>
        <w:rPr>
          <w:rFonts w:eastAsia="仿宋_GB2312"/>
          <w:b/>
          <w:color w:val="auto"/>
          <w:sz w:val="32"/>
          <w:szCs w:val="32"/>
        </w:rPr>
        <w:t>经自查：</w:t>
      </w:r>
      <w:r>
        <w:rPr>
          <w:rFonts w:eastAsia="仿宋_GB2312"/>
          <w:color w:val="auto"/>
          <w:sz w:val="32"/>
          <w:szCs w:val="32"/>
        </w:rPr>
        <w:t xml:space="preserve">印发《特克斯县2022年幼儿园及义务教育学校招生入学实施细则》（特教发〔2022〕52号）文件，坚持义务教育就近入学的原则，每年及时摸底片区内学生分布情况，动态合理调整学区，科学分流生源，所有义务教育学校无重点校、重点班，择校现象基本得到了遏制；制定《特克斯县义务教育阶段学校均衡编班工作实施方案》（特教发〔2018〕142号），起始年级招生时学校参照学生年龄、性别、族别、户籍等因素均衡编班，并依照教师的年龄、学历、职称、教龄等均衡分配到各年级、各班。 </w:t>
      </w:r>
    </w:p>
    <w:p>
      <w:pPr>
        <w:spacing w:line="560" w:lineRule="exact"/>
        <w:ind w:firstLine="640" w:firstLineChars="200"/>
        <w:rPr>
          <w:rFonts w:eastAsia="仿宋_GB2312"/>
          <w:color w:val="auto"/>
          <w:sz w:val="32"/>
          <w:szCs w:val="32"/>
        </w:rPr>
      </w:pPr>
      <w:r>
        <w:rPr>
          <w:rFonts w:eastAsia="仿宋_GB2312"/>
          <w:color w:val="auto"/>
          <w:sz w:val="32"/>
          <w:szCs w:val="32"/>
        </w:rPr>
        <w:t>自查自评得20分，此项与自治区义务教育均衡发展验收得分持平。</w:t>
      </w:r>
    </w:p>
    <w:p>
      <w:pPr>
        <w:spacing w:line="560" w:lineRule="exact"/>
        <w:ind w:firstLine="643" w:firstLineChars="200"/>
        <w:rPr>
          <w:rFonts w:eastAsia="仿宋_GB2312"/>
          <w:b/>
          <w:color w:val="auto"/>
          <w:sz w:val="32"/>
          <w:szCs w:val="32"/>
        </w:rPr>
      </w:pPr>
      <w:r>
        <w:rPr>
          <w:rFonts w:eastAsia="仿宋_GB2312"/>
          <w:b/>
          <w:color w:val="auto"/>
          <w:sz w:val="32"/>
          <w:szCs w:val="32"/>
        </w:rPr>
        <w:t>（7）A3-B7-C30收费管理（20分）</w:t>
      </w:r>
    </w:p>
    <w:p>
      <w:pPr>
        <w:spacing w:line="560" w:lineRule="exact"/>
        <w:ind w:firstLine="643" w:firstLineChars="200"/>
        <w:rPr>
          <w:rFonts w:eastAsia="仿宋_GB2312"/>
          <w:color w:val="auto"/>
          <w:sz w:val="32"/>
          <w:szCs w:val="32"/>
        </w:rPr>
      </w:pPr>
      <w:r>
        <w:rPr>
          <w:rFonts w:eastAsia="仿宋_GB2312"/>
          <w:b/>
          <w:color w:val="auto"/>
          <w:sz w:val="32"/>
          <w:szCs w:val="32"/>
        </w:rPr>
        <w:t>经自查：</w:t>
      </w:r>
      <w:r>
        <w:rPr>
          <w:rFonts w:eastAsia="仿宋_GB2312"/>
          <w:color w:val="auto"/>
          <w:sz w:val="32"/>
          <w:szCs w:val="32"/>
        </w:rPr>
        <w:t>依据《教育部等四部门关于2016年规范教育收费治理教育乱收费工作的实施意见》（教办〔2016〕4号）文件，特克斯县认真贯彻落实国家和自治区有关教育收费的相关规定，严禁义务教育阶段学校向学生推荐“一教一辅”以外的任何教辅资料，禁止代收费或以家长委员会的名义向学生收费。经查，各校均能够按照国家教育收费政策要求，规范办学行为，无乱收费、以资代劳、代收费和强迫捐资等现象发生；学校无统一购买教辅、寒暑假作业等违规行为；无违规举办学科竞赛等现象。2012年创建为自治区教育收费示范县。</w:t>
      </w:r>
    </w:p>
    <w:p>
      <w:pPr>
        <w:spacing w:line="560" w:lineRule="exact"/>
        <w:ind w:firstLine="640" w:firstLineChars="200"/>
        <w:rPr>
          <w:rFonts w:eastAsia="仿宋_GB2312"/>
          <w:color w:val="auto"/>
          <w:sz w:val="32"/>
          <w:szCs w:val="32"/>
        </w:rPr>
      </w:pPr>
      <w:r>
        <w:rPr>
          <w:rFonts w:eastAsia="仿宋_GB2312"/>
          <w:color w:val="auto"/>
          <w:sz w:val="32"/>
          <w:szCs w:val="32"/>
        </w:rPr>
        <w:t>自查自评得20分，此项与自治区义务教育均衡发展验收得分持平。</w:t>
      </w:r>
    </w:p>
    <w:p>
      <w:pPr>
        <w:spacing w:line="560" w:lineRule="exact"/>
        <w:ind w:firstLine="643" w:firstLineChars="200"/>
        <w:rPr>
          <w:rFonts w:eastAsia="仿宋_GB2312"/>
          <w:b/>
          <w:color w:val="auto"/>
          <w:sz w:val="32"/>
          <w:szCs w:val="32"/>
        </w:rPr>
      </w:pPr>
      <w:r>
        <w:rPr>
          <w:rFonts w:eastAsia="仿宋_GB2312"/>
          <w:b/>
          <w:color w:val="auto"/>
          <w:sz w:val="32"/>
          <w:szCs w:val="32"/>
        </w:rPr>
        <w:t>（8）A3-B7-C31校园安全（20分）</w:t>
      </w:r>
    </w:p>
    <w:p>
      <w:pPr>
        <w:spacing w:line="560" w:lineRule="exact"/>
        <w:ind w:firstLine="643" w:firstLineChars="200"/>
        <w:rPr>
          <w:rFonts w:eastAsia="仿宋_GB2312"/>
          <w:color w:val="auto"/>
          <w:sz w:val="32"/>
          <w:szCs w:val="32"/>
        </w:rPr>
      </w:pPr>
      <w:r>
        <w:rPr>
          <w:rFonts w:eastAsia="仿宋_GB2312"/>
          <w:b/>
          <w:color w:val="auto"/>
          <w:sz w:val="32"/>
          <w:szCs w:val="32"/>
        </w:rPr>
        <w:t>经自查：</w:t>
      </w:r>
      <w:r>
        <w:rPr>
          <w:rFonts w:eastAsia="仿宋_GB2312"/>
          <w:bCs/>
          <w:color w:val="auto"/>
          <w:sz w:val="32"/>
          <w:szCs w:val="32"/>
        </w:rPr>
        <w:t>我县高度重视校园安全，制定方案，细化措施，做好风险隐患预防与防控。</w:t>
      </w:r>
      <w:r>
        <w:rPr>
          <w:rFonts w:eastAsia="仿宋_GB2312"/>
          <w:b/>
          <w:color w:val="auto"/>
          <w:sz w:val="32"/>
          <w:szCs w:val="32"/>
        </w:rPr>
        <w:t>一是</w:t>
      </w:r>
      <w:r>
        <w:rPr>
          <w:rFonts w:eastAsia="仿宋_GB2312"/>
          <w:color w:val="auto"/>
          <w:sz w:val="32"/>
          <w:szCs w:val="32"/>
        </w:rPr>
        <w:t>严格以学生安全和学校稳定为中心，加强学校“三防”建设，安装一键报警器，在危化品实验室等重点部位加装警铃，实现视频监控无盲区、无缝隙。</w:t>
      </w:r>
      <w:r>
        <w:rPr>
          <w:rFonts w:eastAsia="仿宋_GB2312"/>
          <w:b/>
          <w:bCs/>
          <w:color w:val="auto"/>
          <w:sz w:val="32"/>
          <w:szCs w:val="32"/>
        </w:rPr>
        <w:t>二是</w:t>
      </w:r>
      <w:r>
        <w:rPr>
          <w:rFonts w:eastAsia="仿宋_GB2312"/>
          <w:color w:val="auto"/>
          <w:sz w:val="32"/>
          <w:szCs w:val="32"/>
        </w:rPr>
        <w:t>实行安全生产“一岗双责”，认真落实上下学“三见警”和校园周边环境综合治理机制，成立由政法、公安、应急、市监、卫健、消防等组成的领导小组，每学期至少开展2次以上校园周边环境治理大检查，采取行业自检、部门联检等多种方式，对校园及周边环境进行全面检查，深入查找值班安保、校园及周边环境治理、交通安全、食品卫生、消防等工作中存在风险点和薄弱环节。</w:t>
      </w:r>
      <w:r>
        <w:rPr>
          <w:rFonts w:eastAsia="仿宋_GB2312"/>
          <w:b/>
          <w:bCs/>
          <w:color w:val="auto"/>
          <w:sz w:val="32"/>
          <w:szCs w:val="32"/>
        </w:rPr>
        <w:t>三是</w:t>
      </w:r>
      <w:r>
        <w:rPr>
          <w:rFonts w:eastAsia="仿宋_GB2312"/>
          <w:color w:val="auto"/>
          <w:sz w:val="32"/>
          <w:szCs w:val="32"/>
        </w:rPr>
        <w:t>以创建“平安校园”为推手，建立健全安全管理制度和应急机制。成立安全工作领导小组，细化工作职责，制定食品、卫生、防震、防火、交通等安全管理制度和应急预案；层层签订安全责任书，强化责任意识，明确各个岗位安全责任，确保学校每个时间段、每个地点、每件事都有专人负责；加大中小学安全教育、隐患排查力度，加强应急演练；以“防灾减灾日”、“安全生产月”</w:t>
      </w:r>
      <w:r>
        <w:rPr>
          <w:rFonts w:hint="eastAsia" w:eastAsia="仿宋_GB2312"/>
          <w:color w:val="auto"/>
          <w:sz w:val="32"/>
          <w:szCs w:val="32"/>
          <w:lang w:eastAsia="zh-CN"/>
        </w:rPr>
        <w:t>主题</w:t>
      </w:r>
      <w:r>
        <w:rPr>
          <w:rFonts w:eastAsia="仿宋_GB2312"/>
          <w:color w:val="auto"/>
          <w:sz w:val="32"/>
          <w:szCs w:val="32"/>
        </w:rPr>
        <w:t>活动为载体，组织开展每月的常态化应急演练、实操比武活动，切实提升应急处突能力。</w:t>
      </w:r>
      <w:r>
        <w:rPr>
          <w:rFonts w:eastAsia="仿宋_GB2312"/>
          <w:b/>
          <w:bCs/>
          <w:color w:val="auto"/>
          <w:sz w:val="32"/>
          <w:szCs w:val="32"/>
        </w:rPr>
        <w:t>四是</w:t>
      </w:r>
      <w:r>
        <w:rPr>
          <w:rFonts w:eastAsia="仿宋_GB2312"/>
          <w:color w:val="auto"/>
          <w:sz w:val="32"/>
          <w:szCs w:val="32"/>
        </w:rPr>
        <w:t>对学校食品卫生、传染病预防监测、消防交通安全、防溺水、危化物品管理等工作进行常态化宣传教育，落实全县寄宿制中小学实行统一配餐和校领导陪餐制，市监、疾控部门定期对食堂从业人员、卫生、食材、配餐公司等进行专项检查，开展从业培训，打造平安校园，为教育教学有序健康发展保驾护航。</w:t>
      </w:r>
      <w:r>
        <w:rPr>
          <w:rFonts w:eastAsia="仿宋_GB2312"/>
          <w:b/>
          <w:bCs/>
          <w:color w:val="auto"/>
          <w:sz w:val="32"/>
          <w:szCs w:val="32"/>
        </w:rPr>
        <w:t>五是</w:t>
      </w:r>
      <w:r>
        <w:rPr>
          <w:rFonts w:eastAsia="仿宋_GB2312"/>
          <w:color w:val="auto"/>
          <w:sz w:val="32"/>
          <w:szCs w:val="32"/>
        </w:rPr>
        <w:t>完善校园意外伤害事故风险管理机制，每年为师生购买校方责任险，学生自愿参加校园意外伤害保险率逐年提高，进一步保障师生安全。</w:t>
      </w:r>
    </w:p>
    <w:p>
      <w:pPr>
        <w:spacing w:line="560" w:lineRule="exact"/>
        <w:ind w:firstLine="640" w:firstLineChars="200"/>
        <w:rPr>
          <w:rFonts w:eastAsia="仿宋_GB2312"/>
          <w:color w:val="auto"/>
          <w:sz w:val="32"/>
          <w:szCs w:val="32"/>
        </w:rPr>
      </w:pPr>
      <w:r>
        <w:rPr>
          <w:rFonts w:eastAsia="仿宋_GB2312"/>
          <w:color w:val="auto"/>
          <w:sz w:val="32"/>
          <w:szCs w:val="32"/>
        </w:rPr>
        <w:t>自查自评得20分，此项与自治区义务教育均衡发展验收得分持平。</w:t>
      </w:r>
    </w:p>
    <w:p>
      <w:pPr>
        <w:spacing w:line="560" w:lineRule="exact"/>
        <w:ind w:firstLine="643" w:firstLineChars="200"/>
        <w:rPr>
          <w:rFonts w:eastAsia="仿宋_GB2312"/>
          <w:b/>
          <w:color w:val="auto"/>
          <w:sz w:val="32"/>
          <w:szCs w:val="32"/>
        </w:rPr>
      </w:pPr>
      <w:r>
        <w:rPr>
          <w:rFonts w:eastAsia="仿宋_GB2312"/>
          <w:b/>
          <w:color w:val="auto"/>
          <w:sz w:val="32"/>
          <w:szCs w:val="32"/>
        </w:rPr>
        <w:t>（9）A3-B7-C32法制与德育（20分）</w:t>
      </w:r>
    </w:p>
    <w:p>
      <w:pPr>
        <w:spacing w:line="560" w:lineRule="exact"/>
        <w:ind w:firstLine="643" w:firstLineChars="200"/>
        <w:rPr>
          <w:rFonts w:eastAsia="仿宋_GB2312"/>
          <w:color w:val="auto"/>
          <w:sz w:val="32"/>
          <w:szCs w:val="32"/>
        </w:rPr>
      </w:pPr>
      <w:r>
        <w:rPr>
          <w:rFonts w:eastAsia="仿宋_GB2312"/>
          <w:b/>
          <w:color w:val="auto"/>
          <w:sz w:val="32"/>
          <w:szCs w:val="32"/>
        </w:rPr>
        <w:t>经自查：</w:t>
      </w:r>
      <w:r>
        <w:rPr>
          <w:rFonts w:eastAsia="仿宋_GB2312"/>
          <w:color w:val="auto"/>
          <w:sz w:val="32"/>
          <w:szCs w:val="32"/>
        </w:rPr>
        <w:t>我县全面贯彻落实“立德树人”根本任务，以《深化新时代教育评价改革总体方案》《中共中央国务院关于进一步加强和改进未成年人思想道德建设的若干意见》《新时代爱国主义教育实施纲要》《中小学德育工作指南》为抓手，全面落实党的教育方针，充分发挥德育工作在增进学生健康成长和推动学校进展中的重要作用，增强德育工作的针对性和实效性。配齐配全德育工作组织机构，县教育局设思政办，成立并及时调整教育系统中小学德育工作领导小组，设专门的办公场所，学校设立德育处，完善团委、少先大队的人员配备；制定《特克斯县德育工作五年规划》《特克斯县教育系统2023年新时代思政德育工作指南》，组建“三支团队”（德育讲师团队、首席班主任团队、德育督导指导团队），常态化开展德育活动、班级建设及班级小组建设自主管理、各类讲座等；加强学校德育工作管理，通过思政工作会议暨意识形态专题会议、主题班会、国旗下讲话、民族团结一家亲暨“三进两联一交友”活动、节庆纪念日等渠道开展常态化的爱国主义、民族团结、意识形态领域系列活动；以《中小学生守则》及《中小学生日常行为规范》为依据，加强学生行为规范养成教育；注重法制教育，完善学校章程，聘请检察院及派出所的工作者任学校法制副校长，利用宪法宣传月、知识讲座、公职人员学法考试等方式，营造校园法制教育氛围，增强学生法治观念；积极探索学校德育工作新途径、新方法，做好德育达标校创建工作，</w:t>
      </w:r>
      <w:r>
        <w:rPr>
          <w:rFonts w:hint="eastAsia" w:eastAsia="仿宋_GB2312"/>
          <w:color w:val="auto"/>
          <w:sz w:val="32"/>
          <w:szCs w:val="32"/>
        </w:rPr>
        <w:t>目前义务教育中小学共34所，县级及以上德育达标校（依法治校示范校）32所，创建率94.12%，州级及以上德育达标校（依法治校示范校）21所，创建率61.76%，其中自治区级德育达标校有1所，占2.94%；州级德育达标校20所，占58.82%。</w:t>
      </w:r>
    </w:p>
    <w:p>
      <w:pPr>
        <w:spacing w:line="560" w:lineRule="exact"/>
        <w:ind w:firstLine="640" w:firstLineChars="200"/>
        <w:rPr>
          <w:rFonts w:eastAsia="仿宋_GB2312"/>
          <w:color w:val="auto"/>
          <w:sz w:val="32"/>
          <w:szCs w:val="32"/>
        </w:rPr>
      </w:pPr>
      <w:r>
        <w:rPr>
          <w:rFonts w:eastAsia="仿宋_GB2312"/>
          <w:color w:val="auto"/>
          <w:sz w:val="32"/>
          <w:szCs w:val="32"/>
        </w:rPr>
        <w:t>自查自评得分：20分，此项与自治区义务教育均衡发展验收得分持平。</w:t>
      </w:r>
    </w:p>
    <w:p>
      <w:pPr>
        <w:spacing w:line="560" w:lineRule="exact"/>
        <w:ind w:firstLine="640" w:firstLineChars="200"/>
        <w:rPr>
          <w:rFonts w:eastAsia="楷体_GB2312"/>
          <w:color w:val="auto"/>
          <w:sz w:val="32"/>
          <w:szCs w:val="32"/>
        </w:rPr>
      </w:pPr>
      <w:r>
        <w:rPr>
          <w:rFonts w:eastAsia="楷体_GB2312"/>
          <w:color w:val="auto"/>
          <w:sz w:val="32"/>
          <w:szCs w:val="32"/>
        </w:rPr>
        <w:t>2.A3-B8教育质量（170分）</w:t>
      </w:r>
    </w:p>
    <w:p>
      <w:pPr>
        <w:spacing w:line="560" w:lineRule="exact"/>
        <w:ind w:firstLine="472" w:firstLineChars="147"/>
        <w:rPr>
          <w:rFonts w:eastAsia="仿宋_GB2312"/>
          <w:b/>
          <w:color w:val="auto"/>
          <w:sz w:val="32"/>
          <w:szCs w:val="32"/>
        </w:rPr>
      </w:pPr>
      <w:r>
        <w:rPr>
          <w:rFonts w:eastAsia="仿宋_GB2312"/>
          <w:b/>
          <w:color w:val="auto"/>
          <w:sz w:val="32"/>
          <w:szCs w:val="32"/>
        </w:rPr>
        <w:t>（1）A3-B8-C33课程改革（20分）</w:t>
      </w:r>
    </w:p>
    <w:p>
      <w:pPr>
        <w:spacing w:line="560" w:lineRule="exact"/>
        <w:ind w:firstLine="643" w:firstLineChars="200"/>
        <w:rPr>
          <w:rFonts w:eastAsia="仿宋_GB2312"/>
          <w:color w:val="auto"/>
          <w:sz w:val="32"/>
          <w:szCs w:val="32"/>
        </w:rPr>
      </w:pPr>
      <w:r>
        <w:rPr>
          <w:rFonts w:eastAsia="仿宋_GB2312"/>
          <w:b/>
          <w:color w:val="auto"/>
          <w:sz w:val="32"/>
          <w:szCs w:val="32"/>
        </w:rPr>
        <w:t>经自查：</w:t>
      </w:r>
      <w:r>
        <w:rPr>
          <w:rFonts w:ascii="仿宋_GB2312" w:eastAsia="仿宋_GB2312"/>
          <w:color w:val="auto"/>
          <w:sz w:val="32"/>
          <w:szCs w:val="32"/>
        </w:rPr>
        <w:t>为进一步实施课程改革，贯彻新课程理念，转变教师教学方式、学生学习方式，</w:t>
      </w:r>
      <w:r>
        <w:rPr>
          <w:rFonts w:hint="eastAsia" w:ascii="仿宋_GB2312" w:eastAsia="仿宋_GB2312"/>
          <w:color w:val="auto"/>
          <w:sz w:val="32"/>
          <w:szCs w:val="32"/>
        </w:rPr>
        <w:t>重新修订</w:t>
      </w:r>
      <w:r>
        <w:rPr>
          <w:rFonts w:ascii="仿宋_GB2312" w:eastAsia="仿宋_GB2312"/>
          <w:color w:val="auto"/>
          <w:sz w:val="32"/>
          <w:szCs w:val="32"/>
        </w:rPr>
        <w:t>《特克斯县</w:t>
      </w:r>
      <w:r>
        <w:rPr>
          <w:rFonts w:hint="eastAsia" w:ascii="仿宋_GB2312" w:eastAsia="仿宋_GB2312"/>
          <w:color w:val="auto"/>
          <w:sz w:val="32"/>
          <w:szCs w:val="32"/>
        </w:rPr>
        <w:t>关于进一步规范义务教育阶段</w:t>
      </w:r>
      <w:r>
        <w:rPr>
          <w:rFonts w:ascii="仿宋_GB2312" w:eastAsia="仿宋_GB2312"/>
          <w:color w:val="auto"/>
          <w:sz w:val="32"/>
          <w:szCs w:val="32"/>
        </w:rPr>
        <w:t>课程</w:t>
      </w:r>
      <w:r>
        <w:rPr>
          <w:rFonts w:hint="eastAsia" w:ascii="仿宋_GB2312" w:eastAsia="仿宋_GB2312"/>
          <w:color w:val="auto"/>
          <w:sz w:val="32"/>
          <w:szCs w:val="32"/>
        </w:rPr>
        <w:t>管理工作实施意见</w:t>
      </w:r>
      <w:r>
        <w:rPr>
          <w:rFonts w:ascii="仿宋_GB2312" w:eastAsia="仿宋_GB2312"/>
          <w:color w:val="auto"/>
          <w:sz w:val="32"/>
          <w:szCs w:val="32"/>
        </w:rPr>
        <w:t>》</w:t>
      </w:r>
      <w:r>
        <w:rPr>
          <w:rFonts w:hint="eastAsia" w:ascii="仿宋_GB2312" w:eastAsia="仿宋_GB2312"/>
          <w:color w:val="auto"/>
          <w:sz w:val="32"/>
          <w:szCs w:val="32"/>
        </w:rPr>
        <w:t>（特教发</w:t>
      </w:r>
      <w:r>
        <w:rPr>
          <w:rFonts w:hint="eastAsia" w:ascii="宋体" w:hAnsi="宋体"/>
          <w:color w:val="auto"/>
          <w:sz w:val="32"/>
          <w:szCs w:val="32"/>
        </w:rPr>
        <w:t>〔</w:t>
      </w:r>
      <w:r>
        <w:rPr>
          <w:rFonts w:hint="eastAsia" w:eastAsia="仿宋_GB2312"/>
          <w:color w:val="auto"/>
          <w:sz w:val="32"/>
          <w:szCs w:val="32"/>
        </w:rPr>
        <w:t>2022</w:t>
      </w:r>
      <w:r>
        <w:rPr>
          <w:rFonts w:hint="eastAsia" w:ascii="宋体" w:hAnsi="宋体"/>
          <w:color w:val="auto"/>
          <w:sz w:val="32"/>
          <w:szCs w:val="32"/>
        </w:rPr>
        <w:t>〕</w:t>
      </w:r>
      <w:r>
        <w:rPr>
          <w:rFonts w:hint="eastAsia" w:eastAsia="仿宋_GB2312"/>
          <w:color w:val="auto"/>
          <w:sz w:val="32"/>
          <w:szCs w:val="32"/>
        </w:rPr>
        <w:t>73</w:t>
      </w:r>
      <w:r>
        <w:rPr>
          <w:rFonts w:hint="eastAsia" w:ascii="仿宋_GB2312" w:eastAsia="仿宋_GB2312"/>
          <w:color w:val="auto"/>
          <w:sz w:val="32"/>
          <w:szCs w:val="32"/>
        </w:rPr>
        <w:t>号）。</w:t>
      </w:r>
      <w:r>
        <w:rPr>
          <w:rFonts w:ascii="仿宋_GB2312" w:eastAsia="仿宋_GB2312"/>
          <w:b/>
          <w:bCs/>
          <w:color w:val="auto"/>
          <w:sz w:val="32"/>
          <w:szCs w:val="32"/>
        </w:rPr>
        <w:t>一是</w:t>
      </w:r>
      <w:r>
        <w:rPr>
          <w:rFonts w:ascii="仿宋_GB2312" w:eastAsia="仿宋_GB2312"/>
          <w:color w:val="auto"/>
          <w:sz w:val="32"/>
          <w:szCs w:val="32"/>
        </w:rPr>
        <w:t>按照</w:t>
      </w:r>
      <w:r>
        <w:rPr>
          <w:rFonts w:hint="eastAsia" w:ascii="仿宋_GB2312" w:eastAsia="仿宋_GB2312"/>
          <w:color w:val="auto"/>
          <w:sz w:val="32"/>
          <w:szCs w:val="32"/>
        </w:rPr>
        <w:t>国家</w:t>
      </w:r>
      <w:r>
        <w:rPr>
          <w:rFonts w:ascii="仿宋_GB2312" w:eastAsia="仿宋_GB2312"/>
          <w:color w:val="auto"/>
          <w:sz w:val="32"/>
          <w:szCs w:val="32"/>
        </w:rPr>
        <w:t>要求，严格落实课程设置方案，开足开齐国家、地方、校本三级课程，通过经常性督查，坚决杜绝挤占课时现象。</w:t>
      </w:r>
      <w:r>
        <w:rPr>
          <w:rFonts w:ascii="仿宋_GB2312" w:eastAsia="仿宋_GB2312"/>
          <w:b/>
          <w:bCs/>
          <w:color w:val="auto"/>
          <w:sz w:val="32"/>
          <w:szCs w:val="32"/>
        </w:rPr>
        <w:t>二是</w:t>
      </w:r>
      <w:r>
        <w:rPr>
          <w:rFonts w:ascii="仿宋_GB2312" w:eastAsia="仿宋_GB2312"/>
          <w:color w:val="auto"/>
          <w:sz w:val="32"/>
          <w:szCs w:val="32"/>
        </w:rPr>
        <w:t>加强教师能力培养。特克斯县第</w:t>
      </w:r>
      <w:r>
        <w:rPr>
          <w:rFonts w:hint="eastAsia" w:ascii="仿宋_GB2312" w:eastAsia="仿宋_GB2312"/>
          <w:color w:val="auto"/>
          <w:sz w:val="32"/>
          <w:szCs w:val="32"/>
        </w:rPr>
        <w:t>三</w:t>
      </w:r>
      <w:r>
        <w:rPr>
          <w:rFonts w:ascii="仿宋_GB2312" w:eastAsia="仿宋_GB2312"/>
          <w:color w:val="auto"/>
          <w:sz w:val="32"/>
          <w:szCs w:val="32"/>
        </w:rPr>
        <w:t>轮中小学</w:t>
      </w:r>
      <w:r>
        <w:rPr>
          <w:rFonts w:eastAsia="仿宋_GB2312"/>
          <w:color w:val="auto"/>
          <w:sz w:val="32"/>
          <w:szCs w:val="32"/>
        </w:rPr>
        <w:t>“</w:t>
      </w:r>
      <w:r>
        <w:rPr>
          <w:rFonts w:ascii="仿宋_GB2312" w:eastAsia="仿宋_GB2312"/>
          <w:color w:val="auto"/>
          <w:sz w:val="32"/>
          <w:szCs w:val="32"/>
        </w:rPr>
        <w:t>名师、学科带头人、教学能手</w:t>
      </w:r>
      <w:r>
        <w:rPr>
          <w:rFonts w:eastAsia="仿宋_GB2312"/>
          <w:color w:val="auto"/>
          <w:sz w:val="32"/>
          <w:szCs w:val="32"/>
        </w:rPr>
        <w:t>”</w:t>
      </w:r>
      <w:r>
        <w:rPr>
          <w:rFonts w:ascii="仿宋_GB2312" w:eastAsia="仿宋_GB2312"/>
          <w:color w:val="auto"/>
          <w:sz w:val="32"/>
          <w:szCs w:val="32"/>
        </w:rPr>
        <w:t>培养工程已评选出县级</w:t>
      </w:r>
      <w:r>
        <w:rPr>
          <w:rFonts w:eastAsia="仿宋_GB2312"/>
          <w:color w:val="auto"/>
          <w:sz w:val="32"/>
          <w:szCs w:val="32"/>
        </w:rPr>
        <w:t>“</w:t>
      </w:r>
      <w:r>
        <w:rPr>
          <w:rFonts w:ascii="仿宋_GB2312" w:eastAsia="仿宋_GB2312"/>
          <w:color w:val="auto"/>
          <w:sz w:val="32"/>
          <w:szCs w:val="32"/>
        </w:rPr>
        <w:t>名教师</w:t>
      </w:r>
      <w:r>
        <w:rPr>
          <w:rFonts w:eastAsia="仿宋_GB2312"/>
          <w:color w:val="auto"/>
          <w:sz w:val="32"/>
          <w:szCs w:val="32"/>
        </w:rPr>
        <w:t>”</w:t>
      </w:r>
      <w:r>
        <w:rPr>
          <w:rFonts w:ascii="仿宋_GB2312" w:eastAsia="仿宋_GB2312"/>
          <w:color w:val="auto"/>
          <w:sz w:val="32"/>
          <w:szCs w:val="32"/>
        </w:rPr>
        <w:t>共</w:t>
      </w:r>
      <w:r>
        <w:rPr>
          <w:rFonts w:eastAsia="仿宋_GB2312"/>
          <w:color w:val="auto"/>
          <w:sz w:val="32"/>
          <w:szCs w:val="32"/>
        </w:rPr>
        <w:t>1</w:t>
      </w:r>
      <w:r>
        <w:rPr>
          <w:rFonts w:hint="eastAsia" w:eastAsia="仿宋_GB2312"/>
          <w:color w:val="auto"/>
          <w:sz w:val="32"/>
          <w:szCs w:val="32"/>
        </w:rPr>
        <w:t>1</w:t>
      </w:r>
      <w:r>
        <w:rPr>
          <w:rFonts w:eastAsia="仿宋_GB2312"/>
          <w:color w:val="auto"/>
          <w:sz w:val="32"/>
          <w:szCs w:val="32"/>
        </w:rPr>
        <w:t>0</w:t>
      </w:r>
      <w:r>
        <w:rPr>
          <w:rFonts w:ascii="仿宋_GB2312" w:eastAsia="仿宋_GB2312"/>
          <w:color w:val="auto"/>
          <w:sz w:val="32"/>
          <w:szCs w:val="32"/>
        </w:rPr>
        <w:t>名，用以指导和帮助各学校教师提高教学水平。</w:t>
      </w:r>
      <w:r>
        <w:rPr>
          <w:rFonts w:ascii="仿宋_GB2312" w:eastAsia="仿宋_GB2312"/>
          <w:b/>
          <w:bCs/>
          <w:color w:val="auto"/>
          <w:sz w:val="32"/>
          <w:szCs w:val="32"/>
        </w:rPr>
        <w:t>三是</w:t>
      </w:r>
      <w:r>
        <w:rPr>
          <w:rFonts w:ascii="仿宋_GB2312" w:eastAsia="仿宋_GB2312"/>
          <w:color w:val="auto"/>
          <w:sz w:val="32"/>
          <w:szCs w:val="32"/>
        </w:rPr>
        <w:t>以强带弱，开展联片教研，为教师搭建相互学习的平台。县教育局下发《特克斯县中小学联片教研活动实施方案》，将全县所有学校分</w:t>
      </w:r>
      <w:r>
        <w:rPr>
          <w:rFonts w:eastAsia="仿宋_GB2312"/>
          <w:color w:val="auto"/>
          <w:sz w:val="32"/>
          <w:szCs w:val="32"/>
        </w:rPr>
        <w:t>8</w:t>
      </w:r>
      <w:r>
        <w:rPr>
          <w:rFonts w:ascii="仿宋_GB2312" w:eastAsia="仿宋_GB2312"/>
          <w:color w:val="auto"/>
          <w:sz w:val="32"/>
          <w:szCs w:val="32"/>
        </w:rPr>
        <w:t>个片区，并依据方案精神按规划目标认真落实。</w:t>
      </w:r>
      <w:r>
        <w:rPr>
          <w:rFonts w:eastAsia="仿宋_GB2312"/>
          <w:color w:val="auto"/>
          <w:sz w:val="32"/>
          <w:szCs w:val="32"/>
        </w:rPr>
        <w:t>“</w:t>
      </w:r>
      <w:r>
        <w:rPr>
          <w:rFonts w:ascii="仿宋_GB2312" w:eastAsia="仿宋_GB2312"/>
          <w:color w:val="auto"/>
          <w:sz w:val="32"/>
          <w:szCs w:val="32"/>
        </w:rPr>
        <w:t>名师培养工作室</w:t>
      </w:r>
      <w:r>
        <w:rPr>
          <w:rFonts w:eastAsia="仿宋_GB2312"/>
          <w:color w:val="auto"/>
          <w:sz w:val="32"/>
          <w:szCs w:val="32"/>
        </w:rPr>
        <w:t>”</w:t>
      </w:r>
      <w:r>
        <w:rPr>
          <w:rFonts w:hint="eastAsia" w:eastAsia="仿宋_GB2312"/>
          <w:color w:val="auto"/>
          <w:sz w:val="32"/>
          <w:szCs w:val="32"/>
        </w:rPr>
        <w:t>12</w:t>
      </w:r>
      <w:r>
        <w:rPr>
          <w:rFonts w:ascii="仿宋_GB2312" w:eastAsia="仿宋_GB2312"/>
          <w:color w:val="auto"/>
          <w:sz w:val="32"/>
          <w:szCs w:val="32"/>
        </w:rPr>
        <w:t>个，其中</w:t>
      </w:r>
      <w:r>
        <w:rPr>
          <w:rFonts w:hint="eastAsia" w:eastAsia="仿宋_GB2312"/>
          <w:color w:val="auto"/>
          <w:sz w:val="32"/>
          <w:szCs w:val="32"/>
        </w:rPr>
        <w:t>2</w:t>
      </w:r>
      <w:r>
        <w:rPr>
          <w:rFonts w:ascii="仿宋_GB2312" w:eastAsia="仿宋_GB2312"/>
          <w:color w:val="auto"/>
          <w:sz w:val="32"/>
          <w:szCs w:val="32"/>
        </w:rPr>
        <w:t>个已成为州级工作室，</w:t>
      </w:r>
      <w:r>
        <w:rPr>
          <w:rFonts w:hint="eastAsia" w:ascii="仿宋_GB2312" w:eastAsia="仿宋_GB2312"/>
          <w:color w:val="auto"/>
          <w:sz w:val="32"/>
          <w:szCs w:val="32"/>
        </w:rPr>
        <w:t>工作室</w:t>
      </w:r>
      <w:r>
        <w:rPr>
          <w:rFonts w:ascii="仿宋_GB2312" w:eastAsia="仿宋_GB2312"/>
          <w:color w:val="auto"/>
          <w:sz w:val="32"/>
          <w:szCs w:val="32"/>
        </w:rPr>
        <w:t>有效整合了优质教育资源，发挥了强校和名师、学科带头人的示范辐射作用。</w:t>
      </w:r>
      <w:r>
        <w:rPr>
          <w:rFonts w:ascii="仿宋_GB2312" w:eastAsia="仿宋_GB2312"/>
          <w:b/>
          <w:bCs/>
          <w:color w:val="auto"/>
          <w:sz w:val="32"/>
          <w:szCs w:val="32"/>
        </w:rPr>
        <w:t>四是</w:t>
      </w:r>
      <w:r>
        <w:rPr>
          <w:rFonts w:ascii="仿宋_GB2312" w:eastAsia="仿宋_GB2312"/>
          <w:color w:val="auto"/>
          <w:sz w:val="32"/>
          <w:szCs w:val="32"/>
        </w:rPr>
        <w:t>以教学促进教研活动扎实开展。各中学和中心小学</w:t>
      </w:r>
      <w:r>
        <w:rPr>
          <w:rFonts w:hint="eastAsia" w:ascii="仿宋_GB2312" w:eastAsia="仿宋_GB2312"/>
          <w:color w:val="auto"/>
          <w:sz w:val="32"/>
          <w:szCs w:val="32"/>
        </w:rPr>
        <w:t>均</w:t>
      </w:r>
      <w:r>
        <w:rPr>
          <w:rFonts w:ascii="仿宋_GB2312" w:eastAsia="仿宋_GB2312"/>
          <w:color w:val="auto"/>
          <w:sz w:val="32"/>
          <w:szCs w:val="32"/>
        </w:rPr>
        <w:t>成立教研室，设教研室主任，各村级学校</w:t>
      </w:r>
      <w:r>
        <w:rPr>
          <w:rFonts w:hint="eastAsia" w:ascii="仿宋_GB2312" w:eastAsia="仿宋_GB2312"/>
          <w:color w:val="auto"/>
          <w:sz w:val="32"/>
          <w:szCs w:val="32"/>
        </w:rPr>
        <w:t>均</w:t>
      </w:r>
      <w:r>
        <w:rPr>
          <w:rFonts w:ascii="仿宋_GB2312" w:eastAsia="仿宋_GB2312"/>
          <w:color w:val="auto"/>
          <w:sz w:val="32"/>
          <w:szCs w:val="32"/>
        </w:rPr>
        <w:t>成立教研组（文科组、理科组</w:t>
      </w:r>
      <w:r>
        <w:rPr>
          <w:rFonts w:hint="eastAsia" w:ascii="仿宋_GB2312" w:eastAsia="仿宋_GB2312"/>
          <w:color w:val="auto"/>
          <w:sz w:val="32"/>
          <w:szCs w:val="32"/>
        </w:rPr>
        <w:t>或综合</w:t>
      </w:r>
      <w:r>
        <w:rPr>
          <w:rFonts w:ascii="仿宋_GB2312" w:eastAsia="仿宋_GB2312"/>
          <w:color w:val="auto"/>
          <w:sz w:val="32"/>
          <w:szCs w:val="32"/>
        </w:rPr>
        <w:t>组），各设教研组长</w:t>
      </w:r>
      <w:r>
        <w:rPr>
          <w:rFonts w:eastAsia="仿宋_GB2312"/>
          <w:color w:val="auto"/>
          <w:sz w:val="32"/>
          <w:szCs w:val="32"/>
        </w:rPr>
        <w:t>1</w:t>
      </w:r>
      <w:r>
        <w:rPr>
          <w:rFonts w:ascii="仿宋_GB2312" w:eastAsia="仿宋_GB2312"/>
          <w:color w:val="auto"/>
          <w:sz w:val="32"/>
          <w:szCs w:val="32"/>
        </w:rPr>
        <w:t>名，负责教研组活动的正常开展，各学校按照《特克斯县中小学教研活动管理办法（试行）》（特教发〔</w:t>
      </w:r>
      <w:r>
        <w:rPr>
          <w:rFonts w:eastAsia="仿宋_GB2312"/>
          <w:color w:val="auto"/>
          <w:sz w:val="32"/>
          <w:szCs w:val="32"/>
        </w:rPr>
        <w:t>2018</w:t>
      </w:r>
      <w:r>
        <w:rPr>
          <w:rFonts w:ascii="仿宋_GB2312" w:eastAsia="仿宋_GB2312"/>
          <w:color w:val="auto"/>
          <w:sz w:val="32"/>
          <w:szCs w:val="32"/>
        </w:rPr>
        <w:t>〕</w:t>
      </w:r>
      <w:r>
        <w:rPr>
          <w:rFonts w:eastAsia="仿宋_GB2312"/>
          <w:color w:val="auto"/>
          <w:sz w:val="32"/>
          <w:szCs w:val="32"/>
        </w:rPr>
        <w:t>200</w:t>
      </w:r>
      <w:r>
        <w:rPr>
          <w:rFonts w:ascii="仿宋_GB2312" w:eastAsia="仿宋_GB2312"/>
          <w:color w:val="auto"/>
          <w:sz w:val="32"/>
          <w:szCs w:val="32"/>
        </w:rPr>
        <w:t>号），健全教研活动管理办法，并认真落实。</w:t>
      </w:r>
    </w:p>
    <w:p>
      <w:pPr>
        <w:spacing w:line="560" w:lineRule="exact"/>
        <w:ind w:firstLine="640" w:firstLineChars="200"/>
        <w:rPr>
          <w:rFonts w:eastAsia="仿宋_GB2312"/>
          <w:color w:val="auto"/>
          <w:sz w:val="32"/>
          <w:szCs w:val="32"/>
        </w:rPr>
      </w:pPr>
      <w:r>
        <w:rPr>
          <w:rFonts w:eastAsia="仿宋_GB2312"/>
          <w:color w:val="auto"/>
          <w:sz w:val="32"/>
          <w:szCs w:val="32"/>
        </w:rPr>
        <w:t>自查自评得20分，此项</w:t>
      </w:r>
      <w:r>
        <w:rPr>
          <w:rFonts w:hint="eastAsia" w:eastAsia="仿宋_GB2312"/>
          <w:color w:val="auto"/>
          <w:sz w:val="32"/>
          <w:szCs w:val="32"/>
          <w:lang w:eastAsia="zh-CN"/>
        </w:rPr>
        <w:t>比</w:t>
      </w:r>
      <w:r>
        <w:rPr>
          <w:rFonts w:eastAsia="仿宋_GB2312"/>
          <w:color w:val="auto"/>
          <w:sz w:val="32"/>
          <w:szCs w:val="32"/>
        </w:rPr>
        <w:t>自治区义务教育均衡发展验收得分</w:t>
      </w:r>
      <w:r>
        <w:rPr>
          <w:rFonts w:hint="eastAsia" w:eastAsia="仿宋_GB2312"/>
          <w:color w:val="auto"/>
          <w:sz w:val="32"/>
          <w:szCs w:val="32"/>
          <w:lang w:eastAsia="zh-CN"/>
        </w:rPr>
        <w:t>提高</w:t>
      </w:r>
      <w:r>
        <w:rPr>
          <w:rFonts w:hint="eastAsia" w:eastAsia="仿宋_GB2312"/>
          <w:color w:val="auto"/>
          <w:sz w:val="32"/>
          <w:szCs w:val="32"/>
          <w:lang w:val="en-US" w:eastAsia="zh-CN"/>
        </w:rPr>
        <w:t>1分</w:t>
      </w:r>
      <w:r>
        <w:rPr>
          <w:rFonts w:eastAsia="仿宋_GB2312"/>
          <w:color w:val="auto"/>
          <w:sz w:val="32"/>
          <w:szCs w:val="32"/>
        </w:rPr>
        <w:t>。</w:t>
      </w:r>
    </w:p>
    <w:p>
      <w:pPr>
        <w:spacing w:line="560" w:lineRule="exact"/>
        <w:ind w:firstLine="643" w:firstLineChars="200"/>
        <w:rPr>
          <w:rFonts w:eastAsia="仿宋_GB2312"/>
          <w:b/>
          <w:color w:val="auto"/>
          <w:sz w:val="32"/>
          <w:szCs w:val="32"/>
        </w:rPr>
      </w:pPr>
      <w:r>
        <w:rPr>
          <w:rFonts w:eastAsia="仿宋_GB2312"/>
          <w:b/>
          <w:color w:val="auto"/>
          <w:sz w:val="32"/>
          <w:szCs w:val="32"/>
        </w:rPr>
        <w:t>（2）A3-B8-C34小学质量检测（65分）</w:t>
      </w:r>
    </w:p>
    <w:p>
      <w:pPr>
        <w:spacing w:line="560" w:lineRule="exact"/>
        <w:ind w:firstLine="643" w:firstLineChars="200"/>
        <w:rPr>
          <w:rFonts w:eastAsia="仿宋_GB2312"/>
          <w:color w:val="auto"/>
          <w:sz w:val="32"/>
          <w:szCs w:val="32"/>
          <w:highlight w:val="none"/>
        </w:rPr>
      </w:pPr>
      <w:r>
        <w:rPr>
          <w:rFonts w:eastAsia="仿宋_GB2312"/>
          <w:b/>
          <w:color w:val="auto"/>
          <w:sz w:val="32"/>
          <w:szCs w:val="32"/>
        </w:rPr>
        <w:t>经自查：</w:t>
      </w:r>
      <w:r>
        <w:rPr>
          <w:rFonts w:hint="eastAsia" w:eastAsia="仿宋_GB2312"/>
          <w:color w:val="auto"/>
          <w:sz w:val="32"/>
          <w:szCs w:val="32"/>
          <w:highlight w:val="none"/>
        </w:rPr>
        <w:t>建立科学的综合素质评价体系。树立科学的教育质量观，推进中小学教育质量综合评价改革。建立和实施学生综合素质评价制度，全面、真实、客观地评价学生的学业成绩和综合素养发展水平。全面客观多元化评价学生，促进学生全面发展。义务教育学校实行学生、学业成绩与成长记录相结合的综合评价方式，小学全面实行考试等级评价制度，初中实行以学业成绩和基础性发展目标为主要内容的综合素质评价制度，中考成绩按等级呈现。学生学业成绩实行课堂表现、作业表现、期末检测综合评价办法，1</w:t>
      </w:r>
      <w:r>
        <w:rPr>
          <w:rFonts w:hint="eastAsia" w:eastAsia="仿宋_GB2312"/>
          <w:color w:val="auto"/>
          <w:sz w:val="32"/>
          <w:szCs w:val="32"/>
          <w:highlight w:val="none"/>
          <w:lang w:eastAsia="zh-CN"/>
        </w:rPr>
        <w:t>—</w:t>
      </w:r>
      <w:r>
        <w:rPr>
          <w:rFonts w:hint="eastAsia" w:eastAsia="仿宋_GB2312"/>
          <w:color w:val="auto"/>
          <w:sz w:val="32"/>
          <w:szCs w:val="32"/>
          <w:highlight w:val="none"/>
        </w:rPr>
        <w:t>2年级按照课堂表现50％，作业表现50％的比例，3</w:t>
      </w:r>
      <w:r>
        <w:rPr>
          <w:rFonts w:hint="eastAsia" w:eastAsia="仿宋_GB2312"/>
          <w:color w:val="auto"/>
          <w:sz w:val="32"/>
          <w:szCs w:val="32"/>
          <w:highlight w:val="none"/>
          <w:lang w:eastAsia="zh-CN"/>
        </w:rPr>
        <w:t>—</w:t>
      </w:r>
      <w:r>
        <w:rPr>
          <w:rFonts w:hint="eastAsia" w:eastAsia="仿宋_GB2312"/>
          <w:color w:val="auto"/>
          <w:sz w:val="32"/>
          <w:szCs w:val="32"/>
          <w:highlight w:val="none"/>
        </w:rPr>
        <w:t>9年级按照课堂表现35％，作业表现35％，期末检测成绩30%的比例全面客观地进行评价。小学1-6年级参测学生18196人，全科合格率达到93.69%。</w:t>
      </w:r>
    </w:p>
    <w:p>
      <w:pPr>
        <w:spacing w:line="560" w:lineRule="exact"/>
        <w:ind w:firstLine="640" w:firstLineChars="200"/>
        <w:rPr>
          <w:rFonts w:eastAsia="仿宋_GB2312"/>
          <w:color w:val="auto"/>
          <w:sz w:val="32"/>
          <w:szCs w:val="32"/>
        </w:rPr>
      </w:pPr>
      <w:r>
        <w:rPr>
          <w:rFonts w:eastAsia="仿宋_GB2312"/>
          <w:color w:val="auto"/>
          <w:sz w:val="32"/>
          <w:szCs w:val="32"/>
        </w:rPr>
        <w:t>存在问题：实行国家通用语言，混合编班后，原双语学校学生成绩普遍偏低，导致教学质量整体提升有一定的困难，因此教学质量有待进一步提高，扣</w:t>
      </w:r>
      <w:r>
        <w:rPr>
          <w:rFonts w:hint="eastAsia" w:eastAsia="仿宋_GB2312"/>
          <w:color w:val="auto"/>
          <w:sz w:val="32"/>
          <w:szCs w:val="32"/>
          <w:lang w:val="en-US" w:eastAsia="zh-CN"/>
        </w:rPr>
        <w:t>1.66</w:t>
      </w:r>
      <w:r>
        <w:rPr>
          <w:rFonts w:eastAsia="仿宋_GB2312"/>
          <w:color w:val="auto"/>
          <w:sz w:val="32"/>
          <w:szCs w:val="32"/>
        </w:rPr>
        <w:t>分。</w:t>
      </w:r>
    </w:p>
    <w:p>
      <w:pPr>
        <w:spacing w:line="560" w:lineRule="exact"/>
        <w:ind w:firstLine="640" w:firstLineChars="200"/>
        <w:rPr>
          <w:rFonts w:eastAsia="仿宋_GB2312"/>
          <w:color w:val="auto"/>
          <w:sz w:val="32"/>
          <w:szCs w:val="32"/>
        </w:rPr>
      </w:pPr>
      <w:r>
        <w:rPr>
          <w:rFonts w:eastAsia="仿宋_GB2312"/>
          <w:color w:val="auto"/>
          <w:sz w:val="32"/>
          <w:szCs w:val="32"/>
        </w:rPr>
        <w:t>自查自评得63.67分</w:t>
      </w:r>
      <w:r>
        <w:rPr>
          <w:rFonts w:hint="eastAsia" w:eastAsia="仿宋_GB2312"/>
          <w:color w:val="auto"/>
          <w:sz w:val="32"/>
          <w:szCs w:val="32"/>
          <w:lang w:eastAsia="zh-CN"/>
        </w:rPr>
        <w:t>，</w:t>
      </w:r>
      <w:r>
        <w:rPr>
          <w:rFonts w:eastAsia="仿宋_GB2312"/>
          <w:color w:val="auto"/>
          <w:sz w:val="32"/>
          <w:szCs w:val="32"/>
        </w:rPr>
        <w:t>此项</w:t>
      </w:r>
      <w:r>
        <w:rPr>
          <w:rFonts w:hint="eastAsia" w:eastAsia="仿宋_GB2312"/>
          <w:color w:val="auto"/>
          <w:sz w:val="32"/>
          <w:szCs w:val="32"/>
          <w:lang w:eastAsia="zh-CN"/>
        </w:rPr>
        <w:t>比</w:t>
      </w:r>
      <w:r>
        <w:rPr>
          <w:rFonts w:eastAsia="仿宋_GB2312"/>
          <w:color w:val="auto"/>
          <w:sz w:val="32"/>
          <w:szCs w:val="32"/>
        </w:rPr>
        <w:t>自治区义务教育均衡发展验收得分</w:t>
      </w:r>
      <w:r>
        <w:rPr>
          <w:rFonts w:hint="eastAsia" w:eastAsia="仿宋_GB2312"/>
          <w:color w:val="auto"/>
          <w:sz w:val="32"/>
          <w:szCs w:val="32"/>
          <w:lang w:eastAsia="zh-CN"/>
        </w:rPr>
        <w:t>提高</w:t>
      </w:r>
      <w:r>
        <w:rPr>
          <w:rFonts w:hint="eastAsia" w:eastAsia="仿宋_GB2312"/>
          <w:color w:val="auto"/>
          <w:sz w:val="32"/>
          <w:szCs w:val="32"/>
          <w:lang w:val="en-US" w:eastAsia="zh-CN"/>
        </w:rPr>
        <w:t>2.14分</w:t>
      </w:r>
      <w:r>
        <w:rPr>
          <w:rFonts w:eastAsia="仿宋_GB2312"/>
          <w:color w:val="auto"/>
          <w:sz w:val="32"/>
          <w:szCs w:val="32"/>
        </w:rPr>
        <w:t>。</w:t>
      </w:r>
    </w:p>
    <w:p>
      <w:pPr>
        <w:spacing w:line="560" w:lineRule="exact"/>
        <w:ind w:firstLine="643" w:firstLineChars="200"/>
        <w:rPr>
          <w:rFonts w:eastAsia="仿宋_GB2312"/>
          <w:b/>
          <w:color w:val="auto"/>
          <w:sz w:val="32"/>
          <w:szCs w:val="32"/>
        </w:rPr>
      </w:pPr>
      <w:r>
        <w:rPr>
          <w:rFonts w:eastAsia="仿宋_GB2312"/>
          <w:b/>
          <w:color w:val="auto"/>
          <w:sz w:val="32"/>
          <w:szCs w:val="32"/>
        </w:rPr>
        <w:t>（3）A3-B8-C35初中质量检测（65分）</w:t>
      </w:r>
    </w:p>
    <w:p>
      <w:pPr>
        <w:spacing w:line="560" w:lineRule="exact"/>
        <w:ind w:firstLine="643" w:firstLineChars="200"/>
        <w:rPr>
          <w:rFonts w:eastAsia="仿宋_GB2312"/>
          <w:color w:val="auto"/>
          <w:sz w:val="32"/>
          <w:szCs w:val="32"/>
        </w:rPr>
      </w:pPr>
      <w:r>
        <w:rPr>
          <w:rFonts w:eastAsia="仿宋_GB2312"/>
          <w:b/>
          <w:color w:val="auto"/>
          <w:sz w:val="32"/>
          <w:szCs w:val="32"/>
        </w:rPr>
        <w:t>经自查：</w:t>
      </w:r>
      <w:r>
        <w:rPr>
          <w:rFonts w:hint="eastAsia" w:eastAsia="仿宋_GB2312"/>
          <w:color w:val="auto"/>
          <w:sz w:val="32"/>
          <w:szCs w:val="32"/>
          <w:highlight w:val="none"/>
        </w:rPr>
        <w:t>建立科学的综合素质评价体系。树立科学的教育质量观，推进中小学教育质量综合评价改革。建立和实施学生综合素质评价制度，全面、真实、客观地评价学生的学业成绩和综合素养发展水平。全面客观多元化评价学生，促进学生全面发展。义务教育学校实行学生、学业成绩与成长记录相结合的综合评价方式，小学全面实行考试等级评价制度，初中实行以学业成绩和基础性发展目标为主要内容的综合素质评价制度，中考成绩按等级呈现。学生学业成绩实行课堂表现、作业表现、期末检测综合评价办法，1</w:t>
      </w:r>
      <w:r>
        <w:rPr>
          <w:rFonts w:hint="eastAsia" w:eastAsia="仿宋_GB2312"/>
          <w:color w:val="auto"/>
          <w:sz w:val="32"/>
          <w:szCs w:val="32"/>
          <w:highlight w:val="none"/>
          <w:lang w:eastAsia="zh-CN"/>
        </w:rPr>
        <w:t>—</w:t>
      </w:r>
      <w:r>
        <w:rPr>
          <w:rFonts w:hint="eastAsia" w:eastAsia="仿宋_GB2312"/>
          <w:color w:val="auto"/>
          <w:sz w:val="32"/>
          <w:szCs w:val="32"/>
          <w:highlight w:val="none"/>
        </w:rPr>
        <w:t>2年级按照课堂表现50％，作业表现50％的比例，3</w:t>
      </w:r>
      <w:r>
        <w:rPr>
          <w:rFonts w:hint="eastAsia" w:eastAsia="仿宋_GB2312"/>
          <w:color w:val="auto"/>
          <w:sz w:val="32"/>
          <w:szCs w:val="32"/>
          <w:highlight w:val="none"/>
          <w:lang w:eastAsia="zh-CN"/>
        </w:rPr>
        <w:t>—</w:t>
      </w:r>
      <w:r>
        <w:rPr>
          <w:rFonts w:hint="eastAsia" w:eastAsia="仿宋_GB2312"/>
          <w:color w:val="auto"/>
          <w:sz w:val="32"/>
          <w:szCs w:val="32"/>
          <w:highlight w:val="none"/>
        </w:rPr>
        <w:t>9年级按照课堂表现35％，作业表现35％，期末检测成绩30%的比例全面客观地进行评价。</w:t>
      </w:r>
      <w:r>
        <w:rPr>
          <w:rFonts w:hint="eastAsia" w:eastAsia="仿宋_GB2312"/>
          <w:color w:val="auto"/>
          <w:sz w:val="32"/>
          <w:szCs w:val="32"/>
          <w:highlight w:val="none"/>
          <w:lang w:eastAsia="zh-CN"/>
        </w:rPr>
        <w:t>初中</w:t>
      </w:r>
      <w:r>
        <w:rPr>
          <w:rFonts w:hint="eastAsia" w:eastAsia="仿宋_GB2312"/>
          <w:color w:val="auto"/>
          <w:sz w:val="32"/>
          <w:szCs w:val="32"/>
          <w:highlight w:val="none"/>
          <w:lang w:val="en-US" w:eastAsia="zh-CN"/>
        </w:rPr>
        <w:t>7—9</w:t>
      </w:r>
      <w:r>
        <w:rPr>
          <w:rFonts w:hint="eastAsia" w:eastAsia="仿宋_GB2312"/>
          <w:color w:val="auto"/>
          <w:sz w:val="32"/>
          <w:szCs w:val="32"/>
          <w:highlight w:val="none"/>
        </w:rPr>
        <w:t>年级参测学生</w:t>
      </w:r>
      <w:r>
        <w:rPr>
          <w:rFonts w:hint="eastAsia" w:eastAsia="仿宋_GB2312"/>
          <w:color w:val="auto"/>
          <w:sz w:val="32"/>
          <w:szCs w:val="32"/>
          <w:highlight w:val="none"/>
          <w:lang w:val="en-US" w:eastAsia="zh-CN"/>
        </w:rPr>
        <w:t>8000</w:t>
      </w:r>
      <w:r>
        <w:rPr>
          <w:rFonts w:hint="eastAsia" w:eastAsia="仿宋_GB2312"/>
          <w:color w:val="auto"/>
          <w:sz w:val="32"/>
          <w:szCs w:val="32"/>
          <w:highlight w:val="none"/>
        </w:rPr>
        <w:t>人，全科合格率达到</w:t>
      </w:r>
      <w:r>
        <w:rPr>
          <w:rFonts w:hint="eastAsia" w:eastAsia="仿宋_GB2312"/>
          <w:color w:val="auto"/>
          <w:sz w:val="32"/>
          <w:szCs w:val="32"/>
          <w:highlight w:val="none"/>
          <w:lang w:val="en-US" w:eastAsia="zh-CN"/>
        </w:rPr>
        <w:t>83.69</w:t>
      </w:r>
      <w:r>
        <w:rPr>
          <w:rFonts w:hint="eastAsia" w:eastAsia="仿宋_GB2312"/>
          <w:color w:val="auto"/>
          <w:sz w:val="32"/>
          <w:szCs w:val="32"/>
          <w:highlight w:val="none"/>
        </w:rPr>
        <w:t>%。</w:t>
      </w:r>
    </w:p>
    <w:p>
      <w:pPr>
        <w:spacing w:line="560" w:lineRule="exact"/>
        <w:ind w:firstLine="640" w:firstLineChars="200"/>
        <w:rPr>
          <w:rFonts w:eastAsia="仿宋_GB2312"/>
          <w:color w:val="auto"/>
          <w:sz w:val="32"/>
          <w:szCs w:val="32"/>
        </w:rPr>
      </w:pPr>
      <w:r>
        <w:rPr>
          <w:rFonts w:eastAsia="仿宋_GB2312"/>
          <w:color w:val="auto"/>
          <w:sz w:val="32"/>
          <w:szCs w:val="32"/>
        </w:rPr>
        <w:t>存在问题：实行国家通用语言，混合编班后，原双语学校学生成绩普遍偏低，导致教学质量整体提升有一定的困难，因此教学质量有待进一步提高，扣3</w:t>
      </w:r>
      <w:r>
        <w:rPr>
          <w:rFonts w:hint="eastAsia" w:eastAsia="仿宋_GB2312"/>
          <w:color w:val="auto"/>
          <w:sz w:val="32"/>
          <w:szCs w:val="32"/>
          <w:lang w:val="en-US" w:eastAsia="zh-CN"/>
        </w:rPr>
        <w:t>.66</w:t>
      </w:r>
      <w:r>
        <w:rPr>
          <w:rFonts w:eastAsia="仿宋_GB2312"/>
          <w:color w:val="auto"/>
          <w:sz w:val="32"/>
          <w:szCs w:val="32"/>
        </w:rPr>
        <w:t>分。</w:t>
      </w:r>
    </w:p>
    <w:p>
      <w:pPr>
        <w:spacing w:line="560" w:lineRule="exact"/>
        <w:ind w:firstLine="640" w:firstLineChars="200"/>
        <w:rPr>
          <w:rFonts w:eastAsia="仿宋_GB2312"/>
          <w:color w:val="auto"/>
          <w:sz w:val="32"/>
          <w:szCs w:val="32"/>
        </w:rPr>
      </w:pPr>
      <w:r>
        <w:rPr>
          <w:rFonts w:eastAsia="仿宋_GB2312"/>
          <w:color w:val="auto"/>
          <w:sz w:val="32"/>
          <w:szCs w:val="32"/>
        </w:rPr>
        <w:t>自查自评得6</w:t>
      </w:r>
      <w:r>
        <w:rPr>
          <w:rFonts w:hint="eastAsia" w:eastAsia="仿宋_GB2312"/>
          <w:color w:val="auto"/>
          <w:sz w:val="32"/>
          <w:szCs w:val="32"/>
          <w:lang w:val="en-US" w:eastAsia="zh-CN"/>
        </w:rPr>
        <w:t>1.34</w:t>
      </w:r>
      <w:r>
        <w:rPr>
          <w:rFonts w:eastAsia="仿宋_GB2312"/>
          <w:color w:val="auto"/>
          <w:sz w:val="32"/>
          <w:szCs w:val="32"/>
        </w:rPr>
        <w:t>分。</w:t>
      </w:r>
    </w:p>
    <w:p>
      <w:pPr>
        <w:spacing w:line="560" w:lineRule="exact"/>
        <w:ind w:firstLine="643" w:firstLineChars="200"/>
        <w:rPr>
          <w:rFonts w:eastAsia="仿宋_GB2312"/>
          <w:b/>
          <w:color w:val="auto"/>
          <w:sz w:val="32"/>
          <w:szCs w:val="32"/>
        </w:rPr>
      </w:pPr>
      <w:r>
        <w:rPr>
          <w:rFonts w:eastAsia="仿宋_GB2312"/>
          <w:b/>
          <w:color w:val="auto"/>
          <w:sz w:val="32"/>
          <w:szCs w:val="32"/>
        </w:rPr>
        <w:t>（4）A3-B8-*C36综合素质（20分）</w:t>
      </w:r>
    </w:p>
    <w:p>
      <w:pPr>
        <w:spacing w:line="560" w:lineRule="exact"/>
        <w:ind w:firstLine="643" w:firstLineChars="200"/>
        <w:rPr>
          <w:rFonts w:eastAsia="仿宋_GB2312"/>
          <w:color w:val="auto"/>
          <w:sz w:val="32"/>
          <w:szCs w:val="32"/>
        </w:rPr>
      </w:pPr>
      <w:r>
        <w:rPr>
          <w:rFonts w:eastAsia="仿宋_GB2312"/>
          <w:b/>
          <w:color w:val="auto"/>
          <w:sz w:val="32"/>
          <w:szCs w:val="32"/>
        </w:rPr>
        <w:t>经自查：一、综合素质评定工作：</w:t>
      </w:r>
      <w:r>
        <w:rPr>
          <w:rFonts w:eastAsia="仿宋_GB2312"/>
          <w:color w:val="auto"/>
          <w:sz w:val="32"/>
          <w:szCs w:val="32"/>
        </w:rPr>
        <w:t>出台《特克斯县中</w:t>
      </w:r>
      <w:r>
        <w:rPr>
          <w:rFonts w:hint="eastAsia" w:eastAsia="仿宋_GB2312"/>
          <w:color w:val="auto"/>
          <w:sz w:val="32"/>
          <w:szCs w:val="32"/>
          <w:lang w:eastAsia="zh-CN"/>
        </w:rPr>
        <w:t>小</w:t>
      </w:r>
      <w:r>
        <w:rPr>
          <w:rFonts w:eastAsia="仿宋_GB2312"/>
          <w:color w:val="auto"/>
          <w:sz w:val="32"/>
          <w:szCs w:val="32"/>
        </w:rPr>
        <w:t>学生综合素质评价指导意见》，学校成立学生综合素质评价工作领导小组，以德育处或教务处为实施机构，全面开展中小学综合素质评定工作，县教育局经常性对学校综合素质评价工作进行督导，确保将综合素质评定工作落到实处，逐渐形成学生自评、教师参评的多元评价体系</w:t>
      </w:r>
      <w:r>
        <w:rPr>
          <w:rFonts w:hint="eastAsia" w:eastAsia="仿宋_GB2312"/>
          <w:color w:val="auto"/>
          <w:sz w:val="32"/>
          <w:szCs w:val="32"/>
          <w:lang w:eastAsia="zh-CN"/>
        </w:rPr>
        <w:t>。</w:t>
      </w:r>
      <w:r>
        <w:rPr>
          <w:rFonts w:eastAsia="仿宋_GB2312"/>
          <w:color w:val="auto"/>
          <w:sz w:val="32"/>
          <w:szCs w:val="32"/>
        </w:rPr>
        <w:t>2022-2023学年综合素质评定小学参评</w:t>
      </w:r>
      <w:r>
        <w:rPr>
          <w:rFonts w:hint="eastAsia" w:eastAsia="仿宋_GB2312"/>
          <w:color w:val="auto"/>
          <w:sz w:val="32"/>
          <w:szCs w:val="32"/>
          <w:lang w:val="en-US" w:eastAsia="zh-CN"/>
        </w:rPr>
        <w:t>18251</w:t>
      </w:r>
      <w:r>
        <w:rPr>
          <w:rFonts w:eastAsia="仿宋_GB2312"/>
          <w:color w:val="auto"/>
          <w:sz w:val="32"/>
          <w:szCs w:val="32"/>
        </w:rPr>
        <w:t>人，合格</w:t>
      </w:r>
      <w:r>
        <w:rPr>
          <w:rFonts w:hint="eastAsia" w:eastAsia="仿宋_GB2312"/>
          <w:color w:val="auto"/>
          <w:sz w:val="32"/>
          <w:szCs w:val="32"/>
          <w:lang w:val="en-US" w:eastAsia="zh-CN"/>
        </w:rPr>
        <w:t>18243</w:t>
      </w:r>
      <w:r>
        <w:rPr>
          <w:rFonts w:eastAsia="仿宋_GB2312"/>
          <w:color w:val="auto"/>
          <w:sz w:val="32"/>
          <w:szCs w:val="32"/>
        </w:rPr>
        <w:t>人，小学合格率</w:t>
      </w:r>
      <w:r>
        <w:rPr>
          <w:rFonts w:hint="eastAsia" w:eastAsia="仿宋_GB2312"/>
          <w:color w:val="auto"/>
          <w:sz w:val="32"/>
          <w:szCs w:val="32"/>
          <w:lang w:val="en-US" w:eastAsia="zh-CN"/>
        </w:rPr>
        <w:t>99.9</w:t>
      </w:r>
      <w:r>
        <w:rPr>
          <w:rFonts w:eastAsia="仿宋_GB2312"/>
          <w:color w:val="auto"/>
          <w:sz w:val="32"/>
          <w:szCs w:val="32"/>
        </w:rPr>
        <w:t>%，初中参评</w:t>
      </w:r>
      <w:r>
        <w:rPr>
          <w:rFonts w:hint="eastAsia" w:eastAsia="仿宋_GB2312"/>
          <w:color w:val="auto"/>
          <w:sz w:val="32"/>
          <w:szCs w:val="32"/>
          <w:lang w:val="en-US" w:eastAsia="zh-CN"/>
        </w:rPr>
        <w:t>8019</w:t>
      </w:r>
      <w:r>
        <w:rPr>
          <w:rFonts w:eastAsia="仿宋_GB2312"/>
          <w:color w:val="auto"/>
          <w:sz w:val="32"/>
          <w:szCs w:val="32"/>
        </w:rPr>
        <w:t>人，合格</w:t>
      </w:r>
      <w:r>
        <w:rPr>
          <w:rFonts w:hint="eastAsia" w:eastAsia="仿宋_GB2312"/>
          <w:color w:val="auto"/>
          <w:sz w:val="32"/>
          <w:szCs w:val="32"/>
          <w:lang w:val="en-US" w:eastAsia="zh-CN"/>
        </w:rPr>
        <w:t>8019</w:t>
      </w:r>
      <w:r>
        <w:rPr>
          <w:rFonts w:eastAsia="仿宋_GB2312"/>
          <w:color w:val="auto"/>
          <w:sz w:val="32"/>
          <w:szCs w:val="32"/>
        </w:rPr>
        <w:t>人，初中合格率</w:t>
      </w:r>
      <w:r>
        <w:rPr>
          <w:rFonts w:hint="eastAsia" w:eastAsia="仿宋_GB2312"/>
          <w:color w:val="auto"/>
          <w:sz w:val="32"/>
          <w:szCs w:val="32"/>
          <w:lang w:val="en-US" w:eastAsia="zh-CN"/>
        </w:rPr>
        <w:t>100</w:t>
      </w:r>
      <w:r>
        <w:rPr>
          <w:rFonts w:eastAsia="仿宋_GB2312"/>
          <w:color w:val="auto"/>
          <w:sz w:val="32"/>
          <w:szCs w:val="32"/>
        </w:rPr>
        <w:t>%。</w:t>
      </w:r>
    </w:p>
    <w:p>
      <w:pPr>
        <w:spacing w:line="560" w:lineRule="exact"/>
        <w:ind w:firstLine="643" w:firstLineChars="200"/>
        <w:rPr>
          <w:rFonts w:eastAsia="仿宋_GB2312"/>
          <w:color w:val="auto"/>
          <w:sz w:val="32"/>
          <w:szCs w:val="32"/>
        </w:rPr>
      </w:pPr>
      <w:r>
        <w:rPr>
          <w:rFonts w:eastAsia="仿宋_GB2312"/>
          <w:b/>
          <w:color w:val="auto"/>
          <w:sz w:val="32"/>
          <w:szCs w:val="32"/>
        </w:rPr>
        <w:t>二、学生体质健康监测评价工作：</w:t>
      </w:r>
      <w:r>
        <w:rPr>
          <w:rFonts w:eastAsia="仿宋_GB2312"/>
          <w:color w:val="auto"/>
          <w:sz w:val="32"/>
          <w:szCs w:val="32"/>
        </w:rPr>
        <w:t>严格按照教育部《学生体质健康监测评价办法》，制定《特克斯县学生体质健康数据测试上报工作的监测评价制度》《特克斯县综合防控儿童青少年近视工作实施方案》，每年积极开展学生的体质健康测试工作，落实每年4次的视力筛查，按照规定的程序和要求，对各学校测试的数据进行审核，如发现有学校数据不真实，重新测试，最后录入国家学生体质健康标准数据管理系统。优秀率2020年占10.99%，2021年占</w:t>
      </w:r>
      <w:r>
        <w:rPr>
          <w:rFonts w:hint="eastAsia" w:eastAsia="仿宋_GB2312"/>
          <w:color w:val="auto"/>
          <w:sz w:val="32"/>
          <w:szCs w:val="32"/>
          <w:lang w:val="en-US" w:eastAsia="zh-CN"/>
        </w:rPr>
        <w:t>12.5%</w:t>
      </w:r>
      <w:r>
        <w:rPr>
          <w:rFonts w:eastAsia="仿宋_GB2312"/>
          <w:color w:val="auto"/>
          <w:sz w:val="32"/>
          <w:szCs w:val="32"/>
        </w:rPr>
        <w:t>，2022年占</w:t>
      </w:r>
      <w:r>
        <w:rPr>
          <w:rFonts w:hint="eastAsia" w:eastAsia="仿宋_GB2312"/>
          <w:color w:val="auto"/>
          <w:sz w:val="32"/>
          <w:szCs w:val="32"/>
          <w:lang w:val="en-US" w:eastAsia="zh-CN"/>
        </w:rPr>
        <w:t>9.6%</w:t>
      </w:r>
      <w:r>
        <w:rPr>
          <w:rFonts w:eastAsia="仿宋_GB2312"/>
          <w:color w:val="auto"/>
          <w:sz w:val="32"/>
          <w:szCs w:val="32"/>
        </w:rPr>
        <w:t>。2022年我县小学生参测</w:t>
      </w:r>
      <w:r>
        <w:rPr>
          <w:rFonts w:hint="eastAsia" w:eastAsia="仿宋_GB2312"/>
          <w:color w:val="auto"/>
          <w:sz w:val="32"/>
          <w:szCs w:val="32"/>
          <w:lang w:val="en-US" w:eastAsia="zh-CN"/>
        </w:rPr>
        <w:t>18229</w:t>
      </w:r>
      <w:r>
        <w:rPr>
          <w:rFonts w:eastAsia="仿宋_GB2312"/>
          <w:color w:val="auto"/>
          <w:sz w:val="32"/>
          <w:szCs w:val="32"/>
        </w:rPr>
        <w:t>人，合格人数</w:t>
      </w:r>
      <w:r>
        <w:rPr>
          <w:rFonts w:hint="eastAsia" w:eastAsia="仿宋_GB2312"/>
          <w:color w:val="auto"/>
          <w:sz w:val="32"/>
          <w:szCs w:val="32"/>
          <w:lang w:val="en-US" w:eastAsia="zh-CN"/>
        </w:rPr>
        <w:t>18202</w:t>
      </w:r>
      <w:r>
        <w:rPr>
          <w:rFonts w:eastAsia="仿宋_GB2312"/>
          <w:color w:val="auto"/>
          <w:sz w:val="32"/>
          <w:szCs w:val="32"/>
        </w:rPr>
        <w:t>人，合格率</w:t>
      </w:r>
      <w:r>
        <w:rPr>
          <w:rFonts w:hint="eastAsia" w:eastAsia="仿宋_GB2312"/>
          <w:color w:val="auto"/>
          <w:sz w:val="32"/>
          <w:szCs w:val="32"/>
          <w:lang w:val="en-US" w:eastAsia="zh-CN"/>
        </w:rPr>
        <w:t>99.9</w:t>
      </w:r>
      <w:r>
        <w:rPr>
          <w:rFonts w:eastAsia="仿宋_GB2312"/>
          <w:color w:val="auto"/>
          <w:sz w:val="32"/>
          <w:szCs w:val="32"/>
        </w:rPr>
        <w:t>%；初中生参测</w:t>
      </w:r>
      <w:r>
        <w:rPr>
          <w:rFonts w:hint="eastAsia" w:eastAsia="仿宋_GB2312"/>
          <w:color w:val="auto"/>
          <w:sz w:val="32"/>
          <w:szCs w:val="32"/>
          <w:lang w:val="en-US" w:eastAsia="zh-CN"/>
        </w:rPr>
        <w:t>7959</w:t>
      </w:r>
      <w:r>
        <w:rPr>
          <w:rFonts w:eastAsia="仿宋_GB2312"/>
          <w:color w:val="auto"/>
          <w:sz w:val="32"/>
          <w:szCs w:val="32"/>
        </w:rPr>
        <w:t>人，合格人数</w:t>
      </w:r>
      <w:r>
        <w:rPr>
          <w:rFonts w:hint="eastAsia" w:eastAsia="仿宋_GB2312"/>
          <w:color w:val="auto"/>
          <w:sz w:val="32"/>
          <w:szCs w:val="32"/>
          <w:lang w:val="en-US" w:eastAsia="zh-CN"/>
        </w:rPr>
        <w:t>7934</w:t>
      </w:r>
      <w:r>
        <w:rPr>
          <w:rFonts w:eastAsia="仿宋_GB2312"/>
          <w:color w:val="auto"/>
          <w:sz w:val="32"/>
          <w:szCs w:val="32"/>
        </w:rPr>
        <w:t>人，合格率</w:t>
      </w:r>
      <w:r>
        <w:rPr>
          <w:rFonts w:hint="eastAsia" w:eastAsia="仿宋_GB2312"/>
          <w:color w:val="auto"/>
          <w:sz w:val="32"/>
          <w:szCs w:val="32"/>
          <w:lang w:val="en-US" w:eastAsia="zh-CN"/>
        </w:rPr>
        <w:t>99.7</w:t>
      </w:r>
      <w:r>
        <w:rPr>
          <w:rFonts w:eastAsia="仿宋_GB2312"/>
          <w:color w:val="auto"/>
          <w:sz w:val="32"/>
          <w:szCs w:val="32"/>
        </w:rPr>
        <w:t>%。</w:t>
      </w:r>
    </w:p>
    <w:p>
      <w:pPr>
        <w:spacing w:line="560" w:lineRule="exact"/>
        <w:ind w:firstLine="643" w:firstLineChars="200"/>
        <w:rPr>
          <w:rFonts w:eastAsia="仿宋_GB2312"/>
          <w:color w:val="auto"/>
          <w:sz w:val="32"/>
          <w:szCs w:val="32"/>
        </w:rPr>
      </w:pPr>
      <w:r>
        <w:rPr>
          <w:rFonts w:eastAsia="仿宋_GB2312"/>
          <w:b/>
          <w:color w:val="auto"/>
          <w:sz w:val="32"/>
          <w:szCs w:val="32"/>
        </w:rPr>
        <w:t>三、落实中小学生每天一小时校园体育活动：</w:t>
      </w:r>
      <w:r>
        <w:rPr>
          <w:rFonts w:eastAsia="仿宋_GB2312"/>
          <w:color w:val="auto"/>
          <w:sz w:val="32"/>
          <w:szCs w:val="32"/>
        </w:rPr>
        <w:t>深入贯彻上级有关文件精神，制定《特克斯县关于落实中小学生每天一小时校园体育活动实施方案》，主要采用以下两种模式保障学生在校园内进行一小时的阳光体育活动：（1）体育课+大课间≥一小时体育活动时间</w:t>
      </w:r>
      <w:r>
        <w:rPr>
          <w:rFonts w:hint="eastAsia" w:eastAsia="仿宋_GB2312"/>
          <w:color w:val="auto"/>
          <w:sz w:val="32"/>
          <w:szCs w:val="32"/>
          <w:lang w:eastAsia="zh-CN"/>
        </w:rPr>
        <w:t>；</w:t>
      </w:r>
      <w:r>
        <w:rPr>
          <w:rFonts w:eastAsia="仿宋_GB2312"/>
          <w:color w:val="auto"/>
          <w:sz w:val="32"/>
          <w:szCs w:val="32"/>
        </w:rPr>
        <w:t>（2）阳光体育课+大课间≥一小时体育活动时间。各学校将校园体育活动时间和内容纳入学校教学计划，并列入学校课程表，通过举办各级各类中小学体育活动，进一步推动“阳光体育活动”。如：每年举办中小学生乒乓球比赛、中学生篮球赛等活动。</w:t>
      </w:r>
    </w:p>
    <w:p>
      <w:pPr>
        <w:spacing w:line="560" w:lineRule="exact"/>
        <w:ind w:firstLine="643" w:firstLineChars="200"/>
        <w:rPr>
          <w:rFonts w:eastAsia="仿宋_GB2312"/>
          <w:color w:val="auto"/>
          <w:sz w:val="32"/>
          <w:szCs w:val="32"/>
        </w:rPr>
      </w:pPr>
      <w:r>
        <w:rPr>
          <w:rFonts w:eastAsia="仿宋_GB2312"/>
          <w:b/>
          <w:color w:val="auto"/>
          <w:sz w:val="32"/>
          <w:szCs w:val="32"/>
        </w:rPr>
        <w:t>四、开展“体育、艺术2+1项目”工作：</w:t>
      </w:r>
      <w:r>
        <w:rPr>
          <w:rFonts w:eastAsia="仿宋_GB2312"/>
          <w:color w:val="auto"/>
          <w:sz w:val="32"/>
          <w:szCs w:val="32"/>
        </w:rPr>
        <w:t>深入贯彻全面发展的育人观念，不断加强和改进学校体育、艺术教育，制定《特克斯县义务教育阶段中小学“体育、艺术2+1项目”实施方案》，加强对各学校的检查和指导，确保全县“体育、艺术2+1项目”覆盖率达到规划目标，每</w:t>
      </w:r>
      <w:r>
        <w:rPr>
          <w:rFonts w:hint="eastAsia" w:eastAsia="仿宋_GB2312"/>
          <w:color w:val="auto"/>
          <w:sz w:val="32"/>
          <w:szCs w:val="32"/>
          <w:lang w:eastAsia="zh-CN"/>
        </w:rPr>
        <w:t>名</w:t>
      </w:r>
      <w:r>
        <w:rPr>
          <w:rFonts w:eastAsia="仿宋_GB2312"/>
          <w:color w:val="auto"/>
          <w:sz w:val="32"/>
          <w:szCs w:val="32"/>
        </w:rPr>
        <w:t>学生至少学习掌握两项体育技能和一项艺术特长。为打造易经文化，目前全县师生人人练习二十四式太极拳，已逐步成为全县中小学生掌握的一项体育技能。</w:t>
      </w:r>
    </w:p>
    <w:p>
      <w:pPr>
        <w:spacing w:line="560" w:lineRule="exact"/>
        <w:ind w:firstLine="640" w:firstLineChars="200"/>
        <w:rPr>
          <w:rFonts w:eastAsia="仿宋_GB2312"/>
          <w:color w:val="auto"/>
          <w:sz w:val="32"/>
          <w:szCs w:val="32"/>
        </w:rPr>
      </w:pPr>
      <w:r>
        <w:rPr>
          <w:rFonts w:eastAsia="仿宋_GB2312"/>
          <w:color w:val="auto"/>
          <w:sz w:val="32"/>
          <w:szCs w:val="32"/>
        </w:rPr>
        <w:t>自查自评得20分，此项与自治区义务教育均衡发展验收得分持平。</w:t>
      </w:r>
    </w:p>
    <w:p>
      <w:pPr>
        <w:spacing w:line="560" w:lineRule="exact"/>
        <w:ind w:firstLine="643" w:firstLineChars="200"/>
        <w:rPr>
          <w:rFonts w:eastAsia="仿宋_GB2312"/>
          <w:b/>
          <w:color w:val="auto"/>
          <w:sz w:val="32"/>
          <w:szCs w:val="32"/>
        </w:rPr>
      </w:pPr>
      <w:r>
        <w:rPr>
          <w:rFonts w:eastAsia="仿宋_GB2312"/>
          <w:b/>
          <w:color w:val="auto"/>
          <w:sz w:val="32"/>
          <w:szCs w:val="32"/>
        </w:rPr>
        <w:t>A3管理与质量（14项C级指标）赋分340分，自查自评得</w:t>
      </w:r>
      <w:r>
        <w:rPr>
          <w:rFonts w:hint="eastAsia" w:eastAsia="仿宋_GB2312"/>
          <w:b/>
          <w:color w:val="auto"/>
          <w:sz w:val="32"/>
          <w:szCs w:val="32"/>
        </w:rPr>
        <w:t>333.68</w:t>
      </w:r>
      <w:r>
        <w:rPr>
          <w:rFonts w:eastAsia="仿宋_GB2312"/>
          <w:b/>
          <w:color w:val="auto"/>
          <w:sz w:val="32"/>
          <w:szCs w:val="32"/>
        </w:rPr>
        <w:t>分。</w:t>
      </w:r>
    </w:p>
    <w:p>
      <w:pPr>
        <w:spacing w:line="560" w:lineRule="exact"/>
        <w:ind w:firstLine="640" w:firstLineChars="200"/>
        <w:rPr>
          <w:rFonts w:eastAsia="黑体"/>
          <w:color w:val="auto"/>
          <w:sz w:val="32"/>
          <w:szCs w:val="32"/>
        </w:rPr>
      </w:pPr>
      <w:r>
        <w:rPr>
          <w:rFonts w:eastAsia="黑体"/>
          <w:color w:val="auto"/>
          <w:sz w:val="32"/>
          <w:szCs w:val="32"/>
        </w:rPr>
        <w:t>四、A4校际均衡(200分)</w:t>
      </w:r>
    </w:p>
    <w:p>
      <w:pPr>
        <w:spacing w:line="560" w:lineRule="exact"/>
        <w:ind w:firstLine="643" w:firstLineChars="200"/>
        <w:rPr>
          <w:rFonts w:eastAsia="仿宋_GB2312"/>
          <w:b/>
          <w:color w:val="auto"/>
          <w:sz w:val="32"/>
          <w:szCs w:val="32"/>
        </w:rPr>
      </w:pPr>
      <w:r>
        <w:rPr>
          <w:rFonts w:eastAsia="仿宋_GB2312"/>
          <w:b/>
          <w:color w:val="auto"/>
          <w:sz w:val="32"/>
          <w:szCs w:val="32"/>
        </w:rPr>
        <w:t>经自查：</w:t>
      </w:r>
    </w:p>
    <w:p>
      <w:pPr>
        <w:spacing w:line="560" w:lineRule="exact"/>
        <w:ind w:firstLine="640" w:firstLineChars="200"/>
        <w:rPr>
          <w:rFonts w:eastAsia="仿宋_GB2312"/>
          <w:color w:val="auto"/>
          <w:sz w:val="32"/>
          <w:szCs w:val="32"/>
        </w:rPr>
      </w:pPr>
      <w:r>
        <w:rPr>
          <w:rFonts w:eastAsia="仿宋_GB2312"/>
          <w:color w:val="auto"/>
          <w:sz w:val="32"/>
          <w:szCs w:val="32"/>
        </w:rPr>
        <w:t>1.关于生均教学及辅助用房面积差异系数。小学27所，教学及辅助用房面积99502.21平方米，生均面积5.88平方米;初中学校7所，教学及辅助用房面积49704.33平方米，生均面积6.19平方米。经测算生均教学及辅助用房面积差异系数小学为0.2547，小于规定的0.65，达到标准；初中为0.1799，小于规定的0.55，达到标准。</w:t>
      </w:r>
    </w:p>
    <w:p>
      <w:pPr>
        <w:spacing w:line="560" w:lineRule="exact"/>
        <w:ind w:firstLine="640" w:firstLineChars="200"/>
        <w:rPr>
          <w:rFonts w:eastAsia="仿宋_GB2312"/>
          <w:color w:val="auto"/>
          <w:sz w:val="32"/>
          <w:szCs w:val="32"/>
        </w:rPr>
      </w:pPr>
      <w:r>
        <w:rPr>
          <w:rFonts w:eastAsia="仿宋_GB2312"/>
          <w:color w:val="auto"/>
          <w:sz w:val="32"/>
          <w:szCs w:val="32"/>
        </w:rPr>
        <w:t>2.关于生均体育运动场馆面积差异系数。小学27所，体育运动场馆面积185247平方米，生均10.95平方米；初中学校7所，体育运动场馆面积67482平方米，生均8.40平方米，全部具备体育课、课间操和课外活动所需场地。经测算生均体育运动场馆面积差异系数小学为0.4114，小于规定的0.65；初中为0.2900，小于规定的0.55，达到标准。</w:t>
      </w:r>
    </w:p>
    <w:p>
      <w:pPr>
        <w:spacing w:line="560" w:lineRule="exact"/>
        <w:ind w:firstLine="640" w:firstLineChars="200"/>
        <w:rPr>
          <w:rFonts w:eastAsia="仿宋_GB2312"/>
          <w:color w:val="auto"/>
          <w:sz w:val="32"/>
          <w:szCs w:val="32"/>
        </w:rPr>
      </w:pPr>
      <w:r>
        <w:rPr>
          <w:rFonts w:eastAsia="仿宋_GB2312"/>
          <w:color w:val="auto"/>
          <w:sz w:val="32"/>
          <w:szCs w:val="32"/>
        </w:rPr>
        <w:t>3.关于生均教学仪器设备值差异系数。义务教育学校教学仪器按《自治区教学仪器配备标准》分学科、分年度配置，目前34所中小学均已配齐教学仪器设备。教学仪器生均设备值：小学4468.37万元，生均2642.13元；中学为2207.92万元，生均2749.24元。经测算生均教学仪器设备差异系数小学为0.3434，小于规定的0.65；初中为0.2836，小于规定的0.55，达到标准。</w:t>
      </w:r>
    </w:p>
    <w:p>
      <w:pPr>
        <w:spacing w:line="560" w:lineRule="exact"/>
        <w:ind w:firstLine="640" w:firstLineChars="200"/>
        <w:rPr>
          <w:rFonts w:eastAsia="仿宋_GB2312"/>
          <w:color w:val="auto"/>
          <w:sz w:val="32"/>
          <w:szCs w:val="32"/>
        </w:rPr>
      </w:pPr>
      <w:r>
        <w:rPr>
          <w:rFonts w:eastAsia="仿宋_GB2312"/>
          <w:color w:val="auto"/>
          <w:sz w:val="32"/>
          <w:szCs w:val="32"/>
        </w:rPr>
        <w:t>4.关于每百名学生拥有计算机台数差异系数。小学学生计算机台数1656台，小学生机比为10：1；中学学生计算机台数677台，中学生机比为9：1。小学差异系数为0.2828，小于规定的0.65；初中差异系数为0.1341，小于规定的0.55，达到标准。</w:t>
      </w:r>
    </w:p>
    <w:p>
      <w:pPr>
        <w:spacing w:line="560" w:lineRule="exact"/>
        <w:ind w:firstLine="640" w:firstLineChars="200"/>
        <w:rPr>
          <w:rFonts w:eastAsia="仿宋_GB2312"/>
          <w:color w:val="auto"/>
          <w:sz w:val="32"/>
          <w:szCs w:val="32"/>
        </w:rPr>
      </w:pPr>
      <w:r>
        <w:rPr>
          <w:rFonts w:eastAsia="仿宋_GB2312"/>
          <w:color w:val="auto"/>
          <w:sz w:val="32"/>
          <w:szCs w:val="32"/>
        </w:rPr>
        <w:t>5.关于生均图书册数差异系数。义务教育段各中小学均配备图书室，小学图书总册数为395075册，生均册数为23.36册；初中图书总册数为253300册，生均册数为31.54册。小学差异系数是0.1309，小于规定的0.65；初中差异系数是0.0756，小于规定的0.55，达到标准。</w:t>
      </w:r>
    </w:p>
    <w:p>
      <w:pPr>
        <w:spacing w:line="560" w:lineRule="exact"/>
        <w:ind w:firstLine="640" w:firstLineChars="200"/>
        <w:rPr>
          <w:rFonts w:eastAsia="仿宋_GB2312"/>
          <w:color w:val="auto"/>
          <w:sz w:val="32"/>
          <w:szCs w:val="32"/>
        </w:rPr>
      </w:pPr>
      <w:r>
        <w:rPr>
          <w:rFonts w:eastAsia="仿宋_GB2312"/>
          <w:color w:val="auto"/>
          <w:sz w:val="32"/>
          <w:szCs w:val="32"/>
        </w:rPr>
        <w:t>6.关于生师比均衡差异系数。义务教育学校专任教师小学为1048人，初中 561人。小学学生数16912人，初中学生数为8031人，城镇小学生师比为17.5：1，城镇初中生师比为15.8：1，农村小学班师比1:2.3，初中班师比1：3.5，均达到自治区规定标准。小学差异系数为0.2130，小于规定的0.65；初中差异系数为0.08850，小于规定的0.55，达到标准。</w:t>
      </w:r>
    </w:p>
    <w:p>
      <w:pPr>
        <w:spacing w:line="560" w:lineRule="exact"/>
        <w:ind w:firstLine="640" w:firstLineChars="200"/>
        <w:rPr>
          <w:rFonts w:eastAsia="仿宋_GB2312"/>
          <w:color w:val="auto"/>
          <w:sz w:val="32"/>
          <w:szCs w:val="32"/>
        </w:rPr>
      </w:pPr>
      <w:r>
        <w:rPr>
          <w:rFonts w:eastAsia="仿宋_GB2312"/>
          <w:color w:val="auto"/>
          <w:sz w:val="32"/>
          <w:szCs w:val="32"/>
        </w:rPr>
        <w:t>7.关于生均高于规定学历教师差异系数。小学高于规定学历教师人数为1023人，初中高于规定学历教师人数为408人。小学差异系数为0.2179，小于规定的0.65；初中差异系数为0.0826，小于规定的0.55，达到标准。</w:t>
      </w:r>
    </w:p>
    <w:p>
      <w:pPr>
        <w:spacing w:line="560" w:lineRule="exact"/>
        <w:ind w:firstLine="640" w:firstLineChars="200"/>
        <w:rPr>
          <w:rFonts w:eastAsia="仿宋_GB2312"/>
          <w:color w:val="auto"/>
          <w:sz w:val="32"/>
          <w:szCs w:val="32"/>
        </w:rPr>
      </w:pPr>
      <w:r>
        <w:rPr>
          <w:rFonts w:eastAsia="仿宋_GB2312"/>
          <w:color w:val="auto"/>
          <w:sz w:val="32"/>
          <w:szCs w:val="32"/>
        </w:rPr>
        <w:t>8.关于生均中级以上专业技术职务教师数差异系数。小学中级以上专业技术职务教师数为447人，初中中级以上专业技术职务教师数为239人。小学差异系数为0.4412，小于规定的0.65，达到标准；初中差异系数为0.2667，小于规定的0.55，达到标准。</w:t>
      </w:r>
    </w:p>
    <w:p>
      <w:pPr>
        <w:spacing w:line="560" w:lineRule="exact"/>
        <w:ind w:firstLine="640" w:firstLineChars="200"/>
        <w:rPr>
          <w:rFonts w:eastAsia="仿宋_GB2312"/>
          <w:color w:val="auto"/>
          <w:sz w:val="32"/>
          <w:szCs w:val="32"/>
        </w:rPr>
      </w:pPr>
      <w:r>
        <w:rPr>
          <w:rFonts w:eastAsia="仿宋_GB2312"/>
          <w:color w:val="auto"/>
          <w:sz w:val="32"/>
          <w:szCs w:val="32"/>
        </w:rPr>
        <w:t>综合计算，县域内校际间均衡状况8项指标综合差异系数小学≤0.65，为0.2869 ；初中≤0.55，为0.1751。</w:t>
      </w:r>
    </w:p>
    <w:p>
      <w:pPr>
        <w:spacing w:line="560" w:lineRule="exact"/>
        <w:ind w:firstLine="643" w:firstLineChars="200"/>
        <w:rPr>
          <w:rFonts w:eastAsia="仿宋_GB2312"/>
          <w:b/>
          <w:bCs/>
          <w:color w:val="auto"/>
          <w:sz w:val="32"/>
          <w:szCs w:val="32"/>
        </w:rPr>
      </w:pPr>
      <w:r>
        <w:rPr>
          <w:rFonts w:eastAsia="仿宋_GB2312"/>
          <w:b/>
          <w:color w:val="auto"/>
          <w:sz w:val="32"/>
          <w:szCs w:val="32"/>
        </w:rPr>
        <w:t>A4校际均衡</w:t>
      </w:r>
      <w:r>
        <w:rPr>
          <w:rFonts w:hint="eastAsia" w:eastAsia="仿宋_GB2312"/>
          <w:b/>
          <w:color w:val="auto"/>
          <w:sz w:val="32"/>
          <w:szCs w:val="32"/>
          <w:lang w:val="en-US" w:eastAsia="zh-CN"/>
        </w:rPr>
        <w:t>8项指标</w:t>
      </w:r>
      <w:r>
        <w:rPr>
          <w:rFonts w:eastAsia="仿宋_GB2312"/>
          <w:b/>
          <w:color w:val="auto"/>
          <w:sz w:val="32"/>
          <w:szCs w:val="32"/>
        </w:rPr>
        <w:t>赋分200分，自查自评得200分</w:t>
      </w:r>
      <w:r>
        <w:rPr>
          <w:rFonts w:eastAsia="仿宋_GB2312"/>
          <w:b/>
          <w:bCs/>
          <w:color w:val="auto"/>
          <w:sz w:val="32"/>
          <w:szCs w:val="32"/>
        </w:rPr>
        <w:t>，此项与自治区义务教育均衡发展验收得分持平。</w:t>
      </w:r>
    </w:p>
    <w:p>
      <w:pPr>
        <w:pStyle w:val="2"/>
        <w:jc w:val="both"/>
        <w:rPr>
          <w:rFonts w:hint="default" w:ascii="Times New Roman" w:hAnsi="Times New Roman" w:eastAsia="仿宋_GB2312" w:cs="Times New Roman"/>
          <w:sz w:val="32"/>
          <w:szCs w:val="32"/>
          <w:lang w:val="en-US" w:eastAsia="zh-CN"/>
        </w:rPr>
      </w:pPr>
    </w:p>
    <w:p>
      <w:pPr>
        <w:pStyle w:val="2"/>
        <w:jc w:val="both"/>
        <w:rPr>
          <w:rFonts w:hint="default" w:ascii="Times New Roman" w:hAnsi="Times New Roman" w:eastAsia="仿宋_GB2312" w:cs="Times New Roman"/>
          <w:sz w:val="32"/>
          <w:szCs w:val="32"/>
          <w:lang w:val="en-US" w:eastAsia="zh-CN"/>
        </w:rPr>
      </w:pPr>
    </w:p>
    <w:p>
      <w:pPr>
        <w:pStyle w:val="2"/>
        <w:jc w:val="both"/>
        <w:rPr>
          <w:rFonts w:hint="default" w:ascii="Times New Roman" w:hAnsi="Times New Roman" w:eastAsia="仿宋_GB2312" w:cs="Times New Roman"/>
          <w:sz w:val="32"/>
          <w:szCs w:val="32"/>
          <w:lang w:val="en-US" w:eastAsia="zh-CN"/>
        </w:rPr>
      </w:pPr>
    </w:p>
    <w:p>
      <w:pPr>
        <w:pStyle w:val="2"/>
        <w:ind w:firstLine="5760" w:firstLineChars="18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特克斯县人民政府</w:t>
      </w:r>
    </w:p>
    <w:p>
      <w:pPr>
        <w:ind w:firstLine="5760" w:firstLineChars="18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2023年3月1日</w:t>
      </w:r>
    </w:p>
    <w:sectPr>
      <w:headerReference r:id="rId3" w:type="default"/>
      <w:footerReference r:id="rId4" w:type="default"/>
      <w:footerReference r:id="rId5" w:type="even"/>
      <w:pgSz w:w="11907" w:h="16840"/>
      <w:pgMar w:top="2098" w:right="1531" w:bottom="1985" w:left="1531" w:header="1134" w:footer="1474"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117</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117</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2C"/>
    <w:rsid w:val="00000920"/>
    <w:rsid w:val="0000118D"/>
    <w:rsid w:val="00007AC9"/>
    <w:rsid w:val="00016F28"/>
    <w:rsid w:val="000178D3"/>
    <w:rsid w:val="00020A76"/>
    <w:rsid w:val="00022060"/>
    <w:rsid w:val="00023083"/>
    <w:rsid w:val="0002403C"/>
    <w:rsid w:val="00026B84"/>
    <w:rsid w:val="00035861"/>
    <w:rsid w:val="00036EA8"/>
    <w:rsid w:val="00037CE0"/>
    <w:rsid w:val="000437D9"/>
    <w:rsid w:val="00045FCE"/>
    <w:rsid w:val="00046ED7"/>
    <w:rsid w:val="00052608"/>
    <w:rsid w:val="00056142"/>
    <w:rsid w:val="00063444"/>
    <w:rsid w:val="000660BD"/>
    <w:rsid w:val="0007227B"/>
    <w:rsid w:val="00073CEE"/>
    <w:rsid w:val="00074579"/>
    <w:rsid w:val="0008400A"/>
    <w:rsid w:val="00094F62"/>
    <w:rsid w:val="000A05EC"/>
    <w:rsid w:val="000A3E3C"/>
    <w:rsid w:val="000A4C82"/>
    <w:rsid w:val="000A52F2"/>
    <w:rsid w:val="000A5F79"/>
    <w:rsid w:val="000B1B12"/>
    <w:rsid w:val="000B23C3"/>
    <w:rsid w:val="000B3B33"/>
    <w:rsid w:val="000B47D9"/>
    <w:rsid w:val="000D36A3"/>
    <w:rsid w:val="000D46AE"/>
    <w:rsid w:val="000D6184"/>
    <w:rsid w:val="000D65B5"/>
    <w:rsid w:val="000D7272"/>
    <w:rsid w:val="000D7992"/>
    <w:rsid w:val="000D7CB6"/>
    <w:rsid w:val="000E1010"/>
    <w:rsid w:val="000E6332"/>
    <w:rsid w:val="000F0343"/>
    <w:rsid w:val="000F123D"/>
    <w:rsid w:val="000F5CFC"/>
    <w:rsid w:val="000F5FAC"/>
    <w:rsid w:val="00102A47"/>
    <w:rsid w:val="00103759"/>
    <w:rsid w:val="00104102"/>
    <w:rsid w:val="0010783E"/>
    <w:rsid w:val="00121CD8"/>
    <w:rsid w:val="00127BBD"/>
    <w:rsid w:val="00130E05"/>
    <w:rsid w:val="00135ABD"/>
    <w:rsid w:val="001367DE"/>
    <w:rsid w:val="00142CA6"/>
    <w:rsid w:val="001438E9"/>
    <w:rsid w:val="001442AD"/>
    <w:rsid w:val="001536A8"/>
    <w:rsid w:val="00156973"/>
    <w:rsid w:val="0016092F"/>
    <w:rsid w:val="00162A3D"/>
    <w:rsid w:val="00170134"/>
    <w:rsid w:val="00170D75"/>
    <w:rsid w:val="00172D5E"/>
    <w:rsid w:val="00173566"/>
    <w:rsid w:val="0017475A"/>
    <w:rsid w:val="00186A0D"/>
    <w:rsid w:val="001905FC"/>
    <w:rsid w:val="00191727"/>
    <w:rsid w:val="00193C65"/>
    <w:rsid w:val="00194490"/>
    <w:rsid w:val="00194954"/>
    <w:rsid w:val="0019780F"/>
    <w:rsid w:val="001A217B"/>
    <w:rsid w:val="001A27A5"/>
    <w:rsid w:val="001A4A75"/>
    <w:rsid w:val="001B3A6C"/>
    <w:rsid w:val="001B4F0D"/>
    <w:rsid w:val="001B7CB5"/>
    <w:rsid w:val="001C2EFE"/>
    <w:rsid w:val="001C43D3"/>
    <w:rsid w:val="001D0979"/>
    <w:rsid w:val="001D4572"/>
    <w:rsid w:val="001E0BC9"/>
    <w:rsid w:val="001E1C6A"/>
    <w:rsid w:val="001E54D1"/>
    <w:rsid w:val="001F5B86"/>
    <w:rsid w:val="002014A1"/>
    <w:rsid w:val="00202FDF"/>
    <w:rsid w:val="00203448"/>
    <w:rsid w:val="00207688"/>
    <w:rsid w:val="00207A29"/>
    <w:rsid w:val="00211047"/>
    <w:rsid w:val="002139CE"/>
    <w:rsid w:val="00215F23"/>
    <w:rsid w:val="002179FB"/>
    <w:rsid w:val="00227783"/>
    <w:rsid w:val="0023301D"/>
    <w:rsid w:val="0023766A"/>
    <w:rsid w:val="00243CD7"/>
    <w:rsid w:val="00245277"/>
    <w:rsid w:val="002531C8"/>
    <w:rsid w:val="00256A3B"/>
    <w:rsid w:val="00283159"/>
    <w:rsid w:val="00292DAE"/>
    <w:rsid w:val="00295F50"/>
    <w:rsid w:val="002B2ED9"/>
    <w:rsid w:val="002B32A3"/>
    <w:rsid w:val="002C0089"/>
    <w:rsid w:val="002C6E68"/>
    <w:rsid w:val="002D448F"/>
    <w:rsid w:val="002D6201"/>
    <w:rsid w:val="002E28F3"/>
    <w:rsid w:val="002E321C"/>
    <w:rsid w:val="002F09F9"/>
    <w:rsid w:val="002F1B06"/>
    <w:rsid w:val="002F3AF3"/>
    <w:rsid w:val="002F45BA"/>
    <w:rsid w:val="002F545F"/>
    <w:rsid w:val="00316472"/>
    <w:rsid w:val="0032339B"/>
    <w:rsid w:val="003277C3"/>
    <w:rsid w:val="0033172D"/>
    <w:rsid w:val="0034126D"/>
    <w:rsid w:val="00346BED"/>
    <w:rsid w:val="0034721E"/>
    <w:rsid w:val="00357E30"/>
    <w:rsid w:val="00361855"/>
    <w:rsid w:val="0036254C"/>
    <w:rsid w:val="0036556B"/>
    <w:rsid w:val="00371288"/>
    <w:rsid w:val="0037606F"/>
    <w:rsid w:val="0038358F"/>
    <w:rsid w:val="0038724C"/>
    <w:rsid w:val="00391A38"/>
    <w:rsid w:val="00394A24"/>
    <w:rsid w:val="003A317A"/>
    <w:rsid w:val="003A6E30"/>
    <w:rsid w:val="003B09CA"/>
    <w:rsid w:val="003B3AFD"/>
    <w:rsid w:val="003C5349"/>
    <w:rsid w:val="003D0A1B"/>
    <w:rsid w:val="003D1A03"/>
    <w:rsid w:val="003E1BC7"/>
    <w:rsid w:val="003E7AA2"/>
    <w:rsid w:val="003F0544"/>
    <w:rsid w:val="003F1B41"/>
    <w:rsid w:val="003F4F43"/>
    <w:rsid w:val="00400D0C"/>
    <w:rsid w:val="004258D9"/>
    <w:rsid w:val="00433E8A"/>
    <w:rsid w:val="0043626D"/>
    <w:rsid w:val="00437897"/>
    <w:rsid w:val="004401DB"/>
    <w:rsid w:val="00442F90"/>
    <w:rsid w:val="004537C2"/>
    <w:rsid w:val="00460679"/>
    <w:rsid w:val="0046090F"/>
    <w:rsid w:val="00462D70"/>
    <w:rsid w:val="00465866"/>
    <w:rsid w:val="004669D4"/>
    <w:rsid w:val="00474396"/>
    <w:rsid w:val="004749E1"/>
    <w:rsid w:val="004756D6"/>
    <w:rsid w:val="00480154"/>
    <w:rsid w:val="004913F9"/>
    <w:rsid w:val="00491B20"/>
    <w:rsid w:val="004946E6"/>
    <w:rsid w:val="004955BF"/>
    <w:rsid w:val="004A21F3"/>
    <w:rsid w:val="004B03E8"/>
    <w:rsid w:val="004B13B3"/>
    <w:rsid w:val="004C04F6"/>
    <w:rsid w:val="004C1C59"/>
    <w:rsid w:val="004D16DB"/>
    <w:rsid w:val="004D3F4B"/>
    <w:rsid w:val="004D6B66"/>
    <w:rsid w:val="004E4E9A"/>
    <w:rsid w:val="004E5C2E"/>
    <w:rsid w:val="00501E91"/>
    <w:rsid w:val="00502B0E"/>
    <w:rsid w:val="005145B5"/>
    <w:rsid w:val="00515B47"/>
    <w:rsid w:val="00517433"/>
    <w:rsid w:val="00525181"/>
    <w:rsid w:val="0054019E"/>
    <w:rsid w:val="0055025B"/>
    <w:rsid w:val="00551543"/>
    <w:rsid w:val="00557686"/>
    <w:rsid w:val="005614AF"/>
    <w:rsid w:val="005626E1"/>
    <w:rsid w:val="00565DBB"/>
    <w:rsid w:val="005660B7"/>
    <w:rsid w:val="00566AB5"/>
    <w:rsid w:val="00567D8E"/>
    <w:rsid w:val="00571A56"/>
    <w:rsid w:val="00572514"/>
    <w:rsid w:val="0057479A"/>
    <w:rsid w:val="00574D55"/>
    <w:rsid w:val="00580349"/>
    <w:rsid w:val="00594A0C"/>
    <w:rsid w:val="00595DE8"/>
    <w:rsid w:val="005979B4"/>
    <w:rsid w:val="005A0A8B"/>
    <w:rsid w:val="005A4D64"/>
    <w:rsid w:val="005A53D4"/>
    <w:rsid w:val="005C10DA"/>
    <w:rsid w:val="005C306B"/>
    <w:rsid w:val="005C40BE"/>
    <w:rsid w:val="005C5843"/>
    <w:rsid w:val="005D02F4"/>
    <w:rsid w:val="005D45A6"/>
    <w:rsid w:val="005D691A"/>
    <w:rsid w:val="005E149A"/>
    <w:rsid w:val="005E30C4"/>
    <w:rsid w:val="005F00A3"/>
    <w:rsid w:val="005F2681"/>
    <w:rsid w:val="005F271F"/>
    <w:rsid w:val="005F2D0F"/>
    <w:rsid w:val="006025DD"/>
    <w:rsid w:val="006029A2"/>
    <w:rsid w:val="0060499D"/>
    <w:rsid w:val="00605564"/>
    <w:rsid w:val="00605B06"/>
    <w:rsid w:val="006070B1"/>
    <w:rsid w:val="00607B28"/>
    <w:rsid w:val="00610496"/>
    <w:rsid w:val="00615006"/>
    <w:rsid w:val="00617BAD"/>
    <w:rsid w:val="006212BB"/>
    <w:rsid w:val="00622070"/>
    <w:rsid w:val="00624B99"/>
    <w:rsid w:val="00626F7F"/>
    <w:rsid w:val="0062732A"/>
    <w:rsid w:val="00631E29"/>
    <w:rsid w:val="006350C2"/>
    <w:rsid w:val="00635BD1"/>
    <w:rsid w:val="00637AFC"/>
    <w:rsid w:val="00640DC8"/>
    <w:rsid w:val="00644018"/>
    <w:rsid w:val="00645A2C"/>
    <w:rsid w:val="00646206"/>
    <w:rsid w:val="00654EC2"/>
    <w:rsid w:val="00666841"/>
    <w:rsid w:val="0067053E"/>
    <w:rsid w:val="00674C8B"/>
    <w:rsid w:val="00675B3C"/>
    <w:rsid w:val="00692791"/>
    <w:rsid w:val="006A0FB6"/>
    <w:rsid w:val="006A6855"/>
    <w:rsid w:val="006A7B9B"/>
    <w:rsid w:val="006B5B57"/>
    <w:rsid w:val="006B5CBC"/>
    <w:rsid w:val="006C3C3F"/>
    <w:rsid w:val="006D294D"/>
    <w:rsid w:val="006D67DB"/>
    <w:rsid w:val="006D6BFC"/>
    <w:rsid w:val="006E0F81"/>
    <w:rsid w:val="006E1D55"/>
    <w:rsid w:val="006E6A2F"/>
    <w:rsid w:val="006E7ACB"/>
    <w:rsid w:val="006F67C6"/>
    <w:rsid w:val="00701232"/>
    <w:rsid w:val="0070437E"/>
    <w:rsid w:val="00712D9B"/>
    <w:rsid w:val="00717623"/>
    <w:rsid w:val="0072152B"/>
    <w:rsid w:val="00724086"/>
    <w:rsid w:val="0072638A"/>
    <w:rsid w:val="00732E75"/>
    <w:rsid w:val="00736534"/>
    <w:rsid w:val="00742C98"/>
    <w:rsid w:val="00746121"/>
    <w:rsid w:val="00747C03"/>
    <w:rsid w:val="007521D9"/>
    <w:rsid w:val="007559D4"/>
    <w:rsid w:val="00757521"/>
    <w:rsid w:val="00767001"/>
    <w:rsid w:val="00773F0F"/>
    <w:rsid w:val="0077490E"/>
    <w:rsid w:val="007817A3"/>
    <w:rsid w:val="00790037"/>
    <w:rsid w:val="00790DC1"/>
    <w:rsid w:val="00793655"/>
    <w:rsid w:val="007A5A15"/>
    <w:rsid w:val="007C075D"/>
    <w:rsid w:val="007C3A02"/>
    <w:rsid w:val="007C3D15"/>
    <w:rsid w:val="007C6CB9"/>
    <w:rsid w:val="007D5078"/>
    <w:rsid w:val="007D74E5"/>
    <w:rsid w:val="007E25F1"/>
    <w:rsid w:val="007F403F"/>
    <w:rsid w:val="007F5B89"/>
    <w:rsid w:val="007F6B62"/>
    <w:rsid w:val="00802D26"/>
    <w:rsid w:val="00802E0C"/>
    <w:rsid w:val="0081009D"/>
    <w:rsid w:val="00810676"/>
    <w:rsid w:val="008166BF"/>
    <w:rsid w:val="00816D14"/>
    <w:rsid w:val="0082323B"/>
    <w:rsid w:val="00832EA2"/>
    <w:rsid w:val="0083416F"/>
    <w:rsid w:val="0084629B"/>
    <w:rsid w:val="00851B4D"/>
    <w:rsid w:val="00852763"/>
    <w:rsid w:val="00854B60"/>
    <w:rsid w:val="008562B8"/>
    <w:rsid w:val="00857B76"/>
    <w:rsid w:val="00861476"/>
    <w:rsid w:val="008615F4"/>
    <w:rsid w:val="0086351D"/>
    <w:rsid w:val="0087121E"/>
    <w:rsid w:val="008754C2"/>
    <w:rsid w:val="00876754"/>
    <w:rsid w:val="008801A4"/>
    <w:rsid w:val="00887A4C"/>
    <w:rsid w:val="00891317"/>
    <w:rsid w:val="00894C68"/>
    <w:rsid w:val="00896BE2"/>
    <w:rsid w:val="00897834"/>
    <w:rsid w:val="00897B77"/>
    <w:rsid w:val="008A4BB2"/>
    <w:rsid w:val="008A50DE"/>
    <w:rsid w:val="008B3C61"/>
    <w:rsid w:val="008D0C1C"/>
    <w:rsid w:val="008D1794"/>
    <w:rsid w:val="008D3752"/>
    <w:rsid w:val="008D5DFE"/>
    <w:rsid w:val="008D6595"/>
    <w:rsid w:val="008D6846"/>
    <w:rsid w:val="008E1F68"/>
    <w:rsid w:val="008E4686"/>
    <w:rsid w:val="008E7C5F"/>
    <w:rsid w:val="008F1847"/>
    <w:rsid w:val="008F6634"/>
    <w:rsid w:val="00900E14"/>
    <w:rsid w:val="00905F28"/>
    <w:rsid w:val="00907063"/>
    <w:rsid w:val="00910A2C"/>
    <w:rsid w:val="00927084"/>
    <w:rsid w:val="00931ED6"/>
    <w:rsid w:val="0093780E"/>
    <w:rsid w:val="00942359"/>
    <w:rsid w:val="00942683"/>
    <w:rsid w:val="009463E2"/>
    <w:rsid w:val="00951430"/>
    <w:rsid w:val="00960D85"/>
    <w:rsid w:val="00965757"/>
    <w:rsid w:val="00972C51"/>
    <w:rsid w:val="009746CA"/>
    <w:rsid w:val="00984081"/>
    <w:rsid w:val="0098455D"/>
    <w:rsid w:val="009930CB"/>
    <w:rsid w:val="009977B9"/>
    <w:rsid w:val="009A7219"/>
    <w:rsid w:val="009B3FD4"/>
    <w:rsid w:val="009B715B"/>
    <w:rsid w:val="009C0A27"/>
    <w:rsid w:val="009C1EA4"/>
    <w:rsid w:val="009D119A"/>
    <w:rsid w:val="009D5ADB"/>
    <w:rsid w:val="009E0290"/>
    <w:rsid w:val="009E0E65"/>
    <w:rsid w:val="009E11C7"/>
    <w:rsid w:val="009E2561"/>
    <w:rsid w:val="009E25A6"/>
    <w:rsid w:val="009E2979"/>
    <w:rsid w:val="009E327C"/>
    <w:rsid w:val="009E4BC2"/>
    <w:rsid w:val="009E79ED"/>
    <w:rsid w:val="00A006DC"/>
    <w:rsid w:val="00A04C12"/>
    <w:rsid w:val="00A06565"/>
    <w:rsid w:val="00A1262C"/>
    <w:rsid w:val="00A16DDB"/>
    <w:rsid w:val="00A179C9"/>
    <w:rsid w:val="00A21408"/>
    <w:rsid w:val="00A36AB0"/>
    <w:rsid w:val="00A40F96"/>
    <w:rsid w:val="00A464AC"/>
    <w:rsid w:val="00A51AFC"/>
    <w:rsid w:val="00A51B3E"/>
    <w:rsid w:val="00A5340D"/>
    <w:rsid w:val="00A559BD"/>
    <w:rsid w:val="00A55F78"/>
    <w:rsid w:val="00A66899"/>
    <w:rsid w:val="00A67955"/>
    <w:rsid w:val="00A71ABD"/>
    <w:rsid w:val="00A7310C"/>
    <w:rsid w:val="00A75A3C"/>
    <w:rsid w:val="00A77F9E"/>
    <w:rsid w:val="00A815CE"/>
    <w:rsid w:val="00A81C9E"/>
    <w:rsid w:val="00A86D4C"/>
    <w:rsid w:val="00A93936"/>
    <w:rsid w:val="00A972ED"/>
    <w:rsid w:val="00AA381F"/>
    <w:rsid w:val="00AA5BBF"/>
    <w:rsid w:val="00AA64DF"/>
    <w:rsid w:val="00AA7C47"/>
    <w:rsid w:val="00AB16B1"/>
    <w:rsid w:val="00AB276E"/>
    <w:rsid w:val="00AB53D3"/>
    <w:rsid w:val="00AD05D8"/>
    <w:rsid w:val="00AD49F7"/>
    <w:rsid w:val="00AD7584"/>
    <w:rsid w:val="00AE77BC"/>
    <w:rsid w:val="00AF28C7"/>
    <w:rsid w:val="00AF2AD2"/>
    <w:rsid w:val="00AF5EB2"/>
    <w:rsid w:val="00B057B7"/>
    <w:rsid w:val="00B10EA4"/>
    <w:rsid w:val="00B11F62"/>
    <w:rsid w:val="00B16632"/>
    <w:rsid w:val="00B26CD4"/>
    <w:rsid w:val="00B30638"/>
    <w:rsid w:val="00B37066"/>
    <w:rsid w:val="00B376A2"/>
    <w:rsid w:val="00B4053E"/>
    <w:rsid w:val="00B50394"/>
    <w:rsid w:val="00B52D80"/>
    <w:rsid w:val="00B53A18"/>
    <w:rsid w:val="00B61ECB"/>
    <w:rsid w:val="00B625CF"/>
    <w:rsid w:val="00B6331F"/>
    <w:rsid w:val="00B66190"/>
    <w:rsid w:val="00B6764D"/>
    <w:rsid w:val="00B7007B"/>
    <w:rsid w:val="00B756BE"/>
    <w:rsid w:val="00B77340"/>
    <w:rsid w:val="00B805C9"/>
    <w:rsid w:val="00B87529"/>
    <w:rsid w:val="00B925C3"/>
    <w:rsid w:val="00B94736"/>
    <w:rsid w:val="00BA1D31"/>
    <w:rsid w:val="00BA6798"/>
    <w:rsid w:val="00BB0829"/>
    <w:rsid w:val="00BB2E24"/>
    <w:rsid w:val="00BB3E6A"/>
    <w:rsid w:val="00BB426D"/>
    <w:rsid w:val="00BC15AE"/>
    <w:rsid w:val="00BC1A84"/>
    <w:rsid w:val="00BC1D23"/>
    <w:rsid w:val="00BC69CD"/>
    <w:rsid w:val="00BD328E"/>
    <w:rsid w:val="00BD587B"/>
    <w:rsid w:val="00BE1D72"/>
    <w:rsid w:val="00BF141F"/>
    <w:rsid w:val="00BF2A27"/>
    <w:rsid w:val="00BF3DD6"/>
    <w:rsid w:val="00C20B10"/>
    <w:rsid w:val="00C219EE"/>
    <w:rsid w:val="00C22853"/>
    <w:rsid w:val="00C25F94"/>
    <w:rsid w:val="00C33F92"/>
    <w:rsid w:val="00C359D8"/>
    <w:rsid w:val="00C456AC"/>
    <w:rsid w:val="00C52201"/>
    <w:rsid w:val="00C62420"/>
    <w:rsid w:val="00C64F29"/>
    <w:rsid w:val="00C66C31"/>
    <w:rsid w:val="00C703F0"/>
    <w:rsid w:val="00C70802"/>
    <w:rsid w:val="00C847A2"/>
    <w:rsid w:val="00C86FC1"/>
    <w:rsid w:val="00C92221"/>
    <w:rsid w:val="00C96490"/>
    <w:rsid w:val="00CA1641"/>
    <w:rsid w:val="00CB237C"/>
    <w:rsid w:val="00CB5A87"/>
    <w:rsid w:val="00CD23F6"/>
    <w:rsid w:val="00CD492C"/>
    <w:rsid w:val="00CE15CB"/>
    <w:rsid w:val="00CE15F0"/>
    <w:rsid w:val="00CE3628"/>
    <w:rsid w:val="00D03223"/>
    <w:rsid w:val="00D04114"/>
    <w:rsid w:val="00D106CB"/>
    <w:rsid w:val="00D10ADB"/>
    <w:rsid w:val="00D10C39"/>
    <w:rsid w:val="00D14D5C"/>
    <w:rsid w:val="00D16303"/>
    <w:rsid w:val="00D17F26"/>
    <w:rsid w:val="00D2088A"/>
    <w:rsid w:val="00D22A62"/>
    <w:rsid w:val="00D263A3"/>
    <w:rsid w:val="00D32AF2"/>
    <w:rsid w:val="00D33E31"/>
    <w:rsid w:val="00D343C2"/>
    <w:rsid w:val="00D34C53"/>
    <w:rsid w:val="00D3575C"/>
    <w:rsid w:val="00D40B31"/>
    <w:rsid w:val="00D40E18"/>
    <w:rsid w:val="00D42977"/>
    <w:rsid w:val="00D44A87"/>
    <w:rsid w:val="00D44FCF"/>
    <w:rsid w:val="00D47C50"/>
    <w:rsid w:val="00D52068"/>
    <w:rsid w:val="00D554EB"/>
    <w:rsid w:val="00D57660"/>
    <w:rsid w:val="00D6179D"/>
    <w:rsid w:val="00D668DD"/>
    <w:rsid w:val="00D70A02"/>
    <w:rsid w:val="00D7243D"/>
    <w:rsid w:val="00D76E98"/>
    <w:rsid w:val="00D811CB"/>
    <w:rsid w:val="00D815A3"/>
    <w:rsid w:val="00D903E1"/>
    <w:rsid w:val="00D90E07"/>
    <w:rsid w:val="00D9181D"/>
    <w:rsid w:val="00D95DCE"/>
    <w:rsid w:val="00D96CCA"/>
    <w:rsid w:val="00DA2AE1"/>
    <w:rsid w:val="00DA7A0B"/>
    <w:rsid w:val="00DB798A"/>
    <w:rsid w:val="00DC012C"/>
    <w:rsid w:val="00DC3B91"/>
    <w:rsid w:val="00DC6544"/>
    <w:rsid w:val="00DC6AD2"/>
    <w:rsid w:val="00DD051D"/>
    <w:rsid w:val="00DD23A5"/>
    <w:rsid w:val="00DD5E50"/>
    <w:rsid w:val="00DD64AA"/>
    <w:rsid w:val="00DE41E1"/>
    <w:rsid w:val="00DF2D1D"/>
    <w:rsid w:val="00E10B73"/>
    <w:rsid w:val="00E11284"/>
    <w:rsid w:val="00E11F31"/>
    <w:rsid w:val="00E13F63"/>
    <w:rsid w:val="00E15FD6"/>
    <w:rsid w:val="00E2552F"/>
    <w:rsid w:val="00E263BD"/>
    <w:rsid w:val="00E32B0A"/>
    <w:rsid w:val="00E36E52"/>
    <w:rsid w:val="00E37217"/>
    <w:rsid w:val="00E40E35"/>
    <w:rsid w:val="00E46D54"/>
    <w:rsid w:val="00E46E05"/>
    <w:rsid w:val="00E479BF"/>
    <w:rsid w:val="00E6077D"/>
    <w:rsid w:val="00E66F70"/>
    <w:rsid w:val="00E67EAF"/>
    <w:rsid w:val="00E73F56"/>
    <w:rsid w:val="00E74AB3"/>
    <w:rsid w:val="00E75F9F"/>
    <w:rsid w:val="00E76984"/>
    <w:rsid w:val="00E87395"/>
    <w:rsid w:val="00E87A4F"/>
    <w:rsid w:val="00E92045"/>
    <w:rsid w:val="00E924FC"/>
    <w:rsid w:val="00E95BBE"/>
    <w:rsid w:val="00EA0B57"/>
    <w:rsid w:val="00EA31FE"/>
    <w:rsid w:val="00EA669A"/>
    <w:rsid w:val="00EB125E"/>
    <w:rsid w:val="00EB14E7"/>
    <w:rsid w:val="00EB20B0"/>
    <w:rsid w:val="00EB3E8A"/>
    <w:rsid w:val="00EB4ABA"/>
    <w:rsid w:val="00EB4DDD"/>
    <w:rsid w:val="00EB7C8B"/>
    <w:rsid w:val="00EC51CE"/>
    <w:rsid w:val="00ED16D2"/>
    <w:rsid w:val="00ED35C9"/>
    <w:rsid w:val="00ED7334"/>
    <w:rsid w:val="00ED7D2C"/>
    <w:rsid w:val="00EE3B0D"/>
    <w:rsid w:val="00EF0150"/>
    <w:rsid w:val="00EF561B"/>
    <w:rsid w:val="00EF5A37"/>
    <w:rsid w:val="00EF7B4B"/>
    <w:rsid w:val="00F03A4D"/>
    <w:rsid w:val="00F03E18"/>
    <w:rsid w:val="00F0502E"/>
    <w:rsid w:val="00F064BC"/>
    <w:rsid w:val="00F0676C"/>
    <w:rsid w:val="00F154A0"/>
    <w:rsid w:val="00F164C1"/>
    <w:rsid w:val="00F177A6"/>
    <w:rsid w:val="00F202B0"/>
    <w:rsid w:val="00F210A3"/>
    <w:rsid w:val="00F223CF"/>
    <w:rsid w:val="00F244E9"/>
    <w:rsid w:val="00F264AD"/>
    <w:rsid w:val="00F27BB4"/>
    <w:rsid w:val="00F401DA"/>
    <w:rsid w:val="00F447E5"/>
    <w:rsid w:val="00F45E8C"/>
    <w:rsid w:val="00F470B4"/>
    <w:rsid w:val="00F65F3F"/>
    <w:rsid w:val="00F66B3F"/>
    <w:rsid w:val="00F67A41"/>
    <w:rsid w:val="00F70AE4"/>
    <w:rsid w:val="00F73938"/>
    <w:rsid w:val="00F74A1E"/>
    <w:rsid w:val="00F94C1C"/>
    <w:rsid w:val="00F9718A"/>
    <w:rsid w:val="00F97ECA"/>
    <w:rsid w:val="00FA138F"/>
    <w:rsid w:val="00FA41FC"/>
    <w:rsid w:val="00FA4302"/>
    <w:rsid w:val="00FA46C1"/>
    <w:rsid w:val="00FB05D9"/>
    <w:rsid w:val="00FB4311"/>
    <w:rsid w:val="00FB6193"/>
    <w:rsid w:val="00FB7617"/>
    <w:rsid w:val="00FC39A8"/>
    <w:rsid w:val="00FC5BBB"/>
    <w:rsid w:val="00FE0C4A"/>
    <w:rsid w:val="00FE7703"/>
    <w:rsid w:val="00FF0347"/>
    <w:rsid w:val="01254B65"/>
    <w:rsid w:val="019D09ED"/>
    <w:rsid w:val="01B806D6"/>
    <w:rsid w:val="021E4DCA"/>
    <w:rsid w:val="04A97ABE"/>
    <w:rsid w:val="04AE41A3"/>
    <w:rsid w:val="04E265A8"/>
    <w:rsid w:val="059A4F50"/>
    <w:rsid w:val="05BE299A"/>
    <w:rsid w:val="05CF085F"/>
    <w:rsid w:val="05DC28EA"/>
    <w:rsid w:val="07D75D23"/>
    <w:rsid w:val="08831F45"/>
    <w:rsid w:val="09015715"/>
    <w:rsid w:val="09045048"/>
    <w:rsid w:val="09370F2B"/>
    <w:rsid w:val="0B924EE4"/>
    <w:rsid w:val="0BCE48CC"/>
    <w:rsid w:val="0C161BE4"/>
    <w:rsid w:val="0F4F1478"/>
    <w:rsid w:val="0FE3324D"/>
    <w:rsid w:val="10191B30"/>
    <w:rsid w:val="107F2B31"/>
    <w:rsid w:val="117C2117"/>
    <w:rsid w:val="11A97F66"/>
    <w:rsid w:val="12CA7D0E"/>
    <w:rsid w:val="13B81C54"/>
    <w:rsid w:val="14674B3B"/>
    <w:rsid w:val="14BB01D1"/>
    <w:rsid w:val="16537CBA"/>
    <w:rsid w:val="166F3F95"/>
    <w:rsid w:val="178D2015"/>
    <w:rsid w:val="179928FA"/>
    <w:rsid w:val="17A4153D"/>
    <w:rsid w:val="17BC5E61"/>
    <w:rsid w:val="18187E94"/>
    <w:rsid w:val="1944735A"/>
    <w:rsid w:val="19B26608"/>
    <w:rsid w:val="19D92091"/>
    <w:rsid w:val="1A103BBD"/>
    <w:rsid w:val="1A4B2A25"/>
    <w:rsid w:val="1ABB1C18"/>
    <w:rsid w:val="1C6D4A34"/>
    <w:rsid w:val="1D0C5B4B"/>
    <w:rsid w:val="1D2A7DD5"/>
    <w:rsid w:val="1D8B323E"/>
    <w:rsid w:val="1DFE1A0B"/>
    <w:rsid w:val="1E967906"/>
    <w:rsid w:val="1F5919B9"/>
    <w:rsid w:val="1FB44934"/>
    <w:rsid w:val="20DA0FF4"/>
    <w:rsid w:val="20F77FB3"/>
    <w:rsid w:val="217F7568"/>
    <w:rsid w:val="220A4581"/>
    <w:rsid w:val="22344FBF"/>
    <w:rsid w:val="230C3522"/>
    <w:rsid w:val="242F5706"/>
    <w:rsid w:val="25F45AD8"/>
    <w:rsid w:val="2698408B"/>
    <w:rsid w:val="27137810"/>
    <w:rsid w:val="28394D7F"/>
    <w:rsid w:val="28F868FA"/>
    <w:rsid w:val="2B90007C"/>
    <w:rsid w:val="2CB100B6"/>
    <w:rsid w:val="2E0F5A6C"/>
    <w:rsid w:val="2E961800"/>
    <w:rsid w:val="2FF9695B"/>
    <w:rsid w:val="30702ECC"/>
    <w:rsid w:val="30774BF8"/>
    <w:rsid w:val="30CD6D29"/>
    <w:rsid w:val="3191479D"/>
    <w:rsid w:val="31D725CE"/>
    <w:rsid w:val="32183838"/>
    <w:rsid w:val="323C1337"/>
    <w:rsid w:val="325C2647"/>
    <w:rsid w:val="328F2BBB"/>
    <w:rsid w:val="33A94F3C"/>
    <w:rsid w:val="33E5316F"/>
    <w:rsid w:val="34784332"/>
    <w:rsid w:val="378072C2"/>
    <w:rsid w:val="379A03C2"/>
    <w:rsid w:val="384F1B8C"/>
    <w:rsid w:val="38D82B40"/>
    <w:rsid w:val="394E508A"/>
    <w:rsid w:val="39FF68D9"/>
    <w:rsid w:val="3A6C67A0"/>
    <w:rsid w:val="3B940B5D"/>
    <w:rsid w:val="3B9D2320"/>
    <w:rsid w:val="3BAE575D"/>
    <w:rsid w:val="3BB468C1"/>
    <w:rsid w:val="3C73547D"/>
    <w:rsid w:val="3D904BA6"/>
    <w:rsid w:val="3DB01086"/>
    <w:rsid w:val="3E1521FD"/>
    <w:rsid w:val="3E2214A9"/>
    <w:rsid w:val="3F261953"/>
    <w:rsid w:val="3F326A8C"/>
    <w:rsid w:val="3F4A04E0"/>
    <w:rsid w:val="3FEB7339"/>
    <w:rsid w:val="40560A64"/>
    <w:rsid w:val="40EC176D"/>
    <w:rsid w:val="41290A51"/>
    <w:rsid w:val="413425CF"/>
    <w:rsid w:val="429B6146"/>
    <w:rsid w:val="42C11055"/>
    <w:rsid w:val="42EC39A4"/>
    <w:rsid w:val="42F615E4"/>
    <w:rsid w:val="45140A4B"/>
    <w:rsid w:val="45E068FB"/>
    <w:rsid w:val="46FA3EF8"/>
    <w:rsid w:val="46FE6B50"/>
    <w:rsid w:val="47755CF7"/>
    <w:rsid w:val="47BF5032"/>
    <w:rsid w:val="47EB4F6E"/>
    <w:rsid w:val="47F226B4"/>
    <w:rsid w:val="488F0261"/>
    <w:rsid w:val="48E052D5"/>
    <w:rsid w:val="49743168"/>
    <w:rsid w:val="4AFB31D7"/>
    <w:rsid w:val="4BCA52A8"/>
    <w:rsid w:val="4CA9450E"/>
    <w:rsid w:val="4CDC3529"/>
    <w:rsid w:val="4D223F60"/>
    <w:rsid w:val="4D407E4F"/>
    <w:rsid w:val="4E71545C"/>
    <w:rsid w:val="4E902153"/>
    <w:rsid w:val="4E904AA1"/>
    <w:rsid w:val="4ECD0ABD"/>
    <w:rsid w:val="4EFB44F6"/>
    <w:rsid w:val="4F4A7B95"/>
    <w:rsid w:val="4FEF6AE1"/>
    <w:rsid w:val="508052B6"/>
    <w:rsid w:val="511803CC"/>
    <w:rsid w:val="51B66336"/>
    <w:rsid w:val="52D91AFD"/>
    <w:rsid w:val="535540FC"/>
    <w:rsid w:val="53C745AA"/>
    <w:rsid w:val="53E84BEE"/>
    <w:rsid w:val="54AF1EDB"/>
    <w:rsid w:val="55396000"/>
    <w:rsid w:val="55C64B70"/>
    <w:rsid w:val="560042B2"/>
    <w:rsid w:val="56380818"/>
    <w:rsid w:val="568B1031"/>
    <w:rsid w:val="594F4C55"/>
    <w:rsid w:val="598A01AC"/>
    <w:rsid w:val="5BC8752F"/>
    <w:rsid w:val="5C582CFD"/>
    <w:rsid w:val="5D0810A3"/>
    <w:rsid w:val="5D3C70F2"/>
    <w:rsid w:val="5D9248B3"/>
    <w:rsid w:val="5DBE099D"/>
    <w:rsid w:val="5E1920CA"/>
    <w:rsid w:val="5EF87292"/>
    <w:rsid w:val="5F4252EC"/>
    <w:rsid w:val="5FAB77DC"/>
    <w:rsid w:val="60723621"/>
    <w:rsid w:val="61413E86"/>
    <w:rsid w:val="619161C5"/>
    <w:rsid w:val="62160D4A"/>
    <w:rsid w:val="63E667DC"/>
    <w:rsid w:val="65A22397"/>
    <w:rsid w:val="66881F65"/>
    <w:rsid w:val="66DB5139"/>
    <w:rsid w:val="67214F7E"/>
    <w:rsid w:val="67ED513D"/>
    <w:rsid w:val="68104BD3"/>
    <w:rsid w:val="68155A50"/>
    <w:rsid w:val="681F5E62"/>
    <w:rsid w:val="684935C2"/>
    <w:rsid w:val="694306F2"/>
    <w:rsid w:val="6A485E43"/>
    <w:rsid w:val="6A5E5CE1"/>
    <w:rsid w:val="6AB80B8E"/>
    <w:rsid w:val="6AFD659E"/>
    <w:rsid w:val="6B9327D4"/>
    <w:rsid w:val="6BEF75E0"/>
    <w:rsid w:val="6C8D7C33"/>
    <w:rsid w:val="6D8555AB"/>
    <w:rsid w:val="6DEB27EC"/>
    <w:rsid w:val="6F220B64"/>
    <w:rsid w:val="6F534D98"/>
    <w:rsid w:val="6FEB2438"/>
    <w:rsid w:val="70AF5759"/>
    <w:rsid w:val="71C013D3"/>
    <w:rsid w:val="733E0255"/>
    <w:rsid w:val="73644F1B"/>
    <w:rsid w:val="73680296"/>
    <w:rsid w:val="75F168F6"/>
    <w:rsid w:val="766B7A4B"/>
    <w:rsid w:val="77C33256"/>
    <w:rsid w:val="782F4948"/>
    <w:rsid w:val="78463F64"/>
    <w:rsid w:val="78AE7E0A"/>
    <w:rsid w:val="79BA65A3"/>
    <w:rsid w:val="7A0572AE"/>
    <w:rsid w:val="7A18725C"/>
    <w:rsid w:val="7A250DF8"/>
    <w:rsid w:val="7B5C2B63"/>
    <w:rsid w:val="7B876047"/>
    <w:rsid w:val="7C07390F"/>
    <w:rsid w:val="7DE7212A"/>
    <w:rsid w:val="7E39288B"/>
    <w:rsid w:val="7E5E58E2"/>
    <w:rsid w:val="7EA85DAD"/>
    <w:rsid w:val="7EF513DB"/>
    <w:rsid w:val="7FF674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8"/>
    <w:qFormat/>
    <w:uiPriority w:val="0"/>
    <w:pPr>
      <w:widowControl/>
      <w:spacing w:line="289" w:lineRule="atLeast"/>
      <w:jc w:val="center"/>
      <w:textAlignment w:val="baseline"/>
      <w:outlineLvl w:val="1"/>
    </w:pPr>
    <w:rPr>
      <w:color w:val="000000"/>
      <w:sz w:val="28"/>
      <w:lang w:val="zh-CN"/>
    </w:rPr>
  </w:style>
  <w:style w:type="paragraph" w:styleId="3">
    <w:name w:val="heading 3"/>
    <w:basedOn w:val="1"/>
    <w:next w:val="1"/>
    <w:link w:val="19"/>
    <w:semiHidden/>
    <w:unhideWhenUsed/>
    <w:qFormat/>
    <w:uiPriority w:val="0"/>
    <w:pPr>
      <w:keepNext/>
      <w:keepLines/>
      <w:spacing w:before="260" w:after="260" w:line="416" w:lineRule="auto"/>
      <w:outlineLvl w:val="2"/>
    </w:pPr>
    <w:rPr>
      <w:b/>
      <w:bCs/>
      <w:sz w:val="32"/>
      <w:szCs w:val="32"/>
    </w:rPr>
  </w:style>
  <w:style w:type="character" w:default="1" w:styleId="14">
    <w:name w:val="Default Paragraph Font"/>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4">
    <w:name w:val="Document Map"/>
    <w:basedOn w:val="1"/>
    <w:link w:val="32"/>
    <w:qFormat/>
    <w:uiPriority w:val="0"/>
    <w:pPr>
      <w:widowControl/>
      <w:shd w:val="clear" w:color="auto" w:fill="000080"/>
      <w:jc w:val="left"/>
    </w:pPr>
    <w:rPr>
      <w:rFonts w:ascii="宋体" w:hAnsi="宋体" w:cs="宋体"/>
      <w:kern w:val="0"/>
      <w:sz w:val="24"/>
    </w:rPr>
  </w:style>
  <w:style w:type="paragraph" w:styleId="5">
    <w:name w:val="Body Text Indent"/>
    <w:basedOn w:val="1"/>
    <w:link w:val="24"/>
    <w:qFormat/>
    <w:uiPriority w:val="0"/>
    <w:pPr>
      <w:spacing w:after="120"/>
      <w:ind w:left="420" w:leftChars="200"/>
    </w:pPr>
  </w:style>
  <w:style w:type="paragraph" w:styleId="6">
    <w:name w:val="Date"/>
    <w:basedOn w:val="1"/>
    <w:next w:val="1"/>
    <w:link w:val="20"/>
    <w:qFormat/>
    <w:uiPriority w:val="0"/>
    <w:pPr>
      <w:ind w:left="100" w:leftChars="2500"/>
    </w:pPr>
  </w:style>
  <w:style w:type="paragraph" w:styleId="7">
    <w:name w:val="Balloon Text"/>
    <w:basedOn w:val="1"/>
    <w:link w:val="26"/>
    <w:qFormat/>
    <w:uiPriority w:val="0"/>
    <w:rPr>
      <w:sz w:val="18"/>
      <w:szCs w:val="18"/>
    </w:rPr>
  </w:style>
  <w:style w:type="paragraph" w:styleId="8">
    <w:name w:val="footer"/>
    <w:basedOn w:val="1"/>
    <w:link w:val="22"/>
    <w:qFormat/>
    <w:uiPriority w:val="99"/>
    <w:pPr>
      <w:tabs>
        <w:tab w:val="center" w:pos="4153"/>
        <w:tab w:val="right" w:pos="8306"/>
      </w:tabs>
      <w:snapToGrid w:val="0"/>
      <w:jc w:val="left"/>
    </w:pPr>
    <w:rPr>
      <w:sz w:val="18"/>
      <w:szCs w:val="18"/>
    </w:rPr>
  </w:style>
  <w:style w:type="paragraph" w:styleId="9">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100" w:beforeAutospacing="1" w:after="100" w:afterAutospacing="1"/>
      <w:jc w:val="left"/>
    </w:pPr>
    <w:rPr>
      <w:rFonts w:ascii="Calibri" w:hAnsi="Calibri"/>
      <w:kern w:val="0"/>
      <w:sz w:val="24"/>
      <w:szCs w:val="22"/>
    </w:rPr>
  </w:style>
  <w:style w:type="paragraph" w:styleId="11">
    <w:name w:val="Body Text First Indent 2"/>
    <w:basedOn w:val="5"/>
    <w:next w:val="1"/>
    <w:link w:val="25"/>
    <w:qFormat/>
    <w:uiPriority w:val="0"/>
    <w:pPr>
      <w:spacing w:before="100" w:beforeAutospacing="1"/>
      <w:ind w:left="0" w:firstLine="420" w:firstLineChars="200"/>
    </w:p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5">
    <w:name w:val="Strong"/>
    <w:qFormat/>
    <w:uiPriority w:val="22"/>
    <w:rPr>
      <w:b/>
      <w:bCs/>
    </w:rPr>
  </w:style>
  <w:style w:type="character" w:styleId="16">
    <w:name w:val="page number"/>
    <w:basedOn w:val="14"/>
    <w:qFormat/>
    <w:uiPriority w:val="0"/>
  </w:style>
  <w:style w:type="character" w:styleId="17">
    <w:name w:val="Hyperlink"/>
    <w:qFormat/>
    <w:uiPriority w:val="0"/>
    <w:rPr>
      <w:color w:val="0000FF"/>
      <w:u w:val="single"/>
    </w:rPr>
  </w:style>
  <w:style w:type="character" w:customStyle="1" w:styleId="18">
    <w:name w:val="标题 2 Char"/>
    <w:basedOn w:val="14"/>
    <w:link w:val="2"/>
    <w:qFormat/>
    <w:uiPriority w:val="0"/>
    <w:rPr>
      <w:rFonts w:ascii="Times New Roman" w:hAnsi="Times New Roman" w:eastAsia="宋体" w:cs="Times New Roman"/>
      <w:color w:val="000000"/>
      <w:sz w:val="28"/>
      <w:szCs w:val="24"/>
      <w:lang w:val="zh-CN" w:eastAsia="zh-CN"/>
    </w:rPr>
  </w:style>
  <w:style w:type="character" w:customStyle="1" w:styleId="19">
    <w:name w:val="标题 3 Char"/>
    <w:basedOn w:val="14"/>
    <w:link w:val="3"/>
    <w:semiHidden/>
    <w:qFormat/>
    <w:uiPriority w:val="0"/>
    <w:rPr>
      <w:rFonts w:ascii="Times New Roman" w:hAnsi="Times New Roman" w:eastAsia="宋体" w:cs="Times New Roman"/>
      <w:b/>
      <w:bCs/>
      <w:sz w:val="32"/>
      <w:szCs w:val="32"/>
    </w:rPr>
  </w:style>
  <w:style w:type="character" w:customStyle="1" w:styleId="20">
    <w:name w:val="日期 Char"/>
    <w:basedOn w:val="14"/>
    <w:link w:val="6"/>
    <w:qFormat/>
    <w:uiPriority w:val="0"/>
    <w:rPr>
      <w:rFonts w:ascii="Times New Roman" w:hAnsi="Times New Roman" w:eastAsia="宋体" w:cs="Times New Roman"/>
      <w:szCs w:val="24"/>
    </w:rPr>
  </w:style>
  <w:style w:type="character" w:customStyle="1" w:styleId="21">
    <w:name w:val="页眉 Char"/>
    <w:basedOn w:val="14"/>
    <w:link w:val="9"/>
    <w:qFormat/>
    <w:uiPriority w:val="0"/>
    <w:rPr>
      <w:rFonts w:ascii="Times New Roman" w:hAnsi="Times New Roman" w:eastAsia="宋体" w:cs="Times New Roman"/>
      <w:sz w:val="18"/>
      <w:szCs w:val="18"/>
    </w:rPr>
  </w:style>
  <w:style w:type="character" w:customStyle="1" w:styleId="22">
    <w:name w:val="页脚 Char"/>
    <w:basedOn w:val="14"/>
    <w:link w:val="8"/>
    <w:qFormat/>
    <w:uiPriority w:val="99"/>
    <w:rPr>
      <w:rFonts w:ascii="Times New Roman" w:hAnsi="Times New Roman" w:eastAsia="宋体" w:cs="Times New Roman"/>
      <w:sz w:val="18"/>
      <w:szCs w:val="18"/>
    </w:rPr>
  </w:style>
  <w:style w:type="paragraph" w:styleId="23">
    <w:name w:val="No Spacing"/>
    <w:qFormat/>
    <w:uiPriority w:val="0"/>
    <w:pPr>
      <w:widowControl w:val="0"/>
      <w:jc w:val="both"/>
    </w:pPr>
    <w:rPr>
      <w:rFonts w:ascii="Calibri" w:hAnsi="Calibri" w:eastAsia="宋体" w:cs="Times New Roman"/>
      <w:kern w:val="2"/>
      <w:sz w:val="21"/>
      <w:szCs w:val="22"/>
      <w:lang w:val="en-US" w:eastAsia="zh-CN" w:bidi="ar-SA"/>
    </w:rPr>
  </w:style>
  <w:style w:type="character" w:customStyle="1" w:styleId="24">
    <w:name w:val="正文文本缩进 Char"/>
    <w:basedOn w:val="14"/>
    <w:link w:val="5"/>
    <w:qFormat/>
    <w:uiPriority w:val="0"/>
    <w:rPr>
      <w:rFonts w:ascii="Times New Roman" w:hAnsi="Times New Roman" w:eastAsia="宋体" w:cs="Times New Roman"/>
      <w:szCs w:val="24"/>
    </w:rPr>
  </w:style>
  <w:style w:type="character" w:customStyle="1" w:styleId="25">
    <w:name w:val="正文首行缩进 2 Char"/>
    <w:basedOn w:val="24"/>
    <w:link w:val="11"/>
    <w:qFormat/>
    <w:uiPriority w:val="0"/>
    <w:rPr>
      <w:rFonts w:ascii="Times New Roman" w:hAnsi="Times New Roman" w:eastAsia="宋体" w:cs="Times New Roman"/>
      <w:szCs w:val="24"/>
    </w:rPr>
  </w:style>
  <w:style w:type="character" w:customStyle="1" w:styleId="26">
    <w:name w:val="批注框文本 Char"/>
    <w:basedOn w:val="14"/>
    <w:link w:val="7"/>
    <w:qFormat/>
    <w:uiPriority w:val="0"/>
    <w:rPr>
      <w:rFonts w:ascii="Times New Roman" w:hAnsi="Times New Roman" w:eastAsia="宋体" w:cs="Times New Roman"/>
      <w:sz w:val="18"/>
      <w:szCs w:val="18"/>
    </w:rPr>
  </w:style>
  <w:style w:type="character" w:customStyle="1" w:styleId="27">
    <w:name w:val="font11"/>
    <w:qFormat/>
    <w:uiPriority w:val="0"/>
    <w:rPr>
      <w:rFonts w:hint="eastAsia" w:ascii="宋体" w:hAnsi="宋体" w:eastAsia="宋体" w:cs="宋体"/>
      <w:color w:val="000000"/>
      <w:sz w:val="16"/>
      <w:szCs w:val="16"/>
      <w:u w:val="none"/>
    </w:rPr>
  </w:style>
  <w:style w:type="character" w:customStyle="1" w:styleId="28">
    <w:name w:val="10"/>
    <w:qFormat/>
    <w:uiPriority w:val="0"/>
    <w:rPr>
      <w:rFonts w:hint="default" w:ascii="Times New Roman" w:hAnsi="Times New Roman" w:cs="Times New Roman"/>
    </w:rPr>
  </w:style>
  <w:style w:type="character" w:customStyle="1" w:styleId="29">
    <w:name w:val="15"/>
    <w:qFormat/>
    <w:uiPriority w:val="0"/>
    <w:rPr>
      <w:rFonts w:hint="default" w:ascii="Times New Roman" w:hAnsi="Times New Roman" w:cs="Times New Roman"/>
    </w:rPr>
  </w:style>
  <w:style w:type="character" w:customStyle="1" w:styleId="30">
    <w:name w:val="hei141"/>
    <w:qFormat/>
    <w:uiPriority w:val="0"/>
    <w:rPr>
      <w:rFonts w:hint="eastAsia" w:ascii="宋体" w:hAnsi="宋体" w:eastAsia="宋体"/>
      <w:color w:val="000000"/>
      <w:sz w:val="21"/>
      <w:szCs w:val="21"/>
      <w:u w:val="none"/>
    </w:rPr>
  </w:style>
  <w:style w:type="character" w:customStyle="1" w:styleId="31">
    <w:name w:val="font01"/>
    <w:qFormat/>
    <w:uiPriority w:val="0"/>
    <w:rPr>
      <w:rFonts w:ascii="宋体" w:hAnsi="宋体" w:eastAsia="宋体" w:cs="宋体"/>
      <w:color w:val="000000"/>
      <w:sz w:val="20"/>
      <w:szCs w:val="20"/>
      <w:u w:val="none"/>
    </w:rPr>
  </w:style>
  <w:style w:type="character" w:customStyle="1" w:styleId="32">
    <w:name w:val="文档结构图 Char"/>
    <w:basedOn w:val="14"/>
    <w:link w:val="4"/>
    <w:qFormat/>
    <w:uiPriority w:val="0"/>
    <w:rPr>
      <w:rFonts w:ascii="宋体" w:hAnsi="宋体" w:eastAsia="宋体" w:cs="宋体"/>
      <w:kern w:val="0"/>
      <w:sz w:val="24"/>
      <w:szCs w:val="24"/>
      <w:shd w:val="clear" w:color="auto" w:fill="000080"/>
    </w:rPr>
  </w:style>
  <w:style w:type="paragraph" w:customStyle="1" w:styleId="33">
    <w:name w:val="List Paragraph1"/>
    <w:basedOn w:val="1"/>
    <w:qFormat/>
    <w:uiPriority w:val="0"/>
    <w:pPr>
      <w:widowControl/>
      <w:ind w:firstLine="420" w:firstLineChars="200"/>
      <w:jc w:val="left"/>
    </w:pPr>
    <w:rPr>
      <w:rFonts w:ascii="Calibri" w:hAnsi="Calibri" w:cs="宋体"/>
      <w:kern w:val="0"/>
      <w:sz w:val="24"/>
      <w:szCs w:val="22"/>
    </w:rPr>
  </w:style>
  <w:style w:type="paragraph" w:customStyle="1" w:styleId="34">
    <w:name w:val="Char"/>
    <w:basedOn w:val="1"/>
    <w:semiHidden/>
    <w:qFormat/>
    <w:uiPriority w:val="0"/>
    <w:pPr>
      <w:widowControl/>
      <w:spacing w:line="360" w:lineRule="auto"/>
      <w:jc w:val="left"/>
    </w:pPr>
    <w:rPr>
      <w:rFonts w:ascii="宋体" w:hAnsi="宋体" w:cs="宋体"/>
      <w:kern w:val="0"/>
      <w:sz w:val="24"/>
    </w:rPr>
  </w:style>
  <w:style w:type="paragraph" w:customStyle="1" w:styleId="35">
    <w:name w:val="p0"/>
    <w:basedOn w:val="1"/>
    <w:qFormat/>
    <w:uiPriority w:val="0"/>
    <w:pPr>
      <w:widowControl/>
      <w:jc w:val="left"/>
    </w:pPr>
    <w:rPr>
      <w:rFonts w:ascii="宋体" w:hAnsi="宋体" w:cs="宋体"/>
      <w:kern w:val="0"/>
      <w:sz w:val="24"/>
      <w:szCs w:val="21"/>
    </w:rPr>
  </w:style>
  <w:style w:type="character" w:customStyle="1" w:styleId="36">
    <w:name w:val="NormalCharacter"/>
    <w:semiHidden/>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B16343-E004-47E3-9EBE-09C88959B920}">
  <ds:schemaRefs/>
</ds:datastoreItem>
</file>

<file path=docProps/app.xml><?xml version="1.0" encoding="utf-8"?>
<Properties xmlns="http://schemas.openxmlformats.org/officeDocument/2006/extended-properties" xmlns:vt="http://schemas.openxmlformats.org/officeDocument/2006/docPropsVTypes">
  <Template>Normal</Template>
  <Pages>39</Pages>
  <Words>3327</Words>
  <Characters>18969</Characters>
  <Lines>158</Lines>
  <Paragraphs>44</Paragraphs>
  <TotalTime>1</TotalTime>
  <ScaleCrop>false</ScaleCrop>
  <LinksUpToDate>false</LinksUpToDate>
  <CharactersWithSpaces>22252</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2019-12-23T04:51:00Z</dcterms:created>
  <dc:creator>junhengban</dc:creator>
  <cp:lastModifiedBy>月亮湾</cp:lastModifiedBy>
  <cp:lastPrinted>2023-03-12T05:55:00Z</cp:lastPrinted>
  <dcterms:modified xsi:type="dcterms:W3CDTF">2023-03-14T08:07:36Z</dcterms:modified>
  <cp:revision>590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