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44C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特克斯县市场监督管理局</w:t>
      </w:r>
      <w:r>
        <w:rPr>
          <w:rFonts w:hint="eastAsia" w:ascii="Times New Roman" w:hAnsi="Times New Roman" w:eastAsia="方正小标宋_GBK" w:cs="Times New Roman"/>
          <w:sz w:val="44"/>
          <w:szCs w:val="44"/>
          <w:lang w:eastAsia="zh-CN"/>
        </w:rPr>
        <w:t>局长</w:t>
      </w:r>
      <w:r>
        <w:rPr>
          <w:rFonts w:hint="default" w:ascii="Times New Roman" w:hAnsi="Times New Roman" w:eastAsia="方正小标宋_GBK" w:cs="Times New Roman"/>
          <w:sz w:val="44"/>
          <w:szCs w:val="44"/>
        </w:rPr>
        <w:t>2025年</w:t>
      </w:r>
    </w:p>
    <w:p w14:paraId="7D176B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述法报告</w:t>
      </w:r>
    </w:p>
    <w:p w14:paraId="48C5C0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特克斯县市场监督管理局局长   巴特铁木尔</w:t>
      </w:r>
    </w:p>
    <w:p w14:paraId="75FC3A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根据工作要求，现述法如下</w:t>
      </w:r>
      <w:r>
        <w:rPr>
          <w:rFonts w:hint="eastAsia" w:ascii="方正仿宋_GBK" w:hAnsi="方正仿宋_GBK" w:eastAsia="方正仿宋_GBK" w:cs="方正仿宋_GBK"/>
          <w:sz w:val="32"/>
          <w:szCs w:val="32"/>
        </w:rPr>
        <w:t>：</w:t>
      </w:r>
    </w:p>
    <w:p w14:paraId="5A2E19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一、</w:t>
      </w:r>
      <w:r>
        <w:rPr>
          <w:rFonts w:hint="eastAsia" w:ascii="黑体" w:hAnsi="黑体" w:eastAsia="黑体" w:cs="黑体"/>
          <w:sz w:val="32"/>
          <w:szCs w:val="32"/>
          <w:lang w:val="en-US" w:eastAsia="zh-CN"/>
        </w:rPr>
        <w:t>履职情况</w:t>
      </w:r>
    </w:p>
    <w:p w14:paraId="6891F3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方正楷体_GBK" w:hAnsi="方正楷体_GBK" w:eastAsia="方正楷体_GBK" w:cs="方正楷体_GBK"/>
          <w:sz w:val="32"/>
          <w:szCs w:val="32"/>
        </w:rPr>
        <w:t>（一）深学笃行习近平法治思想，筑牢法治建设思想根基</w:t>
      </w:r>
    </w:p>
    <w:p w14:paraId="61A10B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我始终把学习贯彻习近平法治思想作为首要政治任务，将习近平法治思想纳入局党组理论学习中心组学习重点，全年组织集中学法</w:t>
      </w:r>
      <w:r>
        <w:rPr>
          <w:rFonts w:hint="eastAsia" w:ascii="Times New Roman" w:hAnsi="Times New Roman" w:eastAsia="方正仿宋_GBK" w:cs="Times New Roman"/>
          <w:sz w:val="32"/>
          <w:szCs w:val="32"/>
          <w:lang w:val="en-US" w:eastAsia="zh-CN"/>
        </w:rPr>
        <w:t>2</w:t>
      </w:r>
      <w:r>
        <w:rPr>
          <w:rFonts w:hint="eastAsia" w:ascii="方正仿宋_GBK" w:hAnsi="方正仿宋_GBK" w:eastAsia="方正仿宋_GBK" w:cs="方正仿宋_GBK"/>
          <w:sz w:val="32"/>
          <w:szCs w:val="32"/>
        </w:rPr>
        <w:t>次、带头讲授法治党课</w:t>
      </w:r>
      <w:r>
        <w:rPr>
          <w:rFonts w:hint="eastAsia" w:ascii="Times New Roman" w:hAnsi="Times New Roman" w:eastAsia="方正仿宋_GBK" w:cs="Times New Roman"/>
          <w:sz w:val="32"/>
          <w:szCs w:val="32"/>
          <w:lang w:val="en-US" w:eastAsia="zh-CN"/>
        </w:rPr>
        <w:t>1</w:t>
      </w:r>
      <w:r>
        <w:rPr>
          <w:rFonts w:hint="eastAsia" w:ascii="方正仿宋_GBK" w:hAnsi="方正仿宋_GBK" w:eastAsia="方正仿宋_GBK" w:cs="方正仿宋_GBK"/>
          <w:sz w:val="32"/>
          <w:szCs w:val="32"/>
        </w:rPr>
        <w:t>次。将宪法、民法典及市场监管领域核心法规纳入干部教育培训体系，全年开展法治专题讲座</w:t>
      </w:r>
      <w:r>
        <w:rPr>
          <w:rFonts w:hint="default" w:ascii="Times New Roman" w:hAnsi="Times New Roman" w:eastAsia="方正仿宋_GBK" w:cs="Times New Roman"/>
          <w:sz w:val="32"/>
          <w:szCs w:val="32"/>
        </w:rPr>
        <w:t>3</w:t>
      </w:r>
      <w:r>
        <w:rPr>
          <w:rFonts w:hint="eastAsia" w:ascii="方正仿宋_GBK" w:hAnsi="方正仿宋_GBK" w:eastAsia="方正仿宋_GBK" w:cs="方正仿宋_GBK"/>
          <w:sz w:val="32"/>
          <w:szCs w:val="32"/>
        </w:rPr>
        <w:t>场、线上线下培训</w:t>
      </w:r>
      <w:r>
        <w:rPr>
          <w:rFonts w:hint="default" w:ascii="Times New Roman" w:hAnsi="Times New Roman" w:eastAsia="方正仿宋_GBK" w:cs="Times New Roman"/>
          <w:sz w:val="32"/>
          <w:szCs w:val="32"/>
        </w:rPr>
        <w:t>45</w:t>
      </w:r>
      <w:r>
        <w:rPr>
          <w:rFonts w:hint="eastAsia" w:ascii="方正仿宋_GBK" w:hAnsi="方正仿宋_GBK" w:eastAsia="方正仿宋_GBK" w:cs="方正仿宋_GBK"/>
          <w:sz w:val="32"/>
          <w:szCs w:val="32"/>
        </w:rPr>
        <w:t>批次，覆盖全</w:t>
      </w:r>
      <w:r>
        <w:rPr>
          <w:rFonts w:hint="eastAsia" w:ascii="方正仿宋_GBK" w:hAnsi="方正仿宋_GBK" w:eastAsia="方正仿宋_GBK" w:cs="方正仿宋_GBK"/>
          <w:sz w:val="32"/>
          <w:szCs w:val="32"/>
          <w:lang w:eastAsia="zh-CN"/>
        </w:rPr>
        <w:t>局</w:t>
      </w:r>
      <w:r>
        <w:rPr>
          <w:rFonts w:hint="eastAsia" w:ascii="方正仿宋_GBK" w:hAnsi="方正仿宋_GBK" w:eastAsia="方正仿宋_GBK" w:cs="方正仿宋_GBK"/>
          <w:sz w:val="32"/>
          <w:szCs w:val="32"/>
        </w:rPr>
        <w:t>执法人员，全员法治素养和执法能力显著提升。牵头制定《年度法治建设工作计划》，将</w:t>
      </w:r>
      <w:r>
        <w:rPr>
          <w:rFonts w:hint="default" w:ascii="Times New Roman" w:hAnsi="Times New Roman" w:eastAsia="方正仿宋_GBK" w:cs="Times New Roman"/>
          <w:sz w:val="32"/>
          <w:szCs w:val="32"/>
        </w:rPr>
        <w:t>15</w:t>
      </w:r>
      <w:r>
        <w:rPr>
          <w:rFonts w:hint="eastAsia" w:ascii="方正仿宋_GBK" w:hAnsi="方正仿宋_GBK" w:eastAsia="方正仿宋_GBK" w:cs="方正仿宋_GBK"/>
          <w:sz w:val="32"/>
          <w:szCs w:val="32"/>
        </w:rPr>
        <w:t>项重点任务分解到</w:t>
      </w:r>
      <w:r>
        <w:rPr>
          <w:rFonts w:hint="eastAsia" w:ascii="方正仿宋_GBK" w:hAnsi="方正仿宋_GBK" w:eastAsia="方正仿宋_GBK" w:cs="方正仿宋_GBK"/>
          <w:sz w:val="32"/>
          <w:szCs w:val="32"/>
          <w:lang w:val="en-US" w:eastAsia="zh-CN"/>
        </w:rPr>
        <w:t>科室</w:t>
      </w:r>
      <w:r>
        <w:rPr>
          <w:rFonts w:hint="eastAsia" w:ascii="方正仿宋_GBK" w:hAnsi="方正仿宋_GBK" w:eastAsia="方正仿宋_GBK" w:cs="方正仿宋_GBK"/>
          <w:sz w:val="32"/>
          <w:szCs w:val="32"/>
        </w:rPr>
        <w:t>，形成“一把手抓总、分管领导牵头、各科室协同”的工作格局。</w:t>
      </w:r>
    </w:p>
    <w:p w14:paraId="398F42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（二）扛牢第一责任人职责，推动法治建设落地见效</w:t>
      </w:r>
    </w:p>
    <w:p w14:paraId="784F83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对照《关于建立党政主要负责人履行推进法治建设第一责任人职责清单的通知》要求，我牵头制定本局职责清单，明确完成时限和责任分工，已全部完成。严格执行重大行政决策法定程序，聘请</w:t>
      </w:r>
      <w:r>
        <w:rPr>
          <w:rFonts w:hint="default" w:ascii="Times New Roman" w:hAnsi="Times New Roman" w:eastAsia="方正仿宋_GBK" w:cs="Times New Roman"/>
          <w:sz w:val="32"/>
          <w:szCs w:val="32"/>
        </w:rPr>
        <w:t>1</w:t>
      </w:r>
      <w:r>
        <w:rPr>
          <w:rFonts w:hint="eastAsia" w:ascii="方正仿宋_GBK" w:hAnsi="方正仿宋_GBK" w:eastAsia="方正仿宋_GBK" w:cs="方正仿宋_GBK"/>
          <w:sz w:val="32"/>
          <w:szCs w:val="32"/>
        </w:rPr>
        <w:t>名律师担任法律顾问，对重大决策</w:t>
      </w:r>
      <w:r>
        <w:rPr>
          <w:rFonts w:hint="eastAsia" w:ascii="方正仿宋_GBK" w:hAnsi="方正仿宋_GBK" w:eastAsia="方正仿宋_GBK" w:cs="方正仿宋_GBK"/>
          <w:sz w:val="32"/>
          <w:szCs w:val="32"/>
          <w:lang w:eastAsia="zh-CN"/>
        </w:rPr>
        <w:t>及行政处罚</w:t>
      </w:r>
      <w:r>
        <w:rPr>
          <w:rFonts w:hint="eastAsia" w:ascii="方正仿宋_GBK" w:hAnsi="方正仿宋_GBK" w:eastAsia="方正仿宋_GBK" w:cs="方正仿宋_GBK"/>
          <w:sz w:val="32"/>
          <w:szCs w:val="32"/>
        </w:rPr>
        <w:t>进行</w:t>
      </w:r>
      <w:r>
        <w:rPr>
          <w:rFonts w:hint="eastAsia" w:ascii="方正仿宋_GBK" w:hAnsi="方正仿宋_GBK" w:eastAsia="方正仿宋_GBK" w:cs="方正仿宋_GBK"/>
          <w:sz w:val="32"/>
          <w:szCs w:val="32"/>
          <w:lang w:eastAsia="zh-CN"/>
        </w:rPr>
        <w:t>了</w:t>
      </w:r>
      <w:r>
        <w:rPr>
          <w:rFonts w:hint="eastAsia" w:ascii="方正仿宋_GBK" w:hAnsi="方正仿宋_GBK" w:eastAsia="方正仿宋_GBK" w:cs="方正仿宋_GBK"/>
          <w:sz w:val="32"/>
          <w:szCs w:val="32"/>
        </w:rPr>
        <w:t>审查，审查通过率</w:t>
      </w:r>
      <w:r>
        <w:rPr>
          <w:rFonts w:hint="default" w:ascii="Times New Roman" w:hAnsi="Times New Roman" w:eastAsia="方正仿宋_GBK" w:cs="Times New Roman"/>
          <w:sz w:val="32"/>
          <w:szCs w:val="32"/>
        </w:rPr>
        <w:t>100</w:t>
      </w:r>
      <w:r>
        <w:rPr>
          <w:rFonts w:hint="eastAsia" w:ascii="方正仿宋_GBK" w:hAnsi="方正仿宋_GBK" w:eastAsia="方正仿宋_GBK" w:cs="方正仿宋_GBK"/>
          <w:sz w:val="32"/>
          <w:szCs w:val="32"/>
        </w:rPr>
        <w:t>%。全面推行政执法责任制，梳理行政权力事项</w:t>
      </w:r>
      <w:r>
        <w:rPr>
          <w:rFonts w:hint="default" w:ascii="Times New Roman" w:hAnsi="Times New Roman" w:eastAsia="方正仿宋_GBK" w:cs="Times New Roman"/>
          <w:sz w:val="32"/>
          <w:szCs w:val="32"/>
        </w:rPr>
        <w:t>427</w:t>
      </w:r>
      <w:r>
        <w:rPr>
          <w:rFonts w:hint="eastAsia" w:ascii="方正仿宋_GBK" w:hAnsi="方正仿宋_GBK" w:eastAsia="方正仿宋_GBK" w:cs="方正仿宋_GBK"/>
          <w:sz w:val="32"/>
          <w:szCs w:val="32"/>
        </w:rPr>
        <w:t>项。全年参与法治培训</w:t>
      </w:r>
      <w:r>
        <w:rPr>
          <w:rFonts w:hint="default"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rPr>
        <w:t>次，在全局开展“以案释法”活动</w:t>
      </w:r>
      <w:r>
        <w:rPr>
          <w:rFonts w:hint="default" w:ascii="Times New Roman" w:hAnsi="Times New Roman" w:eastAsia="方正仿宋_GBK" w:cs="Times New Roman"/>
          <w:sz w:val="32"/>
          <w:szCs w:val="32"/>
        </w:rPr>
        <w:t>4</w:t>
      </w:r>
      <w:r>
        <w:rPr>
          <w:rFonts w:hint="eastAsia" w:ascii="方正仿宋_GBK" w:hAnsi="方正仿宋_GBK" w:eastAsia="方正仿宋_GBK" w:cs="方正仿宋_GBK"/>
          <w:sz w:val="32"/>
          <w:szCs w:val="32"/>
        </w:rPr>
        <w:t>次，开展执法业务培训</w:t>
      </w:r>
      <w:r>
        <w:rPr>
          <w:rFonts w:hint="default" w:ascii="Times New Roman" w:hAnsi="Times New Roman" w:eastAsia="方正仿宋_GBK" w:cs="Times New Roman"/>
          <w:sz w:val="32"/>
          <w:szCs w:val="32"/>
        </w:rPr>
        <w:t>45</w:t>
      </w:r>
      <w:r>
        <w:rPr>
          <w:rFonts w:hint="eastAsia" w:ascii="方正仿宋_GBK" w:hAnsi="方正仿宋_GBK" w:eastAsia="方正仿宋_GBK" w:cs="方正仿宋_GBK"/>
          <w:sz w:val="32"/>
          <w:szCs w:val="32"/>
        </w:rPr>
        <w:t>场次，提升执法人员法治素养和履职能力。针对食品药品、特种设备等</w:t>
      </w:r>
      <w:r>
        <w:rPr>
          <w:rFonts w:hint="eastAsia" w:ascii="方正仿宋_GBK" w:hAnsi="方正仿宋_GBK" w:eastAsia="方正仿宋_GBK" w:cs="方正仿宋_GBK"/>
          <w:sz w:val="32"/>
          <w:szCs w:val="32"/>
          <w:lang w:val="en-US" w:eastAsia="zh-CN"/>
        </w:rPr>
        <w:t>关键领域</w:t>
      </w:r>
      <w:r>
        <w:rPr>
          <w:rFonts w:hint="eastAsia" w:ascii="方正仿宋_GBK" w:hAnsi="方正仿宋_GBK" w:eastAsia="方正仿宋_GBK" w:cs="方正仿宋_GBK"/>
          <w:sz w:val="32"/>
          <w:szCs w:val="32"/>
        </w:rPr>
        <w:t>，亲自带队调研</w:t>
      </w:r>
      <w:r>
        <w:rPr>
          <w:rFonts w:hint="default" w:ascii="Times New Roman" w:hAnsi="Times New Roman" w:eastAsia="方正仿宋_GBK" w:cs="Times New Roman"/>
          <w:sz w:val="32"/>
          <w:szCs w:val="32"/>
        </w:rPr>
        <w:t>3</w:t>
      </w:r>
      <w:r>
        <w:rPr>
          <w:rFonts w:hint="eastAsia" w:ascii="方正仿宋_GBK" w:hAnsi="方正仿宋_GBK" w:eastAsia="方正仿宋_GBK" w:cs="方正仿宋_GBK"/>
          <w:sz w:val="32"/>
          <w:szCs w:val="32"/>
        </w:rPr>
        <w:t>次，协调解决跨部门执法衔接问题</w:t>
      </w:r>
      <w:r>
        <w:rPr>
          <w:rFonts w:hint="default" w:ascii="Times New Roman" w:hAnsi="Times New Roman" w:eastAsia="方正仿宋_GBK" w:cs="Times New Roman"/>
          <w:sz w:val="32"/>
          <w:szCs w:val="32"/>
        </w:rPr>
        <w:t>3</w:t>
      </w:r>
      <w:r>
        <w:rPr>
          <w:rFonts w:hint="eastAsia" w:ascii="方正仿宋_GBK" w:hAnsi="方正仿宋_GBK" w:eastAsia="方正仿宋_GBK" w:cs="方正仿宋_GBK"/>
          <w:sz w:val="32"/>
          <w:szCs w:val="32"/>
        </w:rPr>
        <w:t>个，推动法治建设与市场监管工作同部署、同推进。</w:t>
      </w:r>
    </w:p>
    <w:p w14:paraId="7F743A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（三）强化风险隐患</w:t>
      </w:r>
      <w:r>
        <w:rPr>
          <w:rFonts w:hint="eastAsia" w:ascii="方正楷体_GBK" w:hAnsi="方正楷体_GBK" w:eastAsia="方正楷体_GBK" w:cs="方正楷体_GBK"/>
          <w:sz w:val="32"/>
          <w:szCs w:val="32"/>
          <w:lang w:eastAsia="zh-CN"/>
        </w:rPr>
        <w:t>排查</w:t>
      </w:r>
      <w:r>
        <w:rPr>
          <w:rFonts w:hint="eastAsia" w:ascii="方正楷体_GBK" w:hAnsi="方正楷体_GBK" w:eastAsia="方正楷体_GBK" w:cs="方正楷体_GBK"/>
          <w:sz w:val="32"/>
          <w:szCs w:val="32"/>
        </w:rPr>
        <w:t>，筑牢安全保障防线</w:t>
      </w:r>
    </w:p>
    <w:p w14:paraId="78AB6F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严格落实</w:t>
      </w:r>
      <w:r>
        <w:rPr>
          <w:rFonts w:hint="eastAsia" w:ascii="方正仿宋_GBK" w:hAnsi="方正仿宋_GBK" w:eastAsia="方正仿宋_GBK" w:cs="方正仿宋_GBK"/>
          <w:sz w:val="32"/>
          <w:szCs w:val="32"/>
          <w:lang w:eastAsia="zh-CN"/>
        </w:rPr>
        <w:t>安全生产相关要求</w:t>
      </w:r>
      <w:r>
        <w:rPr>
          <w:rFonts w:hint="eastAsia" w:ascii="方正仿宋_GBK" w:hAnsi="方正仿宋_GBK" w:eastAsia="方正仿宋_GBK" w:cs="方正仿宋_GBK"/>
          <w:sz w:val="32"/>
          <w:szCs w:val="32"/>
        </w:rPr>
        <w:t>，建立市场监管领域风险隐患排查台账，全年排查食品药品、特种设备等领域风险隐患，整改完成率</w:t>
      </w:r>
      <w:r>
        <w:rPr>
          <w:rFonts w:hint="default" w:ascii="Times New Roman" w:hAnsi="Times New Roman" w:eastAsia="方正仿宋_GBK" w:cs="Times New Roman"/>
          <w:sz w:val="32"/>
          <w:szCs w:val="32"/>
        </w:rPr>
        <w:t>99.5</w:t>
      </w:r>
      <w:r>
        <w:rPr>
          <w:rFonts w:hint="eastAsia" w:ascii="方正仿宋_GBK" w:hAnsi="方正仿宋_GBK" w:eastAsia="方正仿宋_GBK" w:cs="方正仿宋_GBK"/>
          <w:sz w:val="32"/>
          <w:szCs w:val="32"/>
        </w:rPr>
        <w:t>%。联合公安、应急管理、消防等部门开展联合执法</w:t>
      </w:r>
      <w:r>
        <w:rPr>
          <w:rFonts w:hint="default" w:ascii="Times New Roman" w:hAnsi="Times New Roman" w:eastAsia="方正仿宋_GBK" w:cs="Times New Roman"/>
          <w:sz w:val="32"/>
          <w:szCs w:val="32"/>
        </w:rPr>
        <w:t>16</w:t>
      </w:r>
      <w:r>
        <w:rPr>
          <w:rFonts w:hint="eastAsia" w:ascii="方正仿宋_GBK" w:hAnsi="方正仿宋_GBK" w:eastAsia="方正仿宋_GBK" w:cs="方正仿宋_GBK"/>
          <w:sz w:val="32"/>
          <w:szCs w:val="32"/>
        </w:rPr>
        <w:t>次，全年调解消费投诉举报</w:t>
      </w:r>
      <w:r>
        <w:rPr>
          <w:rFonts w:hint="default" w:ascii="Times New Roman" w:hAnsi="Times New Roman" w:eastAsia="方正仿宋_GBK" w:cs="Times New Roman"/>
          <w:sz w:val="32"/>
          <w:szCs w:val="32"/>
        </w:rPr>
        <w:t>441</w:t>
      </w:r>
      <w:r>
        <w:rPr>
          <w:rFonts w:hint="eastAsia" w:ascii="方正仿宋_GBK" w:hAnsi="方正仿宋_GBK" w:eastAsia="方正仿宋_GBK" w:cs="方正仿宋_GBK"/>
          <w:sz w:val="32"/>
          <w:szCs w:val="32"/>
        </w:rPr>
        <w:t>件，调解成功率</w:t>
      </w:r>
      <w:r>
        <w:rPr>
          <w:rFonts w:hint="default" w:ascii="Times New Roman" w:hAnsi="Times New Roman" w:eastAsia="方正仿宋_GBK" w:cs="Times New Roman"/>
          <w:sz w:val="32"/>
          <w:szCs w:val="32"/>
        </w:rPr>
        <w:t>97</w:t>
      </w:r>
      <w:r>
        <w:rPr>
          <w:rFonts w:hint="eastAsia" w:ascii="方正仿宋_GBK" w:hAnsi="方正仿宋_GBK" w:eastAsia="方正仿宋_GBK" w:cs="方正仿宋_GBK"/>
          <w:sz w:val="32"/>
          <w:szCs w:val="32"/>
        </w:rPr>
        <w:t>%。为消费者挽回经济损失</w:t>
      </w:r>
      <w:r>
        <w:rPr>
          <w:rFonts w:hint="default" w:ascii="Times New Roman" w:hAnsi="Times New Roman" w:eastAsia="方正仿宋_GBK" w:cs="Times New Roman"/>
          <w:sz w:val="32"/>
          <w:szCs w:val="32"/>
        </w:rPr>
        <w:t>7</w:t>
      </w:r>
      <w:r>
        <w:rPr>
          <w:rFonts w:hint="eastAsia" w:ascii="方正仿宋_GBK" w:hAnsi="方正仿宋_GBK" w:eastAsia="方正仿宋_GBK" w:cs="方正仿宋_GBK"/>
          <w:sz w:val="32"/>
          <w:szCs w:val="32"/>
        </w:rPr>
        <w:t>万余元。</w:t>
      </w:r>
    </w:p>
    <w:p w14:paraId="1DDEEB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（四）聚焦高质量发展，提升法治服务保障效能</w:t>
      </w:r>
    </w:p>
    <w:p w14:paraId="4162D9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围绕自治区 “五大战略定位”，以法治手段优化营商环境，服务经济社会高质量发展。开展涉企收费专项检查，全年无行政诉讼案件。严格执行领导干部不得干预司法活动、插手具体案件处理相关制度，全年未发生干预司法活动的情况。开展规范涉企行政执法专项行动，推行“综合查一次”“双随机、一公开”监管模式，全年办理案件中柔性执法案件占比达</w:t>
      </w:r>
      <w:r>
        <w:rPr>
          <w:rFonts w:hint="default" w:ascii="Times New Roman" w:hAnsi="Times New Roman" w:eastAsia="方正仿宋_GBK" w:cs="Times New Roman"/>
          <w:sz w:val="32"/>
          <w:szCs w:val="32"/>
        </w:rPr>
        <w:t>57</w:t>
      </w:r>
      <w:r>
        <w:rPr>
          <w:rFonts w:hint="eastAsia" w:ascii="方正仿宋_GBK" w:hAnsi="方正仿宋_GBK" w:eastAsia="方正仿宋_GBK" w:cs="方正仿宋_GBK"/>
          <w:sz w:val="32"/>
          <w:szCs w:val="32"/>
        </w:rPr>
        <w:t>%。优化法治化营商环境，推行企业开办 “全程网办、一日办结”，全年新增市场主体</w:t>
      </w:r>
      <w:r>
        <w:rPr>
          <w:rFonts w:hint="eastAsia" w:ascii="Times New Roman" w:hAnsi="Times New Roman" w:eastAsia="方正仿宋_GBK" w:cs="Times New Roman"/>
          <w:sz w:val="32"/>
          <w:szCs w:val="32"/>
          <w:lang w:val="en-US" w:eastAsia="zh-CN"/>
        </w:rPr>
        <w:t>1421</w:t>
      </w:r>
      <w:r>
        <w:rPr>
          <w:rFonts w:hint="eastAsia" w:ascii="方正仿宋_GBK" w:hAnsi="方正仿宋_GBK" w:eastAsia="方正仿宋_GBK" w:cs="方正仿宋_GBK"/>
          <w:sz w:val="32"/>
          <w:szCs w:val="32"/>
        </w:rPr>
        <w:t>户；为</w:t>
      </w:r>
      <w:r>
        <w:rPr>
          <w:rFonts w:hint="default" w:ascii="Times New Roman" w:hAnsi="Times New Roman" w:eastAsia="方正仿宋_GBK" w:cs="Times New Roman"/>
          <w:sz w:val="32"/>
          <w:szCs w:val="32"/>
        </w:rPr>
        <w:t>45</w:t>
      </w:r>
      <w:r>
        <w:rPr>
          <w:rFonts w:hint="eastAsia" w:ascii="方正仿宋_GBK" w:hAnsi="方正仿宋_GBK" w:eastAsia="方正仿宋_GBK" w:cs="方正仿宋_GBK"/>
          <w:sz w:val="32"/>
          <w:szCs w:val="32"/>
        </w:rPr>
        <w:t>家中小企业提供法律咨询、合规指导等服务，帮助企业解决法律问题</w:t>
      </w:r>
      <w:r>
        <w:rPr>
          <w:rFonts w:hint="default" w:ascii="Times New Roman" w:hAnsi="Times New Roman" w:eastAsia="方正仿宋_GBK" w:cs="Times New Roman"/>
          <w:sz w:val="32"/>
          <w:szCs w:val="32"/>
        </w:rPr>
        <w:t>12</w:t>
      </w:r>
      <w:r>
        <w:rPr>
          <w:rFonts w:hint="eastAsia" w:ascii="方正仿宋_GBK" w:hAnsi="方正仿宋_GBK" w:eastAsia="方正仿宋_GBK" w:cs="方正仿宋_GBK"/>
          <w:sz w:val="32"/>
          <w:szCs w:val="32"/>
        </w:rPr>
        <w:t>个。</w:t>
      </w:r>
    </w:p>
    <w:p w14:paraId="31E7903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   二</w:t>
      </w:r>
      <w:r>
        <w:rPr>
          <w:rFonts w:hint="eastAsia" w:ascii="黑体" w:hAnsi="黑体" w:eastAsia="黑体" w:cs="黑体"/>
          <w:sz w:val="32"/>
          <w:szCs w:val="32"/>
        </w:rPr>
        <w:t>、</w:t>
      </w:r>
      <w:r>
        <w:rPr>
          <w:rFonts w:hint="eastAsia" w:ascii="黑体" w:hAnsi="黑体" w:eastAsia="黑体" w:cs="黑体"/>
          <w:sz w:val="32"/>
          <w:szCs w:val="32"/>
          <w:lang w:val="en-US" w:eastAsia="zh-CN"/>
        </w:rPr>
        <w:t>存在的问题</w:t>
      </w:r>
    </w:p>
    <w:p w14:paraId="19E25D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方正楷体_GBK" w:hAnsi="方正楷体_GBK" w:eastAsia="方正楷体_GBK" w:cs="方正楷体_GBK"/>
          <w:sz w:val="32"/>
          <w:szCs w:val="32"/>
        </w:rPr>
        <w:t>（一）法治理念与实践融合不深</w:t>
      </w:r>
    </w:p>
    <w:p w14:paraId="7F6433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方正仿宋_GBK" w:hAnsi="方正仿宋_GBK" w:eastAsia="方正仿宋_GBK" w:cs="方正仿宋_GBK"/>
          <w:color w:val="auto"/>
          <w:sz w:val="32"/>
          <w:szCs w:val="32"/>
        </w:rPr>
        <w:t>部分干部对习近平法治思想学习不深入，法治思维运用不足，存在“重监管、轻法治”倾向，将法治建设与业务工作割裂，未能</w:t>
      </w:r>
      <w:r>
        <w:rPr>
          <w:rFonts w:hint="eastAsia" w:ascii="方正仿宋_GBK" w:hAnsi="方正仿宋_GBK" w:eastAsia="方正仿宋_GBK" w:cs="方正仿宋_GBK"/>
          <w:color w:val="auto"/>
          <w:sz w:val="32"/>
          <w:szCs w:val="32"/>
          <w:lang w:eastAsia="zh-CN"/>
        </w:rPr>
        <w:t>更好地</w:t>
      </w:r>
      <w:r>
        <w:rPr>
          <w:rFonts w:hint="eastAsia" w:ascii="方正仿宋_GBK" w:hAnsi="方正仿宋_GBK" w:eastAsia="方正仿宋_GBK" w:cs="方正仿宋_GBK"/>
          <w:color w:val="auto"/>
          <w:sz w:val="32"/>
          <w:szCs w:val="32"/>
        </w:rPr>
        <w:t>以法治引领监管创新。</w:t>
      </w:r>
    </w:p>
    <w:p w14:paraId="53F44D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方正楷体_GBK" w:hAnsi="方正楷体_GBK" w:eastAsia="方正楷体_GBK" w:cs="方正楷体_GBK"/>
          <w:color w:val="auto"/>
          <w:sz w:val="32"/>
          <w:szCs w:val="32"/>
          <w:lang w:val="en-US" w:eastAsia="zh-CN"/>
        </w:rPr>
        <w:t>（二）</w:t>
      </w:r>
      <w:r>
        <w:rPr>
          <w:rFonts w:hint="eastAsia" w:ascii="方正楷体_GBK" w:hAnsi="方正楷体_GBK" w:eastAsia="方正楷体_GBK" w:cs="方正楷体_GBK"/>
          <w:color w:val="auto"/>
          <w:sz w:val="32"/>
          <w:szCs w:val="32"/>
        </w:rPr>
        <w:t>执法队伍建设短板明显</w:t>
      </w:r>
      <w:r>
        <w:rPr>
          <w:rFonts w:hint="eastAsia" w:ascii="仿宋_GB2312" w:hAnsi="仿宋_GB2312" w:eastAsia="仿宋_GB2312" w:cs="仿宋_GB2312"/>
          <w:color w:val="auto"/>
          <w:sz w:val="32"/>
          <w:szCs w:val="32"/>
        </w:rPr>
        <w:t xml:space="preserve"> </w:t>
      </w:r>
    </w:p>
    <w:p w14:paraId="1072A7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基层执法人员编制紧张、专业力量不足，</w:t>
      </w:r>
      <w:r>
        <w:rPr>
          <w:rFonts w:hint="eastAsia" w:ascii="方正仿宋_GBK" w:hAnsi="方正仿宋_GBK" w:eastAsia="方正仿宋_GBK" w:cs="方正仿宋_GBK"/>
          <w:color w:val="auto"/>
          <w:sz w:val="32"/>
          <w:szCs w:val="32"/>
          <w:lang w:val="en-US" w:eastAsia="zh-CN"/>
        </w:rPr>
        <w:t>承接</w:t>
      </w:r>
      <w:r>
        <w:rPr>
          <w:rFonts w:hint="eastAsia" w:ascii="方正仿宋_GBK" w:hAnsi="方正仿宋_GBK" w:eastAsia="方正仿宋_GBK" w:cs="方正仿宋_GBK"/>
          <w:color w:val="auto"/>
          <w:sz w:val="32"/>
          <w:szCs w:val="32"/>
        </w:rPr>
        <w:t>执法事项</w:t>
      </w:r>
      <w:r>
        <w:rPr>
          <w:rFonts w:hint="eastAsia" w:ascii="方正仿宋_GBK" w:hAnsi="方正仿宋_GBK" w:eastAsia="方正仿宋_GBK" w:cs="方正仿宋_GBK"/>
          <w:color w:val="auto"/>
          <w:sz w:val="32"/>
          <w:szCs w:val="32"/>
          <w:lang w:val="en-US" w:eastAsia="zh-CN"/>
        </w:rPr>
        <w:t>多</w:t>
      </w:r>
      <w:r>
        <w:rPr>
          <w:rFonts w:hint="eastAsia" w:ascii="方正仿宋_GBK" w:hAnsi="方正仿宋_GBK" w:eastAsia="方正仿宋_GBK" w:cs="方正仿宋_GBK"/>
          <w:color w:val="auto"/>
          <w:sz w:val="32"/>
          <w:szCs w:val="32"/>
        </w:rPr>
        <w:t>；新法律法规更新快，部分执法人员对</w:t>
      </w:r>
      <w:r>
        <w:rPr>
          <w:rFonts w:hint="eastAsia" w:ascii="方正仿宋_GBK" w:hAnsi="方正仿宋_GBK" w:eastAsia="方正仿宋_GBK" w:cs="方正仿宋_GBK"/>
          <w:color w:val="auto"/>
          <w:sz w:val="32"/>
          <w:szCs w:val="32"/>
          <w:lang w:eastAsia="zh-CN"/>
        </w:rPr>
        <w:t>法律法规</w:t>
      </w:r>
      <w:r>
        <w:rPr>
          <w:rFonts w:hint="eastAsia" w:ascii="方正仿宋_GBK" w:hAnsi="方正仿宋_GBK" w:eastAsia="方正仿宋_GBK" w:cs="方正仿宋_GBK"/>
          <w:color w:val="auto"/>
          <w:sz w:val="32"/>
          <w:szCs w:val="32"/>
        </w:rPr>
        <w:t>理解不</w:t>
      </w:r>
      <w:r>
        <w:rPr>
          <w:rFonts w:hint="eastAsia" w:ascii="方正仿宋_GBK" w:hAnsi="方正仿宋_GBK" w:eastAsia="方正仿宋_GBK" w:cs="方正仿宋_GBK"/>
          <w:color w:val="auto"/>
          <w:sz w:val="32"/>
          <w:szCs w:val="32"/>
          <w:lang w:eastAsia="zh-CN"/>
        </w:rPr>
        <w:t>够</w:t>
      </w:r>
      <w:r>
        <w:rPr>
          <w:rFonts w:hint="eastAsia" w:ascii="方正仿宋_GBK" w:hAnsi="方正仿宋_GBK" w:eastAsia="方正仿宋_GBK" w:cs="方正仿宋_GBK"/>
          <w:color w:val="auto"/>
          <w:sz w:val="32"/>
          <w:szCs w:val="32"/>
        </w:rPr>
        <w:t>精准，</w:t>
      </w:r>
      <w:r>
        <w:rPr>
          <w:rFonts w:hint="eastAsia" w:ascii="方正仿宋_GBK" w:hAnsi="方正仿宋_GBK" w:eastAsia="方正仿宋_GBK" w:cs="方正仿宋_GBK"/>
          <w:color w:val="auto"/>
          <w:sz w:val="32"/>
          <w:szCs w:val="32"/>
          <w:lang w:eastAsia="zh-CN"/>
        </w:rPr>
        <w:t>业务能力与工作要求存在差距</w:t>
      </w:r>
      <w:r>
        <w:rPr>
          <w:rFonts w:hint="eastAsia" w:ascii="方正仿宋_GBK" w:hAnsi="方正仿宋_GBK" w:eastAsia="方正仿宋_GBK" w:cs="方正仿宋_GBK"/>
          <w:color w:val="auto"/>
          <w:sz w:val="32"/>
          <w:szCs w:val="32"/>
        </w:rPr>
        <w:t>。</w:t>
      </w:r>
    </w:p>
    <w:p w14:paraId="074A6D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方正楷体_GBK" w:hAnsi="方正楷体_GBK" w:eastAsia="方正楷体_GBK" w:cs="方正楷体_GBK"/>
          <w:color w:val="auto"/>
          <w:sz w:val="32"/>
          <w:szCs w:val="32"/>
          <w:lang w:val="en-US" w:eastAsia="zh-CN"/>
        </w:rPr>
        <w:t>（三）</w:t>
      </w:r>
      <w:r>
        <w:rPr>
          <w:rFonts w:hint="eastAsia" w:ascii="方正楷体_GBK" w:hAnsi="方正楷体_GBK" w:eastAsia="方正楷体_GBK" w:cs="方正楷体_GBK"/>
          <w:color w:val="auto"/>
          <w:sz w:val="32"/>
          <w:szCs w:val="32"/>
        </w:rPr>
        <w:t>普法宣传效能不足</w:t>
      </w:r>
      <w:r>
        <w:rPr>
          <w:rFonts w:hint="eastAsia" w:ascii="仿宋_GB2312" w:hAnsi="仿宋_GB2312" w:eastAsia="仿宋_GB2312" w:cs="仿宋_GB2312"/>
          <w:color w:val="auto"/>
          <w:sz w:val="32"/>
          <w:szCs w:val="32"/>
        </w:rPr>
        <w:t xml:space="preserve"> </w:t>
      </w:r>
    </w:p>
    <w:p w14:paraId="4D122E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普法形式偏传统，</w:t>
      </w:r>
      <w:r>
        <w:rPr>
          <w:rFonts w:hint="eastAsia" w:ascii="方正仿宋_GBK" w:hAnsi="方正仿宋_GBK" w:eastAsia="方正仿宋_GBK" w:cs="方正仿宋_GBK"/>
          <w:color w:val="auto"/>
          <w:sz w:val="32"/>
          <w:szCs w:val="32"/>
          <w:lang w:val="en-US" w:eastAsia="zh-CN"/>
        </w:rPr>
        <w:t>电子屏</w:t>
      </w:r>
      <w:r>
        <w:rPr>
          <w:rFonts w:hint="eastAsia" w:ascii="方正仿宋_GBK" w:hAnsi="方正仿宋_GBK" w:eastAsia="方正仿宋_GBK" w:cs="方正仿宋_GBK"/>
          <w:color w:val="auto"/>
          <w:sz w:val="32"/>
          <w:szCs w:val="32"/>
        </w:rPr>
        <w:t>、宣传册等载体吸引力弱，针对性不强；普法形式创新性不足，针对农村地区、老年群体等重点对象的普法覆盖面和渗透力不够；缺失对企业、群众的精准普法，经营主体合规意识参差不齐。</w:t>
      </w:r>
    </w:p>
    <w:p w14:paraId="3E9F82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四</w:t>
      </w:r>
      <w:r>
        <w:rPr>
          <w:rFonts w:hint="eastAsia" w:ascii="方正楷体_GBK" w:hAnsi="方正楷体_GBK" w:eastAsia="方正楷体_GBK" w:cs="方正楷体_GBK"/>
          <w:color w:val="auto"/>
          <w:sz w:val="32"/>
          <w:szCs w:val="32"/>
        </w:rPr>
        <w:t>）监管执法保障有短板</w:t>
      </w:r>
    </w:p>
    <w:p w14:paraId="3644ED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执法信息化建设滞后，“互联网+监管”应用深度不足，</w:t>
      </w:r>
      <w:r>
        <w:rPr>
          <w:rFonts w:hint="eastAsia" w:ascii="方正仿宋_GBK" w:hAnsi="方正仿宋_GBK" w:eastAsia="方正仿宋_GBK" w:cs="方正仿宋_GBK"/>
          <w:color w:val="auto"/>
          <w:sz w:val="32"/>
          <w:szCs w:val="32"/>
          <w:lang w:val="en-US" w:eastAsia="zh-CN"/>
        </w:rPr>
        <w:t>行政执法</w:t>
      </w:r>
      <w:r>
        <w:rPr>
          <w:rFonts w:hint="eastAsia" w:ascii="方正仿宋_GBK" w:hAnsi="方正仿宋_GBK" w:eastAsia="方正仿宋_GBK" w:cs="方正仿宋_GBK"/>
          <w:color w:val="auto"/>
          <w:sz w:val="32"/>
          <w:szCs w:val="32"/>
        </w:rPr>
        <w:t>技术支撑不足；</w:t>
      </w:r>
      <w:r>
        <w:rPr>
          <w:rFonts w:hint="eastAsia" w:ascii="方正仿宋_GBK" w:hAnsi="方正仿宋_GBK" w:eastAsia="方正仿宋_GBK" w:cs="方正仿宋_GBK"/>
          <w:color w:val="auto"/>
          <w:sz w:val="32"/>
          <w:szCs w:val="32"/>
          <w:lang w:val="en-US" w:eastAsia="zh-CN"/>
        </w:rPr>
        <w:t>执法办案流程未实现数字化，现有系统无法满足精准监管、智慧监管需求</w:t>
      </w:r>
      <w:r>
        <w:rPr>
          <w:rFonts w:hint="eastAsia" w:ascii="方正仿宋_GBK" w:hAnsi="方正仿宋_GBK" w:eastAsia="方正仿宋_GBK" w:cs="方正仿宋_GBK"/>
          <w:color w:val="auto"/>
          <w:sz w:val="32"/>
          <w:szCs w:val="32"/>
        </w:rPr>
        <w:t>。</w:t>
      </w:r>
    </w:p>
    <w:p w14:paraId="49EB6B1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仿宋_GB2312" w:hAnsi="仿宋_GB2312" w:eastAsia="仿宋_GB2312" w:cs="仿宋_GB2312"/>
          <w:color w:val="FF0000"/>
          <w:sz w:val="32"/>
          <w:szCs w:val="32"/>
        </w:rPr>
        <w:t xml:space="preserve"> </w:t>
      </w:r>
      <w:r>
        <w:rPr>
          <w:rFonts w:hint="eastAsia" w:ascii="黑体" w:hAnsi="黑体" w:eastAsia="黑体" w:cs="黑体"/>
          <w:sz w:val="32"/>
          <w:szCs w:val="32"/>
          <w:lang w:val="en-US" w:eastAsia="zh-CN"/>
        </w:rPr>
        <w:t>三</w:t>
      </w:r>
      <w:r>
        <w:rPr>
          <w:rFonts w:hint="eastAsia" w:ascii="黑体" w:hAnsi="黑体" w:eastAsia="黑体" w:cs="黑体"/>
          <w:sz w:val="32"/>
          <w:szCs w:val="32"/>
        </w:rPr>
        <w:t>、</w:t>
      </w:r>
      <w:r>
        <w:rPr>
          <w:rFonts w:hint="eastAsia" w:ascii="黑体" w:hAnsi="黑体" w:eastAsia="黑体" w:cs="黑体"/>
          <w:sz w:val="32"/>
          <w:szCs w:val="32"/>
          <w:lang w:val="en-US" w:eastAsia="zh-CN"/>
        </w:rPr>
        <w:t>下一步工作</w:t>
      </w:r>
    </w:p>
    <w:p w14:paraId="41AF80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仿宋_GB2312" w:hAnsi="仿宋_GB2312" w:eastAsia="仿宋_GB2312" w:cs="仿宋_GB2312"/>
          <w:sz w:val="32"/>
          <w:szCs w:val="32"/>
        </w:rPr>
        <w:t xml:space="preserve"> </w:t>
      </w:r>
      <w:r>
        <w:rPr>
          <w:rFonts w:hint="eastAsia" w:ascii="方正楷体_GBK" w:hAnsi="方正楷体_GBK" w:eastAsia="方正楷体_GBK" w:cs="方正楷体_GBK"/>
          <w:sz w:val="32"/>
          <w:szCs w:val="32"/>
        </w:rPr>
        <w:t>（一）深化思想引领，提升法治素养</w:t>
      </w:r>
    </w:p>
    <w:p w14:paraId="0BE58E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方正仿宋_GBK" w:hAnsi="方正仿宋_GBK" w:eastAsia="方正仿宋_GBK" w:cs="方正仿宋_GBK"/>
          <w:sz w:val="32"/>
          <w:szCs w:val="32"/>
        </w:rPr>
        <w:t>持续把习近平法治思想学习引向深入，完善党组中心组学法、领导干部讲法、干部常态化学法机制，全年计划开展专题培训不少于</w:t>
      </w:r>
      <w:r>
        <w:rPr>
          <w:rFonts w:hint="eastAsia" w:ascii="Times New Roman" w:hAnsi="Times New Roman" w:eastAsia="方正仿宋_GBK" w:cs="Times New Roman"/>
          <w:sz w:val="32"/>
          <w:szCs w:val="32"/>
          <w:lang w:val="en-US" w:eastAsia="zh-CN"/>
        </w:rPr>
        <w:t>4</w:t>
      </w:r>
      <w:r>
        <w:rPr>
          <w:rFonts w:hint="eastAsia" w:ascii="方正仿宋_GBK" w:hAnsi="方正仿宋_GBK" w:eastAsia="方正仿宋_GBK" w:cs="方正仿宋_GBK"/>
          <w:sz w:val="32"/>
          <w:szCs w:val="32"/>
        </w:rPr>
        <w:t>批次，组织</w:t>
      </w:r>
      <w:r>
        <w:rPr>
          <w:rFonts w:hint="eastAsia" w:ascii="方正仿宋_GBK" w:hAnsi="方正仿宋_GBK" w:eastAsia="方正仿宋_GBK" w:cs="方正仿宋_GBK"/>
          <w:sz w:val="32"/>
          <w:szCs w:val="32"/>
          <w:lang w:val="en-US" w:eastAsia="zh-CN"/>
        </w:rPr>
        <w:t>开展案卷互查</w:t>
      </w:r>
      <w:r>
        <w:rPr>
          <w:rFonts w:hint="eastAsia" w:ascii="方正仿宋_GBK" w:hAnsi="方正仿宋_GBK" w:eastAsia="方正仿宋_GBK" w:cs="方正仿宋_GBK"/>
          <w:sz w:val="32"/>
          <w:szCs w:val="32"/>
        </w:rPr>
        <w:t>，推动法治思维入脑入心。建立“以案释法”常态化机制，</w:t>
      </w:r>
      <w:r>
        <w:rPr>
          <w:rFonts w:hint="eastAsia" w:ascii="方正仿宋_GBK" w:hAnsi="方正仿宋_GBK" w:eastAsia="方正仿宋_GBK" w:cs="方正仿宋_GBK"/>
          <w:sz w:val="32"/>
          <w:szCs w:val="32"/>
          <w:lang w:val="en-US" w:eastAsia="zh-CN"/>
        </w:rPr>
        <w:t>组织</w:t>
      </w:r>
      <w:r>
        <w:rPr>
          <w:rFonts w:hint="eastAsia" w:ascii="方正仿宋_GBK" w:hAnsi="方正仿宋_GBK" w:eastAsia="方正仿宋_GBK" w:cs="方正仿宋_GBK"/>
          <w:sz w:val="32"/>
          <w:szCs w:val="32"/>
        </w:rPr>
        <w:t>召开典型案例分析会，提升干部依法解决复杂问题的能力。</w:t>
      </w:r>
    </w:p>
    <w:p w14:paraId="3C86C5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仿宋_GB2312" w:hAnsi="仿宋_GB2312" w:eastAsia="仿宋_GB2312" w:cs="仿宋_GB2312"/>
          <w:sz w:val="32"/>
          <w:szCs w:val="32"/>
        </w:rPr>
        <w:t xml:space="preserve"> </w:t>
      </w:r>
      <w:r>
        <w:rPr>
          <w:rFonts w:hint="eastAsia" w:ascii="方正楷体_GBK" w:hAnsi="方正楷体_GBK" w:eastAsia="方正楷体_GBK" w:cs="方正楷体_GBK"/>
          <w:sz w:val="32"/>
          <w:szCs w:val="32"/>
        </w:rPr>
        <w:t>（二）创新普法模式，增强宣传实效</w:t>
      </w:r>
    </w:p>
    <w:p w14:paraId="2A9751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优化精准普法体系，针对不同群体制定差异化普法方案，开展“普法进乡村、进学校、进企业”活动</w:t>
      </w:r>
      <w:r>
        <w:rPr>
          <w:rFonts w:hint="eastAsia"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rPr>
        <w:t>场以上。深化新媒体普法应用，结合</w:t>
      </w:r>
      <w:r>
        <w:rPr>
          <w:rFonts w:hint="default" w:ascii="Times New Roman" w:hAnsi="Times New Roman" w:eastAsia="方正仿宋_GBK" w:cs="Times New Roman"/>
          <w:sz w:val="32"/>
          <w:szCs w:val="32"/>
        </w:rPr>
        <w:t>3·15</w:t>
      </w:r>
      <w:r>
        <w:rPr>
          <w:rFonts w:hint="eastAsia" w:ascii="方正仿宋_GBK" w:hAnsi="方正仿宋_GBK" w:eastAsia="方正仿宋_GBK" w:cs="方正仿宋_GBK"/>
          <w:sz w:val="32"/>
          <w:szCs w:val="32"/>
        </w:rPr>
        <w:t>、宪法宣传周等节点开展“你点我检”“计量服务进商圈”等场景化活动；健全普法考核评价机制，压实普法责任。</w:t>
      </w:r>
    </w:p>
    <w:p w14:paraId="139777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_GBK" w:hAnsi="方正楷体_GBK" w:eastAsia="方正楷体_GBK" w:cs="方正楷体_GBK"/>
          <w:sz w:val="32"/>
          <w:szCs w:val="32"/>
        </w:rPr>
      </w:pPr>
      <w:r>
        <w:rPr>
          <w:rFonts w:hint="eastAsia" w:ascii="仿宋_GB2312" w:hAnsi="仿宋_GB2312" w:eastAsia="仿宋_GB2312" w:cs="仿宋_GB2312"/>
          <w:sz w:val="32"/>
          <w:szCs w:val="32"/>
        </w:rPr>
        <w:t xml:space="preserve"> </w:t>
      </w:r>
      <w:r>
        <w:rPr>
          <w:rFonts w:hint="eastAsia" w:ascii="方正楷体_GBK" w:hAnsi="方正楷体_GBK" w:eastAsia="方正楷体_GBK" w:cs="方正楷体_GBK"/>
          <w:sz w:val="32"/>
          <w:szCs w:val="32"/>
        </w:rPr>
        <w:t>（三）规范执法行为，提升执法质效</w:t>
      </w:r>
    </w:p>
    <w:p w14:paraId="75E3155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方正仿宋_GBK" w:hAnsi="方正仿宋_GBK" w:eastAsia="方正仿宋_GBK" w:cs="方正仿宋_GBK"/>
          <w:sz w:val="32"/>
          <w:szCs w:val="32"/>
        </w:rPr>
        <w:t>深入开展“提升行政执法质量三年行动”，加强执法全过程监督，常态化开展案卷评查和执法督查。推进执法信息化建设，加强基层执法队伍建设，充实基层执法力量，提升执法规范化水平。</w:t>
      </w:r>
    </w:p>
    <w:p w14:paraId="7F074A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方正楷体_GBK" w:hAnsi="方正楷体_GBK" w:eastAsia="方正楷体_GBK" w:cs="方正楷体_GBK"/>
          <w:sz w:val="32"/>
          <w:szCs w:val="32"/>
        </w:rPr>
        <w:t>（四）健全法治机制，强化保障支撑</w:t>
      </w:r>
    </w:p>
    <w:p w14:paraId="645EAC0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完善法治建设工作机制，加大执法装备投入。建立法治建设与业务工作深度融合机制，建立职业索赔人数据库，加强与司法、检察等部门的协作联动，推进“综合查一次”，减少重复扰企，优化法治化营商环境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为全县经济社会高质量发展提供更坚实的法治保障。</w:t>
      </w:r>
    </w:p>
    <w:p w14:paraId="4E2B5F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B1E325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bookmarkStart w:id="0" w:name="_GoBack"/>
      <w:bookmarkEnd w:id="0"/>
    </w:p>
    <w:sectPr>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3E351B"/>
    <w:rsid w:val="06F277DF"/>
    <w:rsid w:val="0AAE671D"/>
    <w:rsid w:val="0F865627"/>
    <w:rsid w:val="1264709D"/>
    <w:rsid w:val="146E0F39"/>
    <w:rsid w:val="17F74355"/>
    <w:rsid w:val="190B5E5D"/>
    <w:rsid w:val="19173D46"/>
    <w:rsid w:val="282C62F5"/>
    <w:rsid w:val="2A8E03A2"/>
    <w:rsid w:val="2E6049A6"/>
    <w:rsid w:val="31694216"/>
    <w:rsid w:val="32B76436"/>
    <w:rsid w:val="33CF34F5"/>
    <w:rsid w:val="373D3AB5"/>
    <w:rsid w:val="3AB65238"/>
    <w:rsid w:val="3E3E351B"/>
    <w:rsid w:val="438B47AA"/>
    <w:rsid w:val="479674AD"/>
    <w:rsid w:val="4993772C"/>
    <w:rsid w:val="4AC56F12"/>
    <w:rsid w:val="537570E3"/>
    <w:rsid w:val="55AD48CF"/>
    <w:rsid w:val="56A44689"/>
    <w:rsid w:val="5F5F2786"/>
    <w:rsid w:val="605E78A2"/>
    <w:rsid w:val="62EB771C"/>
    <w:rsid w:val="639C3F43"/>
    <w:rsid w:val="63D62365"/>
    <w:rsid w:val="6E464524"/>
    <w:rsid w:val="6F9455FA"/>
    <w:rsid w:val="723F63AD"/>
    <w:rsid w:val="75521D51"/>
    <w:rsid w:val="75E75C40"/>
    <w:rsid w:val="7C49654A"/>
    <w:rsid w:val="7D1F22F1"/>
    <w:rsid w:val="7DA03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2025-12-04T09:34:00Z</dcterms:created>
  <dc:creator>gyj</dc:creator>
  <cp:lastModifiedBy>Administrator</cp:lastModifiedBy>
  <dcterms:modified xsi:type="dcterms:W3CDTF">2026-04-02T05:41:07Z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D7EFE42912B04E61840131B3D655D348_13</vt:lpwstr>
  </property>
</Properties>
</file>