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530E0">
      <w:pPr>
        <w:jc w:val="center"/>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《中国历史文化名村新疆特克斯县琼库什台村保护规划(2022-2035)》</w:t>
      </w:r>
    </w:p>
    <w:p w14:paraId="2082DB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rPr>
      </w:pPr>
    </w:p>
    <w:p w14:paraId="14921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rPr>
      </w:pPr>
      <w:r>
        <w:rPr>
          <w:rFonts w:hint="eastAsia" w:ascii="微软雅黑" w:hAnsi="微软雅黑" w:eastAsia="微软雅黑" w:cs="微软雅黑"/>
          <w:b/>
          <w:bCs/>
          <w:i w:val="0"/>
          <w:iCs w:val="0"/>
          <w:caps w:val="0"/>
          <w:color w:val="454545"/>
          <w:spacing w:val="0"/>
          <w:sz w:val="24"/>
          <w:szCs w:val="24"/>
          <w:bdr w:val="none" w:color="auto" w:sz="0" w:space="0"/>
        </w:rPr>
        <w:t>一、规划范围和期限</w:t>
      </w:r>
    </w:p>
    <w:p w14:paraId="3ECA1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i w:val="0"/>
          <w:iCs w:val="0"/>
          <w:caps w:val="0"/>
          <w:color w:val="454545"/>
          <w:spacing w:val="0"/>
          <w:sz w:val="24"/>
          <w:szCs w:val="24"/>
          <w:lang w:eastAsia="zh-CN"/>
        </w:rPr>
      </w:pPr>
      <w:r>
        <w:rPr>
          <w:rFonts w:hint="eastAsia" w:ascii="微软雅黑" w:hAnsi="微软雅黑" w:eastAsia="微软雅黑" w:cs="微软雅黑"/>
          <w:i w:val="0"/>
          <w:iCs w:val="0"/>
          <w:caps w:val="0"/>
          <w:color w:val="454545"/>
          <w:spacing w:val="0"/>
          <w:sz w:val="24"/>
          <w:szCs w:val="24"/>
          <w:lang w:eastAsia="zh-CN"/>
        </w:rPr>
        <w:t>琼库什台历史文化名村保护规划的范围，包括琼库什台村庄规划范围及村庄周边关系密切的山水景观和自然环境要素所涵盖的区域。整体规划范围约为</w:t>
      </w:r>
      <w:r>
        <w:rPr>
          <w:rFonts w:hint="eastAsia" w:ascii="微软雅黑" w:hAnsi="微软雅黑" w:eastAsia="微软雅黑" w:cs="微软雅黑"/>
          <w:i w:val="0"/>
          <w:iCs w:val="0"/>
          <w:caps w:val="0"/>
          <w:color w:val="454545"/>
          <w:spacing w:val="0"/>
          <w:sz w:val="24"/>
          <w:szCs w:val="24"/>
          <w:lang w:val="en-US" w:eastAsia="zh-CN"/>
        </w:rPr>
        <w:t>374.9</w:t>
      </w:r>
      <w:r>
        <w:rPr>
          <w:rFonts w:hint="eastAsia" w:ascii="微软雅黑" w:hAnsi="微软雅黑" w:eastAsia="微软雅黑" w:cs="微软雅黑"/>
          <w:i w:val="0"/>
          <w:iCs w:val="0"/>
          <w:caps w:val="0"/>
          <w:color w:val="454545"/>
          <w:spacing w:val="0"/>
          <w:sz w:val="24"/>
          <w:szCs w:val="24"/>
          <w:lang w:eastAsia="zh-CN"/>
        </w:rPr>
        <w:t>公顷。</w:t>
      </w:r>
    </w:p>
    <w:p w14:paraId="677DC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rPr>
      </w:pPr>
      <w:r>
        <w:rPr>
          <w:rFonts w:hint="eastAsia" w:ascii="微软雅黑" w:hAnsi="微软雅黑" w:eastAsia="微软雅黑" w:cs="微软雅黑"/>
          <w:i w:val="0"/>
          <w:iCs w:val="0"/>
          <w:caps w:val="0"/>
          <w:color w:val="454545"/>
          <w:spacing w:val="0"/>
          <w:sz w:val="24"/>
          <w:szCs w:val="24"/>
          <w:bdr w:val="none" w:color="auto" w:sz="0" w:space="0"/>
          <w:lang w:eastAsia="zh-CN"/>
        </w:rPr>
        <w:t>本次保护规划的规划期限为202</w:t>
      </w:r>
      <w:r>
        <w:rPr>
          <w:rFonts w:hint="eastAsia" w:ascii="微软雅黑" w:hAnsi="微软雅黑" w:eastAsia="微软雅黑" w:cs="微软雅黑"/>
          <w:i w:val="0"/>
          <w:iCs w:val="0"/>
          <w:caps w:val="0"/>
          <w:color w:val="454545"/>
          <w:spacing w:val="0"/>
          <w:sz w:val="24"/>
          <w:szCs w:val="24"/>
          <w:bdr w:val="none" w:color="auto" w:sz="0" w:space="0"/>
          <w:lang w:val="en-US" w:eastAsia="zh-CN"/>
        </w:rPr>
        <w:t>2</w:t>
      </w:r>
      <w:r>
        <w:rPr>
          <w:rFonts w:hint="eastAsia" w:ascii="微软雅黑" w:hAnsi="微软雅黑" w:eastAsia="微软雅黑" w:cs="微软雅黑"/>
          <w:i w:val="0"/>
          <w:iCs w:val="0"/>
          <w:caps w:val="0"/>
          <w:color w:val="454545"/>
          <w:spacing w:val="0"/>
          <w:sz w:val="24"/>
          <w:szCs w:val="24"/>
          <w:bdr w:val="none" w:color="auto" w:sz="0" w:space="0"/>
          <w:lang w:eastAsia="zh-CN"/>
        </w:rPr>
        <w:t>至2035年。规划近期为202</w:t>
      </w:r>
      <w:r>
        <w:rPr>
          <w:rFonts w:hint="eastAsia" w:ascii="微软雅黑" w:hAnsi="微软雅黑" w:eastAsia="微软雅黑" w:cs="微软雅黑"/>
          <w:i w:val="0"/>
          <w:iCs w:val="0"/>
          <w:caps w:val="0"/>
          <w:color w:val="454545"/>
          <w:spacing w:val="0"/>
          <w:sz w:val="24"/>
          <w:szCs w:val="24"/>
          <w:bdr w:val="none" w:color="auto" w:sz="0" w:space="0"/>
          <w:lang w:val="en-US" w:eastAsia="zh-CN"/>
        </w:rPr>
        <w:t>2</w:t>
      </w:r>
      <w:r>
        <w:rPr>
          <w:rFonts w:hint="eastAsia" w:ascii="微软雅黑" w:hAnsi="微软雅黑" w:eastAsia="微软雅黑" w:cs="微软雅黑"/>
          <w:i w:val="0"/>
          <w:iCs w:val="0"/>
          <w:caps w:val="0"/>
          <w:color w:val="454545"/>
          <w:spacing w:val="0"/>
          <w:sz w:val="24"/>
          <w:szCs w:val="24"/>
          <w:lang w:eastAsia="zh-CN"/>
        </w:rPr>
        <w:t>至</w:t>
      </w:r>
      <w:r>
        <w:rPr>
          <w:rFonts w:hint="eastAsia" w:ascii="微软雅黑" w:hAnsi="微软雅黑" w:eastAsia="微软雅黑" w:cs="微软雅黑"/>
          <w:i w:val="0"/>
          <w:iCs w:val="0"/>
          <w:caps w:val="0"/>
          <w:color w:val="454545"/>
          <w:spacing w:val="0"/>
          <w:sz w:val="24"/>
          <w:szCs w:val="24"/>
          <w:bdr w:val="none" w:color="auto" w:sz="0" w:space="0"/>
          <w:lang w:eastAsia="zh-CN"/>
        </w:rPr>
        <w:t>2025年，远期为2026</w:t>
      </w:r>
      <w:r>
        <w:rPr>
          <w:rFonts w:hint="eastAsia" w:ascii="微软雅黑" w:hAnsi="微软雅黑" w:eastAsia="微软雅黑" w:cs="微软雅黑"/>
          <w:i w:val="0"/>
          <w:iCs w:val="0"/>
          <w:caps w:val="0"/>
          <w:color w:val="454545"/>
          <w:spacing w:val="0"/>
          <w:sz w:val="24"/>
          <w:szCs w:val="24"/>
          <w:lang w:eastAsia="zh-CN"/>
        </w:rPr>
        <w:t>至</w:t>
      </w:r>
      <w:r>
        <w:rPr>
          <w:rFonts w:hint="eastAsia" w:ascii="微软雅黑" w:hAnsi="微软雅黑" w:eastAsia="微软雅黑" w:cs="微软雅黑"/>
          <w:i w:val="0"/>
          <w:iCs w:val="0"/>
          <w:caps w:val="0"/>
          <w:color w:val="454545"/>
          <w:spacing w:val="0"/>
          <w:sz w:val="24"/>
          <w:szCs w:val="24"/>
          <w:bdr w:val="none" w:color="auto" w:sz="0" w:space="0"/>
          <w:lang w:eastAsia="zh-CN"/>
        </w:rPr>
        <w:t>2035年</w:t>
      </w:r>
      <w:r>
        <w:rPr>
          <w:rFonts w:hint="eastAsia" w:ascii="微软雅黑" w:hAnsi="微软雅黑" w:eastAsia="微软雅黑" w:cs="微软雅黑"/>
          <w:i w:val="0"/>
          <w:iCs w:val="0"/>
          <w:caps w:val="0"/>
          <w:color w:val="454545"/>
          <w:spacing w:val="0"/>
          <w:sz w:val="24"/>
          <w:szCs w:val="24"/>
          <w:bdr w:val="none" w:color="auto" w:sz="0" w:space="0"/>
        </w:rPr>
        <w:t>。</w:t>
      </w:r>
    </w:p>
    <w:p w14:paraId="2C7B54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rPr>
      </w:pPr>
      <w:r>
        <w:rPr>
          <w:rFonts w:hint="eastAsia" w:ascii="微软雅黑" w:hAnsi="微软雅黑" w:eastAsia="微软雅黑" w:cs="微软雅黑"/>
          <w:b/>
          <w:bCs/>
          <w:i w:val="0"/>
          <w:iCs w:val="0"/>
          <w:caps w:val="0"/>
          <w:color w:val="454545"/>
          <w:spacing w:val="0"/>
          <w:sz w:val="24"/>
          <w:szCs w:val="24"/>
          <w:bdr w:val="none" w:color="auto" w:sz="0" w:space="0"/>
        </w:rPr>
        <w:t>二、保护原则</w:t>
      </w:r>
    </w:p>
    <w:p w14:paraId="45EB19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（1）</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真实性原则</w:t>
      </w:r>
    </w:p>
    <w:p w14:paraId="6F9C76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（2）</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完整性原则</w:t>
      </w:r>
    </w:p>
    <w:p w14:paraId="22214B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（3）</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物质与非物质文化遗产整体保护原则</w:t>
      </w:r>
    </w:p>
    <w:p w14:paraId="7146E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（4）</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系统保护与综合规划的原则</w:t>
      </w:r>
    </w:p>
    <w:p w14:paraId="19C33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（5）</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合理利用、永续利用原则</w:t>
      </w:r>
    </w:p>
    <w:p w14:paraId="1AB42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w:t>
      </w:r>
      <w:r>
        <w:rPr>
          <w:rFonts w:hint="eastAsia" w:ascii="微软雅黑" w:hAnsi="微软雅黑" w:eastAsia="微软雅黑" w:cs="微软雅黑"/>
          <w:i w:val="0"/>
          <w:iCs w:val="0"/>
          <w:caps w:val="0"/>
          <w:color w:val="454545"/>
          <w:spacing w:val="0"/>
          <w:sz w:val="24"/>
          <w:szCs w:val="24"/>
          <w:bdr w:val="none" w:color="auto" w:sz="0" w:space="0"/>
          <w:lang w:val="en-US" w:eastAsia="zh-CN"/>
        </w:rPr>
        <w:t>6</w:t>
      </w:r>
      <w:r>
        <w:rPr>
          <w:rFonts w:hint="eastAsia" w:ascii="微软雅黑" w:hAnsi="微软雅黑" w:eastAsia="微软雅黑" w:cs="微软雅黑"/>
          <w:i w:val="0"/>
          <w:iCs w:val="0"/>
          <w:caps w:val="0"/>
          <w:color w:val="454545"/>
          <w:spacing w:val="0"/>
          <w:sz w:val="24"/>
          <w:szCs w:val="24"/>
          <w:bdr w:val="none" w:color="auto" w:sz="0" w:space="0"/>
          <w:lang w:eastAsia="zh-CN"/>
        </w:rPr>
        <w:t>）</w:t>
      </w:r>
      <w:r>
        <w:rPr>
          <w:rFonts w:hint="eastAsia" w:ascii="微软雅黑" w:hAnsi="微软雅黑" w:eastAsia="微软雅黑" w:cs="微软雅黑"/>
          <w:i w:val="0"/>
          <w:iCs w:val="0"/>
          <w:caps w:val="0"/>
          <w:color w:val="454545"/>
          <w:spacing w:val="0"/>
          <w:sz w:val="24"/>
          <w:szCs w:val="24"/>
          <w:bdr w:val="none" w:color="auto" w:sz="0" w:space="0"/>
          <w:lang w:val="en-US" w:eastAsia="zh-CN"/>
        </w:rPr>
        <w:t>坚持</w:t>
      </w:r>
      <w:r>
        <w:rPr>
          <w:rFonts w:hint="eastAsia" w:ascii="微软雅黑" w:hAnsi="微软雅黑" w:eastAsia="微软雅黑" w:cs="微软雅黑"/>
          <w:i w:val="0"/>
          <w:iCs w:val="0"/>
          <w:caps w:val="0"/>
          <w:color w:val="454545"/>
          <w:spacing w:val="0"/>
          <w:sz w:val="24"/>
          <w:szCs w:val="24"/>
          <w:bdr w:val="none" w:color="auto" w:sz="0" w:space="0"/>
          <w:lang w:eastAsia="zh-CN"/>
        </w:rPr>
        <w:t>“环境</w:t>
      </w:r>
      <w:r>
        <w:rPr>
          <w:rFonts w:hint="eastAsia" w:ascii="微软雅黑" w:hAnsi="微软雅黑" w:eastAsia="微软雅黑" w:cs="微软雅黑"/>
          <w:i w:val="0"/>
          <w:iCs w:val="0"/>
          <w:caps w:val="0"/>
          <w:color w:val="454545"/>
          <w:spacing w:val="0"/>
          <w:sz w:val="24"/>
          <w:szCs w:val="24"/>
          <w:bdr w:val="none" w:color="auto" w:sz="0" w:space="0"/>
          <w:lang w:val="en-US" w:eastAsia="zh-CN"/>
        </w:rPr>
        <w:t>保护</w:t>
      </w:r>
      <w:r>
        <w:rPr>
          <w:rFonts w:hint="eastAsia" w:ascii="微软雅黑" w:hAnsi="微软雅黑" w:eastAsia="微软雅黑" w:cs="微软雅黑"/>
          <w:i w:val="0"/>
          <w:iCs w:val="0"/>
          <w:caps w:val="0"/>
          <w:color w:val="454545"/>
          <w:spacing w:val="0"/>
          <w:sz w:val="24"/>
          <w:szCs w:val="24"/>
          <w:bdr w:val="none" w:color="auto" w:sz="0" w:space="0"/>
          <w:lang w:eastAsia="zh-CN"/>
        </w:rPr>
        <w:t>第一，</w:t>
      </w:r>
      <w:r>
        <w:rPr>
          <w:rFonts w:hint="eastAsia" w:ascii="微软雅黑" w:hAnsi="微软雅黑" w:eastAsia="微软雅黑" w:cs="微软雅黑"/>
          <w:i w:val="0"/>
          <w:iCs w:val="0"/>
          <w:caps w:val="0"/>
          <w:color w:val="454545"/>
          <w:spacing w:val="0"/>
          <w:sz w:val="24"/>
          <w:szCs w:val="24"/>
          <w:bdr w:val="none" w:color="auto" w:sz="0" w:space="0"/>
          <w:lang w:val="en-US" w:eastAsia="zh-CN"/>
        </w:rPr>
        <w:t>旅游开发</w:t>
      </w:r>
      <w:r>
        <w:rPr>
          <w:rFonts w:hint="eastAsia" w:ascii="微软雅黑" w:hAnsi="微软雅黑" w:eastAsia="微软雅黑" w:cs="微软雅黑"/>
          <w:i w:val="0"/>
          <w:iCs w:val="0"/>
          <w:caps w:val="0"/>
          <w:color w:val="454545"/>
          <w:spacing w:val="0"/>
          <w:sz w:val="24"/>
          <w:szCs w:val="24"/>
          <w:bdr w:val="none" w:color="auto" w:sz="0" w:space="0"/>
          <w:lang w:eastAsia="zh-CN"/>
        </w:rPr>
        <w:t>第</w:t>
      </w:r>
      <w:r>
        <w:rPr>
          <w:rFonts w:hint="eastAsia" w:ascii="微软雅黑" w:hAnsi="微软雅黑" w:eastAsia="微软雅黑" w:cs="微软雅黑"/>
          <w:i w:val="0"/>
          <w:iCs w:val="0"/>
          <w:caps w:val="0"/>
          <w:color w:val="454545"/>
          <w:spacing w:val="0"/>
          <w:sz w:val="24"/>
          <w:szCs w:val="24"/>
          <w:bdr w:val="none" w:color="auto" w:sz="0" w:space="0"/>
          <w:lang w:val="en-US" w:eastAsia="zh-CN"/>
        </w:rPr>
        <w:t>二</w:t>
      </w:r>
      <w:r>
        <w:rPr>
          <w:rFonts w:hint="eastAsia" w:ascii="微软雅黑" w:hAnsi="微软雅黑" w:eastAsia="微软雅黑" w:cs="微软雅黑"/>
          <w:i w:val="0"/>
          <w:iCs w:val="0"/>
          <w:caps w:val="0"/>
          <w:color w:val="454545"/>
          <w:spacing w:val="0"/>
          <w:sz w:val="24"/>
          <w:szCs w:val="24"/>
          <w:bdr w:val="none" w:color="auto" w:sz="0" w:space="0"/>
          <w:lang w:eastAsia="zh-CN"/>
        </w:rPr>
        <w:t>”的原则；</w:t>
      </w:r>
    </w:p>
    <w:p w14:paraId="2FF5F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val="en-US" w:eastAsia="zh-CN"/>
        </w:rPr>
        <w:t>（7）坚持</w:t>
      </w:r>
      <w:r>
        <w:rPr>
          <w:rFonts w:hint="eastAsia" w:ascii="微软雅黑" w:hAnsi="微软雅黑" w:eastAsia="微软雅黑" w:cs="微软雅黑"/>
          <w:i w:val="0"/>
          <w:iCs w:val="0"/>
          <w:caps w:val="0"/>
          <w:color w:val="454545"/>
          <w:spacing w:val="0"/>
          <w:sz w:val="24"/>
          <w:szCs w:val="24"/>
          <w:bdr w:val="none" w:color="auto" w:sz="0" w:space="0"/>
          <w:lang w:eastAsia="zh-CN"/>
        </w:rPr>
        <w:t>“原住民生产生活</w:t>
      </w:r>
      <w:r>
        <w:rPr>
          <w:rFonts w:hint="eastAsia" w:ascii="微软雅黑" w:hAnsi="微软雅黑" w:eastAsia="微软雅黑" w:cs="微软雅黑"/>
          <w:i w:val="0"/>
          <w:iCs w:val="0"/>
          <w:caps w:val="0"/>
          <w:color w:val="454545"/>
          <w:spacing w:val="0"/>
          <w:sz w:val="24"/>
          <w:szCs w:val="24"/>
          <w:bdr w:val="none" w:color="auto" w:sz="0" w:space="0"/>
          <w:lang w:val="en-US" w:eastAsia="zh-CN"/>
        </w:rPr>
        <w:t>与</w:t>
      </w:r>
      <w:r>
        <w:rPr>
          <w:rFonts w:hint="eastAsia" w:ascii="微软雅黑" w:hAnsi="微软雅黑" w:eastAsia="微软雅黑" w:cs="微软雅黑"/>
          <w:i w:val="0"/>
          <w:iCs w:val="0"/>
          <w:caps w:val="0"/>
          <w:color w:val="454545"/>
          <w:spacing w:val="0"/>
          <w:sz w:val="24"/>
          <w:szCs w:val="24"/>
          <w:bdr w:val="none" w:color="auto" w:sz="0" w:space="0"/>
          <w:lang w:eastAsia="zh-CN"/>
        </w:rPr>
        <w:t>游客</w:t>
      </w:r>
      <w:r>
        <w:rPr>
          <w:rFonts w:hint="eastAsia" w:ascii="微软雅黑" w:hAnsi="微软雅黑" w:eastAsia="微软雅黑" w:cs="微软雅黑"/>
          <w:i w:val="0"/>
          <w:iCs w:val="0"/>
          <w:caps w:val="0"/>
          <w:color w:val="454545"/>
          <w:spacing w:val="0"/>
          <w:sz w:val="24"/>
          <w:szCs w:val="24"/>
          <w:bdr w:val="none" w:color="auto" w:sz="0" w:space="0"/>
          <w:lang w:val="en-US" w:eastAsia="zh-CN"/>
        </w:rPr>
        <w:t>活动</w:t>
      </w:r>
      <w:r>
        <w:rPr>
          <w:rFonts w:hint="eastAsia" w:ascii="微软雅黑" w:hAnsi="微软雅黑" w:eastAsia="微软雅黑" w:cs="微软雅黑"/>
          <w:i w:val="0"/>
          <w:iCs w:val="0"/>
          <w:caps w:val="0"/>
          <w:color w:val="454545"/>
          <w:spacing w:val="0"/>
          <w:sz w:val="24"/>
          <w:szCs w:val="24"/>
          <w:bdr w:val="none" w:color="auto" w:sz="0" w:space="0"/>
          <w:lang w:eastAsia="zh-CN"/>
        </w:rPr>
        <w:t>和谐</w:t>
      </w:r>
      <w:r>
        <w:rPr>
          <w:rFonts w:hint="eastAsia" w:ascii="微软雅黑" w:hAnsi="微软雅黑" w:eastAsia="微软雅黑" w:cs="微软雅黑"/>
          <w:i w:val="0"/>
          <w:iCs w:val="0"/>
          <w:caps w:val="0"/>
          <w:color w:val="454545"/>
          <w:spacing w:val="0"/>
          <w:sz w:val="24"/>
          <w:szCs w:val="24"/>
          <w:bdr w:val="none" w:color="auto" w:sz="0" w:space="0"/>
          <w:lang w:val="en-US" w:eastAsia="zh-CN"/>
        </w:rPr>
        <w:t>发展</w:t>
      </w:r>
      <w:r>
        <w:rPr>
          <w:rFonts w:hint="eastAsia" w:ascii="微软雅黑" w:hAnsi="微软雅黑" w:eastAsia="微软雅黑" w:cs="微软雅黑"/>
          <w:i w:val="0"/>
          <w:iCs w:val="0"/>
          <w:caps w:val="0"/>
          <w:color w:val="454545"/>
          <w:spacing w:val="0"/>
          <w:sz w:val="24"/>
          <w:szCs w:val="24"/>
          <w:bdr w:val="none" w:color="auto" w:sz="0" w:space="0"/>
          <w:lang w:eastAsia="zh-CN"/>
        </w:rPr>
        <w:t>”的原则；</w:t>
      </w:r>
    </w:p>
    <w:p w14:paraId="10CD6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rPr>
      </w:pPr>
      <w:r>
        <w:rPr>
          <w:rFonts w:hint="eastAsia" w:ascii="微软雅黑" w:hAnsi="微软雅黑" w:eastAsia="微软雅黑" w:cs="微软雅黑"/>
          <w:i w:val="0"/>
          <w:iCs w:val="0"/>
          <w:caps w:val="0"/>
          <w:color w:val="454545"/>
          <w:spacing w:val="0"/>
          <w:sz w:val="24"/>
          <w:szCs w:val="24"/>
          <w:bdr w:val="none" w:color="auto" w:sz="0" w:space="0"/>
          <w:lang w:val="en-US" w:eastAsia="zh-CN"/>
        </w:rPr>
        <w:t>（8）坚持</w:t>
      </w:r>
      <w:r>
        <w:rPr>
          <w:rFonts w:hint="eastAsia" w:ascii="微软雅黑" w:hAnsi="微软雅黑" w:eastAsia="微软雅黑" w:cs="微软雅黑"/>
          <w:i w:val="0"/>
          <w:iCs w:val="0"/>
          <w:caps w:val="0"/>
          <w:color w:val="454545"/>
          <w:spacing w:val="0"/>
          <w:sz w:val="24"/>
          <w:szCs w:val="24"/>
          <w:bdr w:val="none" w:color="auto" w:sz="0" w:space="0"/>
          <w:lang w:eastAsia="zh-CN"/>
        </w:rPr>
        <w:t>“原住民</w:t>
      </w:r>
      <w:r>
        <w:rPr>
          <w:rFonts w:hint="eastAsia" w:ascii="微软雅黑" w:hAnsi="微软雅黑" w:eastAsia="微软雅黑" w:cs="微软雅黑"/>
          <w:i w:val="0"/>
          <w:iCs w:val="0"/>
          <w:caps w:val="0"/>
          <w:color w:val="454545"/>
          <w:spacing w:val="0"/>
          <w:sz w:val="24"/>
          <w:szCs w:val="24"/>
          <w:bdr w:val="none" w:color="auto" w:sz="0" w:space="0"/>
          <w:lang w:val="en-US" w:eastAsia="zh-CN"/>
        </w:rPr>
        <w:t>参与旅游经营与</w:t>
      </w:r>
      <w:r>
        <w:rPr>
          <w:rFonts w:hint="eastAsia" w:ascii="微软雅黑" w:hAnsi="微软雅黑" w:eastAsia="微软雅黑" w:cs="微软雅黑"/>
          <w:i w:val="0"/>
          <w:iCs w:val="0"/>
          <w:caps w:val="0"/>
          <w:color w:val="454545"/>
          <w:spacing w:val="0"/>
          <w:sz w:val="24"/>
          <w:szCs w:val="24"/>
          <w:bdr w:val="none" w:color="auto" w:sz="0" w:space="0"/>
          <w:lang w:eastAsia="zh-CN"/>
        </w:rPr>
        <w:t>投资</w:t>
      </w:r>
      <w:r>
        <w:rPr>
          <w:rFonts w:hint="eastAsia" w:ascii="微软雅黑" w:hAnsi="微软雅黑" w:eastAsia="微软雅黑" w:cs="微软雅黑"/>
          <w:i w:val="0"/>
          <w:iCs w:val="0"/>
          <w:caps w:val="0"/>
          <w:color w:val="454545"/>
          <w:spacing w:val="0"/>
          <w:sz w:val="24"/>
          <w:szCs w:val="24"/>
          <w:bdr w:val="none" w:color="auto" w:sz="0" w:space="0"/>
          <w:lang w:val="en-US" w:eastAsia="zh-CN"/>
        </w:rPr>
        <w:t>方旅游开发与互</w:t>
      </w:r>
      <w:r>
        <w:rPr>
          <w:rFonts w:hint="eastAsia" w:ascii="微软雅黑" w:hAnsi="微软雅黑" w:eastAsia="微软雅黑" w:cs="微软雅黑"/>
          <w:i w:val="0"/>
          <w:iCs w:val="0"/>
          <w:caps w:val="0"/>
          <w:color w:val="454545"/>
          <w:spacing w:val="0"/>
          <w:sz w:val="24"/>
          <w:szCs w:val="24"/>
          <w:bdr w:val="none" w:color="auto" w:sz="0" w:space="0"/>
          <w:lang w:eastAsia="zh-CN"/>
        </w:rPr>
        <w:t>利共赢”的原则</w:t>
      </w:r>
      <w:r>
        <w:rPr>
          <w:rFonts w:hint="eastAsia" w:ascii="微软雅黑" w:hAnsi="微软雅黑" w:eastAsia="微软雅黑" w:cs="微软雅黑"/>
          <w:i w:val="0"/>
          <w:iCs w:val="0"/>
          <w:caps w:val="0"/>
          <w:color w:val="454545"/>
          <w:spacing w:val="0"/>
          <w:sz w:val="24"/>
          <w:szCs w:val="24"/>
          <w:bdr w:val="none" w:color="auto" w:sz="0" w:space="0"/>
        </w:rPr>
        <w:t>。</w:t>
      </w:r>
    </w:p>
    <w:p w14:paraId="230B7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rPr>
      </w:pPr>
      <w:r>
        <w:rPr>
          <w:rFonts w:hint="eastAsia" w:ascii="微软雅黑" w:hAnsi="微软雅黑" w:eastAsia="微软雅黑" w:cs="微软雅黑"/>
          <w:b/>
          <w:bCs/>
          <w:i w:val="0"/>
          <w:iCs w:val="0"/>
          <w:caps w:val="0"/>
          <w:color w:val="454545"/>
          <w:spacing w:val="0"/>
          <w:sz w:val="24"/>
          <w:szCs w:val="24"/>
        </w:rPr>
        <w:t>三、保护框架</w:t>
      </w:r>
    </w:p>
    <w:p w14:paraId="484E4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bdr w:val="none" w:color="auto" w:sz="0" w:space="0"/>
          <w:lang w:eastAsia="zh-CN"/>
        </w:rPr>
      </w:pPr>
      <w:r>
        <w:rPr>
          <w:rFonts w:hint="eastAsia" w:ascii="微软雅黑" w:hAnsi="微软雅黑" w:eastAsia="微软雅黑" w:cs="微软雅黑"/>
          <w:i w:val="0"/>
          <w:iCs w:val="0"/>
          <w:caps w:val="0"/>
          <w:color w:val="454545"/>
          <w:spacing w:val="0"/>
          <w:sz w:val="24"/>
          <w:szCs w:val="24"/>
          <w:bdr w:val="none" w:color="auto" w:sz="0" w:space="0"/>
          <w:lang w:eastAsia="zh-CN"/>
        </w:rPr>
        <w:t>琼库什台历史文化名村保护规划确定规划结构为：山环水绕聚宝地，古道溪流串古村。</w:t>
      </w:r>
    </w:p>
    <w:p w14:paraId="52ACA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rPr>
      </w:pPr>
      <w:r>
        <w:rPr>
          <w:rFonts w:hint="eastAsia" w:ascii="微软雅黑" w:hAnsi="微软雅黑" w:eastAsia="微软雅黑" w:cs="微软雅黑"/>
          <w:i w:val="0"/>
          <w:iCs w:val="0"/>
          <w:caps w:val="0"/>
          <w:color w:val="454545"/>
          <w:spacing w:val="0"/>
          <w:sz w:val="24"/>
          <w:szCs w:val="24"/>
          <w:bdr w:val="none" w:color="auto" w:sz="0" w:space="0"/>
          <w:lang w:eastAsia="zh-CN"/>
        </w:rPr>
        <w:t>“山</w:t>
      </w:r>
      <w:r>
        <w:rPr>
          <w:rFonts w:hint="eastAsia" w:ascii="微软雅黑" w:hAnsi="微软雅黑" w:eastAsia="微软雅黑" w:cs="微软雅黑"/>
          <w:i w:val="0"/>
          <w:iCs w:val="0"/>
          <w:caps w:val="0"/>
          <w:color w:val="454545"/>
          <w:spacing w:val="0"/>
          <w:sz w:val="24"/>
          <w:szCs w:val="24"/>
          <w:bdr w:val="none" w:color="auto" w:sz="0" w:space="0"/>
          <w:lang w:val="en-US" w:eastAsia="zh-CN"/>
        </w:rPr>
        <w:t>环</w:t>
      </w:r>
      <w:r>
        <w:rPr>
          <w:rFonts w:hint="eastAsia" w:ascii="微软雅黑" w:hAnsi="微软雅黑" w:eastAsia="微软雅黑" w:cs="微软雅黑"/>
          <w:i w:val="0"/>
          <w:iCs w:val="0"/>
          <w:caps w:val="0"/>
          <w:color w:val="454545"/>
          <w:spacing w:val="0"/>
          <w:sz w:val="24"/>
          <w:szCs w:val="24"/>
          <w:bdr w:val="none" w:color="auto" w:sz="0" w:space="0"/>
          <w:lang w:eastAsia="zh-CN"/>
        </w:rPr>
        <w:t>水绕”：以北侧库尔代河与南侧天山余脉比依克山围合而成的整体山水环境。“古道”：具有政治、军事战略地位的乌孙古道以及其代表的古道文化。“溪流”：琼库什台河。“古村”：琼库什台村</w:t>
      </w:r>
      <w:r>
        <w:rPr>
          <w:rFonts w:hint="eastAsia" w:ascii="微软雅黑" w:hAnsi="微软雅黑" w:eastAsia="微软雅黑" w:cs="微软雅黑"/>
          <w:i w:val="0"/>
          <w:iCs w:val="0"/>
          <w:caps w:val="0"/>
          <w:color w:val="454545"/>
          <w:spacing w:val="0"/>
          <w:sz w:val="24"/>
          <w:szCs w:val="24"/>
          <w:bdr w:val="none" w:color="auto" w:sz="0" w:space="0"/>
        </w:rPr>
        <w:t>。</w:t>
      </w:r>
    </w:p>
    <w:p w14:paraId="11B0F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lang w:val="en-US" w:eastAsia="zh-CN"/>
        </w:rPr>
      </w:pPr>
      <w:r>
        <w:rPr>
          <w:rFonts w:hint="eastAsia" w:ascii="微软雅黑" w:hAnsi="微软雅黑" w:eastAsia="微软雅黑" w:cs="微软雅黑"/>
          <w:b/>
          <w:bCs/>
          <w:i w:val="0"/>
          <w:iCs w:val="0"/>
          <w:caps w:val="0"/>
          <w:color w:val="454545"/>
          <w:spacing w:val="0"/>
          <w:sz w:val="24"/>
          <w:szCs w:val="24"/>
        </w:rPr>
        <w:t>四、保护内容</w:t>
      </w:r>
      <w:r>
        <w:rPr>
          <w:rFonts w:hint="eastAsia" w:ascii="微软雅黑" w:hAnsi="微软雅黑" w:eastAsia="微软雅黑" w:cs="微软雅黑"/>
          <w:b/>
          <w:bCs/>
          <w:i w:val="0"/>
          <w:iCs w:val="0"/>
          <w:caps w:val="0"/>
          <w:color w:val="454545"/>
          <w:spacing w:val="0"/>
          <w:sz w:val="24"/>
          <w:szCs w:val="24"/>
          <w:lang w:eastAsia="zh-CN"/>
        </w:rPr>
        <w:t>与价值</w:t>
      </w:r>
    </w:p>
    <w:tbl>
      <w:tblPr>
        <w:tblStyle w:val="4"/>
        <w:tblpPr w:leftFromText="180" w:rightFromText="180" w:vertAnchor="text" w:horzAnchor="page" w:tblpX="1700" w:tblpY="316"/>
        <w:tblOverlap w:val="never"/>
        <w:tblW w:w="83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711"/>
        <w:gridCol w:w="3693"/>
        <w:gridCol w:w="1910"/>
      </w:tblGrid>
      <w:tr w14:paraId="7BA5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6404" w:type="dxa"/>
            <w:gridSpan w:val="2"/>
            <w:shd w:val="clear" w:color="auto" w:fill="C9CACA"/>
            <w:vAlign w:val="center"/>
          </w:tcPr>
          <w:p w14:paraId="45A84D65">
            <w:pPr>
              <w:pStyle w:val="7"/>
              <w:keepNext w:val="0"/>
              <w:keepLines w:val="0"/>
              <w:pageBreakBefore w:val="0"/>
              <w:widowControl w:val="0"/>
              <w:kinsoku/>
              <w:wordWrap/>
              <w:overflowPunct/>
              <w:topLinePunct w:val="0"/>
              <w:autoSpaceDE/>
              <w:autoSpaceDN/>
              <w:bidi w:val="0"/>
              <w:adjustRightInd/>
              <w:snapToGrid w:val="0"/>
              <w:ind w:left="1031"/>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lang w:eastAsia="zh-CN"/>
              </w:rPr>
              <w:t>五大</w:t>
            </w:r>
            <w:r>
              <w:rPr>
                <w:rFonts w:hint="eastAsia" w:ascii="微软雅黑" w:hAnsi="微软雅黑" w:eastAsia="微软雅黑" w:cs="微软雅黑"/>
                <w:sz w:val="20"/>
                <w:szCs w:val="20"/>
                <w:highlight w:val="none"/>
              </w:rPr>
              <w:t>价值与特色</w:t>
            </w:r>
          </w:p>
        </w:tc>
        <w:tc>
          <w:tcPr>
            <w:tcW w:w="1910" w:type="dxa"/>
            <w:shd w:val="clear" w:color="auto" w:fill="C9CACA"/>
            <w:vAlign w:val="center"/>
          </w:tcPr>
          <w:p w14:paraId="18717437">
            <w:pPr>
              <w:pStyle w:val="7"/>
              <w:keepNext w:val="0"/>
              <w:keepLines w:val="0"/>
              <w:pageBreakBefore w:val="0"/>
              <w:widowControl w:val="0"/>
              <w:kinsoku/>
              <w:wordWrap/>
              <w:overflowPunct/>
              <w:topLinePunct w:val="0"/>
              <w:autoSpaceDE/>
              <w:autoSpaceDN/>
              <w:bidi w:val="0"/>
              <w:adjustRightInd/>
              <w:snapToGrid w:val="0"/>
              <w:ind w:left="28" w:right="14"/>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要素类型</w:t>
            </w:r>
          </w:p>
        </w:tc>
      </w:tr>
      <w:tr w14:paraId="7B9E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restart"/>
            <w:vAlign w:val="center"/>
          </w:tcPr>
          <w:p w14:paraId="59CD3336">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琼库什台村是新疆地区唯一的哈萨克族传统村落，很好的延续了哈萨克族传统的生产生活方式；是新疆天山世界自然遗产的重要组成部分；是新疆地区草原文化的活态延续。</w:t>
            </w:r>
          </w:p>
        </w:tc>
        <w:tc>
          <w:tcPr>
            <w:tcW w:w="3693" w:type="dxa"/>
            <w:vMerge w:val="restart"/>
            <w:vAlign w:val="center"/>
          </w:tcPr>
          <w:p w14:paraId="24745A94">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kern w:val="2"/>
                <w:sz w:val="20"/>
                <w:szCs w:val="20"/>
                <w:highlight w:val="none"/>
                <w:lang w:val="en-US" w:eastAsia="zh-CN" w:bidi="ar-SA"/>
              </w:rPr>
            </w:pPr>
            <w:r>
              <w:rPr>
                <w:rFonts w:hint="eastAsia" w:ascii="微软雅黑" w:hAnsi="微软雅黑" w:eastAsia="微软雅黑" w:cs="微软雅黑"/>
                <w:kern w:val="2"/>
                <w:sz w:val="20"/>
                <w:szCs w:val="20"/>
                <w:highlight w:val="none"/>
                <w:lang w:val="en-US" w:eastAsia="zh-CN" w:bidi="ar-SA"/>
              </w:rPr>
              <w:t>紧邻新疆天山世界自然遗产，具有典型而独特的自然奇观与依山傍水的的垂直自然景观格局。</w:t>
            </w:r>
          </w:p>
        </w:tc>
        <w:tc>
          <w:tcPr>
            <w:tcW w:w="1910" w:type="dxa"/>
            <w:vAlign w:val="center"/>
          </w:tcPr>
          <w:p w14:paraId="1044A746">
            <w:pPr>
              <w:pStyle w:val="7"/>
              <w:keepNext w:val="0"/>
              <w:keepLines w:val="0"/>
              <w:pageBreakBefore w:val="0"/>
              <w:widowControl w:val="0"/>
              <w:kinsoku/>
              <w:wordWrap/>
              <w:overflowPunct/>
              <w:topLinePunct w:val="0"/>
              <w:autoSpaceDE/>
              <w:autoSpaceDN/>
              <w:bidi w:val="0"/>
              <w:adjustRightInd/>
              <w:snapToGrid w:val="0"/>
              <w:spacing w:before="170" w:line="240" w:lineRule="auto"/>
              <w:ind w:left="28" w:right="14"/>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自然景观</w:t>
            </w:r>
            <w:r>
              <w:rPr>
                <w:rFonts w:hint="eastAsia" w:ascii="微软雅黑" w:hAnsi="微软雅黑" w:eastAsia="微软雅黑" w:cs="微软雅黑"/>
                <w:sz w:val="20"/>
                <w:szCs w:val="20"/>
                <w:highlight w:val="none"/>
                <w:lang w:eastAsia="zh-CN"/>
              </w:rPr>
              <w:t>格</w:t>
            </w:r>
            <w:r>
              <w:rPr>
                <w:rFonts w:hint="eastAsia" w:ascii="微软雅黑" w:hAnsi="微软雅黑" w:eastAsia="微软雅黑" w:cs="微软雅黑"/>
                <w:sz w:val="20"/>
                <w:szCs w:val="20"/>
                <w:highlight w:val="none"/>
              </w:rPr>
              <w:t>局</w:t>
            </w:r>
          </w:p>
        </w:tc>
      </w:tr>
      <w:tr w14:paraId="65375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059B84B0">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0"/>
                <w:szCs w:val="20"/>
                <w:highlight w:val="none"/>
                <w:lang w:eastAsia="zh-CN"/>
              </w:rPr>
            </w:pPr>
          </w:p>
        </w:tc>
        <w:tc>
          <w:tcPr>
            <w:tcW w:w="3693" w:type="dxa"/>
            <w:vMerge w:val="continue"/>
            <w:tcBorders>
              <w:top w:val="nil"/>
            </w:tcBorders>
            <w:vAlign w:val="center"/>
          </w:tcPr>
          <w:p w14:paraId="73F58B8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0"/>
                <w:szCs w:val="20"/>
                <w:highlight w:val="none"/>
                <w:lang w:val="en-US" w:eastAsia="zh-CN" w:bidi="ar-SA"/>
              </w:rPr>
            </w:pPr>
          </w:p>
        </w:tc>
        <w:tc>
          <w:tcPr>
            <w:tcW w:w="1910" w:type="dxa"/>
            <w:vAlign w:val="center"/>
          </w:tcPr>
          <w:p w14:paraId="38C98CBD">
            <w:pPr>
              <w:pStyle w:val="7"/>
              <w:keepNext w:val="0"/>
              <w:keepLines w:val="0"/>
              <w:pageBreakBefore w:val="0"/>
              <w:widowControl w:val="0"/>
              <w:kinsoku/>
              <w:wordWrap/>
              <w:overflowPunct/>
              <w:topLinePunct w:val="0"/>
              <w:autoSpaceDE/>
              <w:autoSpaceDN/>
              <w:bidi w:val="0"/>
              <w:adjustRightInd/>
              <w:snapToGrid w:val="0"/>
              <w:spacing w:before="170" w:line="240" w:lineRule="auto"/>
              <w:ind w:left="28" w:right="14"/>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山水环境</w:t>
            </w:r>
          </w:p>
        </w:tc>
      </w:tr>
      <w:tr w14:paraId="0CB4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24EDAFDB">
            <w:pPr>
              <w:pStyle w:val="7"/>
              <w:keepNext w:val="0"/>
              <w:keepLines w:val="0"/>
              <w:pageBreakBefore w:val="0"/>
              <w:widowControl w:val="0"/>
              <w:kinsoku/>
              <w:wordWrap/>
              <w:overflowPunct/>
              <w:topLinePunct w:val="0"/>
              <w:autoSpaceDE/>
              <w:autoSpaceDN/>
              <w:bidi w:val="0"/>
              <w:adjustRightInd/>
              <w:snapToGrid w:val="0"/>
              <w:spacing w:line="250" w:lineRule="exact"/>
              <w:ind w:left="33" w:right="18"/>
              <w:jc w:val="left"/>
              <w:textAlignment w:val="auto"/>
              <w:rPr>
                <w:rFonts w:hint="eastAsia" w:ascii="微软雅黑" w:hAnsi="微软雅黑" w:eastAsia="微软雅黑" w:cs="微软雅黑"/>
                <w:sz w:val="20"/>
                <w:szCs w:val="20"/>
                <w:highlight w:val="none"/>
                <w:lang w:eastAsia="zh-CN"/>
              </w:rPr>
            </w:pPr>
          </w:p>
        </w:tc>
        <w:tc>
          <w:tcPr>
            <w:tcW w:w="3693" w:type="dxa"/>
            <w:vAlign w:val="center"/>
          </w:tcPr>
          <w:p w14:paraId="35DE7C45">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kern w:val="2"/>
                <w:sz w:val="20"/>
                <w:szCs w:val="20"/>
                <w:highlight w:val="none"/>
                <w:lang w:val="en-US" w:eastAsia="zh-CN" w:bidi="ar-SA"/>
              </w:rPr>
            </w:pPr>
            <w:r>
              <w:rPr>
                <w:rFonts w:hint="eastAsia" w:ascii="微软雅黑" w:hAnsi="微软雅黑" w:eastAsia="微软雅黑" w:cs="微软雅黑"/>
                <w:kern w:val="2"/>
                <w:sz w:val="20"/>
                <w:szCs w:val="20"/>
                <w:highlight w:val="none"/>
                <w:lang w:val="en-US" w:eastAsia="zh-CN" w:bidi="ar-SA"/>
              </w:rPr>
              <w:t>连接伊犁河谷、喀拉峻大草原与南疆地区的交通枢纽，从古至今都是南北疆地区的战略要地。</w:t>
            </w:r>
          </w:p>
        </w:tc>
        <w:tc>
          <w:tcPr>
            <w:tcW w:w="1910" w:type="dxa"/>
            <w:vAlign w:val="center"/>
          </w:tcPr>
          <w:p w14:paraId="284DAE3C">
            <w:pPr>
              <w:pStyle w:val="7"/>
              <w:keepNext w:val="0"/>
              <w:keepLines w:val="0"/>
              <w:pageBreakBefore w:val="0"/>
              <w:widowControl w:val="0"/>
              <w:kinsoku/>
              <w:wordWrap/>
              <w:overflowPunct/>
              <w:topLinePunct w:val="0"/>
              <w:autoSpaceDE/>
              <w:autoSpaceDN/>
              <w:bidi w:val="0"/>
              <w:adjustRightInd/>
              <w:snapToGrid w:val="0"/>
              <w:spacing w:before="18" w:line="240" w:lineRule="auto"/>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区域地理</w:t>
            </w:r>
          </w:p>
        </w:tc>
      </w:tr>
      <w:tr w14:paraId="4C8A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5B5A23FA">
            <w:pPr>
              <w:pStyle w:val="7"/>
              <w:keepNext w:val="0"/>
              <w:keepLines w:val="0"/>
              <w:pageBreakBefore w:val="0"/>
              <w:widowControl w:val="0"/>
              <w:kinsoku/>
              <w:wordWrap/>
              <w:overflowPunct/>
              <w:topLinePunct w:val="0"/>
              <w:autoSpaceDE/>
              <w:autoSpaceDN/>
              <w:bidi w:val="0"/>
              <w:adjustRightInd/>
              <w:snapToGrid w:val="0"/>
              <w:spacing w:line="249" w:lineRule="exact"/>
              <w:ind w:left="33" w:right="18"/>
              <w:jc w:val="left"/>
              <w:textAlignment w:val="auto"/>
              <w:rPr>
                <w:rFonts w:hint="eastAsia" w:ascii="微软雅黑" w:hAnsi="微软雅黑" w:eastAsia="微软雅黑" w:cs="微软雅黑"/>
                <w:sz w:val="20"/>
                <w:szCs w:val="20"/>
                <w:highlight w:val="none"/>
                <w:lang w:eastAsia="zh-CN"/>
              </w:rPr>
            </w:pPr>
          </w:p>
        </w:tc>
        <w:tc>
          <w:tcPr>
            <w:tcW w:w="3693" w:type="dxa"/>
            <w:vMerge w:val="restart"/>
            <w:vAlign w:val="center"/>
          </w:tcPr>
          <w:p w14:paraId="3A1989CC">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kern w:val="2"/>
                <w:sz w:val="20"/>
                <w:szCs w:val="20"/>
                <w:highlight w:val="none"/>
                <w:lang w:val="en-US" w:eastAsia="zh-CN" w:bidi="ar-SA"/>
              </w:rPr>
            </w:pPr>
            <w:r>
              <w:rPr>
                <w:rFonts w:hint="eastAsia" w:ascii="微软雅黑" w:hAnsi="微软雅黑" w:eastAsia="微软雅黑" w:cs="微软雅黑"/>
                <w:kern w:val="2"/>
                <w:sz w:val="20"/>
                <w:szCs w:val="20"/>
                <w:highlight w:val="none"/>
                <w:lang w:val="en-US" w:eastAsia="zh-CN" w:bidi="ar-SA"/>
              </w:rPr>
              <w:t>伊犁哈萨克自治州游牧民族定居最早的、整体村落格局十分完整典型的哈萨克族牧业村，是哈萨克民族由游牧转向定居的重要实物见证。</w:t>
            </w:r>
          </w:p>
        </w:tc>
        <w:tc>
          <w:tcPr>
            <w:tcW w:w="1910" w:type="dxa"/>
            <w:vAlign w:val="center"/>
          </w:tcPr>
          <w:p w14:paraId="594A0294">
            <w:pPr>
              <w:pStyle w:val="7"/>
              <w:keepNext w:val="0"/>
              <w:keepLines w:val="0"/>
              <w:pageBreakBefore w:val="0"/>
              <w:widowControl w:val="0"/>
              <w:kinsoku/>
              <w:wordWrap/>
              <w:overflowPunct/>
              <w:topLinePunct w:val="0"/>
              <w:autoSpaceDE/>
              <w:autoSpaceDN/>
              <w:bidi w:val="0"/>
              <w:adjustRightInd/>
              <w:snapToGrid w:val="0"/>
              <w:spacing w:line="240" w:lineRule="auto"/>
              <w:ind w:right="14"/>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传统村落</w:t>
            </w:r>
            <w:r>
              <w:rPr>
                <w:rFonts w:hint="eastAsia" w:ascii="微软雅黑" w:hAnsi="微软雅黑" w:eastAsia="微软雅黑" w:cs="微软雅黑"/>
                <w:sz w:val="20"/>
                <w:szCs w:val="20"/>
                <w:highlight w:val="none"/>
                <w:lang w:eastAsia="zh-CN"/>
              </w:rPr>
              <w:t>格</w:t>
            </w:r>
            <w:r>
              <w:rPr>
                <w:rFonts w:hint="eastAsia" w:ascii="微软雅黑" w:hAnsi="微软雅黑" w:eastAsia="微软雅黑" w:cs="微软雅黑"/>
                <w:sz w:val="20"/>
                <w:szCs w:val="20"/>
                <w:highlight w:val="none"/>
              </w:rPr>
              <w:t>局</w:t>
            </w:r>
          </w:p>
        </w:tc>
      </w:tr>
      <w:tr w14:paraId="021E5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421EA248">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0"/>
                <w:szCs w:val="20"/>
                <w:highlight w:val="none"/>
                <w:lang w:eastAsia="zh-CN"/>
              </w:rPr>
            </w:pPr>
          </w:p>
        </w:tc>
        <w:tc>
          <w:tcPr>
            <w:tcW w:w="3693" w:type="dxa"/>
            <w:vMerge w:val="continue"/>
            <w:vAlign w:val="center"/>
          </w:tcPr>
          <w:p w14:paraId="4C9FA55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0"/>
                <w:szCs w:val="20"/>
                <w:highlight w:val="none"/>
                <w:lang w:val="en-US" w:eastAsia="zh-CN" w:bidi="ar-SA"/>
              </w:rPr>
            </w:pPr>
          </w:p>
        </w:tc>
        <w:tc>
          <w:tcPr>
            <w:tcW w:w="1910" w:type="dxa"/>
            <w:vAlign w:val="center"/>
          </w:tcPr>
          <w:p w14:paraId="3591C4D7">
            <w:pPr>
              <w:pStyle w:val="7"/>
              <w:keepNext w:val="0"/>
              <w:keepLines w:val="0"/>
              <w:pageBreakBefore w:val="0"/>
              <w:widowControl w:val="0"/>
              <w:kinsoku/>
              <w:wordWrap/>
              <w:overflowPunct/>
              <w:topLinePunct w:val="0"/>
              <w:autoSpaceDE/>
              <w:autoSpaceDN/>
              <w:bidi w:val="0"/>
              <w:adjustRightInd/>
              <w:snapToGrid w:val="0"/>
              <w:spacing w:before="1" w:line="240" w:lineRule="auto"/>
              <w:ind w:right="14"/>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历史环境要素</w:t>
            </w:r>
          </w:p>
        </w:tc>
      </w:tr>
      <w:tr w14:paraId="6C56A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68C0616E">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0"/>
                <w:szCs w:val="20"/>
                <w:highlight w:val="none"/>
                <w:lang w:eastAsia="zh-CN"/>
              </w:rPr>
            </w:pPr>
          </w:p>
        </w:tc>
        <w:tc>
          <w:tcPr>
            <w:tcW w:w="3693" w:type="dxa"/>
            <w:vMerge w:val="continue"/>
            <w:vAlign w:val="center"/>
          </w:tcPr>
          <w:p w14:paraId="20B8B008">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0"/>
                <w:szCs w:val="20"/>
                <w:highlight w:val="none"/>
                <w:lang w:val="en-US" w:eastAsia="zh-CN" w:bidi="ar-SA"/>
              </w:rPr>
            </w:pPr>
          </w:p>
        </w:tc>
        <w:tc>
          <w:tcPr>
            <w:tcW w:w="1910" w:type="dxa"/>
            <w:vAlign w:val="center"/>
          </w:tcPr>
          <w:p w14:paraId="01FF9E80">
            <w:pPr>
              <w:pStyle w:val="7"/>
              <w:keepNext w:val="0"/>
              <w:keepLines w:val="0"/>
              <w:pageBreakBefore w:val="0"/>
              <w:widowControl w:val="0"/>
              <w:kinsoku/>
              <w:wordWrap/>
              <w:overflowPunct/>
              <w:topLinePunct w:val="0"/>
              <w:autoSpaceDE/>
              <w:autoSpaceDN/>
              <w:bidi w:val="0"/>
              <w:adjustRightInd/>
              <w:snapToGrid w:val="0"/>
              <w:spacing w:before="1" w:line="240" w:lineRule="auto"/>
              <w:ind w:left="28" w:right="14"/>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特定环境景观小品</w:t>
            </w:r>
          </w:p>
        </w:tc>
      </w:tr>
      <w:tr w14:paraId="617CF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7FF26DFD">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0"/>
                <w:szCs w:val="20"/>
                <w:highlight w:val="none"/>
                <w:lang w:eastAsia="zh-CN"/>
              </w:rPr>
            </w:pPr>
          </w:p>
        </w:tc>
        <w:tc>
          <w:tcPr>
            <w:tcW w:w="3693" w:type="dxa"/>
            <w:vMerge w:val="continue"/>
            <w:vAlign w:val="center"/>
          </w:tcPr>
          <w:p w14:paraId="751BC4E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0"/>
                <w:szCs w:val="20"/>
                <w:highlight w:val="none"/>
                <w:lang w:val="en-US" w:eastAsia="zh-CN" w:bidi="ar-SA"/>
              </w:rPr>
            </w:pPr>
          </w:p>
        </w:tc>
        <w:tc>
          <w:tcPr>
            <w:tcW w:w="1910" w:type="dxa"/>
            <w:vAlign w:val="center"/>
          </w:tcPr>
          <w:p w14:paraId="1C390E44">
            <w:pPr>
              <w:pStyle w:val="7"/>
              <w:keepNext w:val="0"/>
              <w:keepLines w:val="0"/>
              <w:pageBreakBefore w:val="0"/>
              <w:widowControl w:val="0"/>
              <w:kinsoku/>
              <w:wordWrap/>
              <w:overflowPunct/>
              <w:topLinePunct w:val="0"/>
              <w:autoSpaceDE/>
              <w:autoSpaceDN/>
              <w:bidi w:val="0"/>
              <w:adjustRightInd/>
              <w:snapToGrid w:val="0"/>
              <w:spacing w:before="1" w:line="240" w:lineRule="auto"/>
              <w:ind w:left="28" w:right="14"/>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传统街巷</w:t>
            </w:r>
          </w:p>
        </w:tc>
      </w:tr>
      <w:tr w14:paraId="3E5EA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711" w:type="dxa"/>
            <w:vMerge w:val="continue"/>
            <w:vAlign w:val="center"/>
          </w:tcPr>
          <w:p w14:paraId="6370214C">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0"/>
                <w:szCs w:val="20"/>
                <w:highlight w:val="none"/>
                <w:lang w:eastAsia="zh-CN"/>
              </w:rPr>
            </w:pPr>
          </w:p>
        </w:tc>
        <w:tc>
          <w:tcPr>
            <w:tcW w:w="3693" w:type="dxa"/>
            <w:vMerge w:val="continue"/>
            <w:vAlign w:val="center"/>
          </w:tcPr>
          <w:p w14:paraId="728CCCFA">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0"/>
                <w:szCs w:val="20"/>
                <w:highlight w:val="none"/>
                <w:lang w:val="en-US" w:eastAsia="zh-CN" w:bidi="ar-SA"/>
              </w:rPr>
            </w:pPr>
          </w:p>
        </w:tc>
        <w:tc>
          <w:tcPr>
            <w:tcW w:w="1910" w:type="dxa"/>
            <w:vAlign w:val="center"/>
          </w:tcPr>
          <w:p w14:paraId="27AF4689">
            <w:pPr>
              <w:pStyle w:val="7"/>
              <w:keepNext w:val="0"/>
              <w:keepLines w:val="0"/>
              <w:pageBreakBefore w:val="0"/>
              <w:widowControl w:val="0"/>
              <w:kinsoku/>
              <w:wordWrap/>
              <w:overflowPunct/>
              <w:topLinePunct w:val="0"/>
              <w:autoSpaceDE/>
              <w:autoSpaceDN/>
              <w:bidi w:val="0"/>
              <w:adjustRightInd/>
              <w:snapToGrid w:val="0"/>
              <w:spacing w:before="1" w:line="240" w:lineRule="auto"/>
              <w:ind w:left="28" w:right="14"/>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传统院落</w:t>
            </w:r>
          </w:p>
        </w:tc>
      </w:tr>
      <w:tr w14:paraId="4AD4D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4AEE3C8B">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Align w:val="center"/>
          </w:tcPr>
          <w:p w14:paraId="10D93884">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伊犁河谷地区保存最完整的木构建筑群落。</w:t>
            </w:r>
          </w:p>
        </w:tc>
        <w:tc>
          <w:tcPr>
            <w:tcW w:w="1910" w:type="dxa"/>
            <w:vAlign w:val="center"/>
          </w:tcPr>
          <w:p w14:paraId="3D0CBCB4">
            <w:pPr>
              <w:pStyle w:val="7"/>
              <w:keepNext w:val="0"/>
              <w:keepLines w:val="0"/>
              <w:pageBreakBefore w:val="0"/>
              <w:widowControl w:val="0"/>
              <w:kinsoku/>
              <w:wordWrap/>
              <w:overflowPunct/>
              <w:topLinePunct w:val="0"/>
              <w:autoSpaceDE/>
              <w:autoSpaceDN/>
              <w:bidi w:val="0"/>
              <w:adjustRightInd/>
              <w:snapToGrid w:val="0"/>
              <w:spacing w:line="271" w:lineRule="exact"/>
              <w:ind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传统建筑</w:t>
            </w:r>
          </w:p>
        </w:tc>
      </w:tr>
      <w:tr w14:paraId="67B92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17652F27">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Merge w:val="restart"/>
            <w:vAlign w:val="center"/>
          </w:tcPr>
          <w:p w14:paraId="760DCFFF">
            <w:pPr>
              <w:pStyle w:val="7"/>
              <w:keepNext w:val="0"/>
              <w:keepLines w:val="0"/>
              <w:pageBreakBefore w:val="0"/>
              <w:widowControl w:val="0"/>
              <w:kinsoku/>
              <w:wordWrap/>
              <w:overflowPunct/>
              <w:topLinePunct w:val="0"/>
              <w:autoSpaceDE/>
              <w:autoSpaceDN/>
              <w:bidi w:val="0"/>
              <w:adjustRightInd/>
              <w:snapToGrid w:val="0"/>
              <w:spacing w:before="128" w:line="307" w:lineRule="auto"/>
              <w:ind w:left="0" w:leftChars="0" w:right="19" w:firstLine="418" w:firstLineChars="209"/>
              <w:jc w:val="left"/>
              <w:textAlignment w:val="auto"/>
              <w:rPr>
                <w:rFonts w:hint="eastAsia" w:ascii="微软雅黑" w:hAnsi="微软雅黑" w:eastAsia="微软雅黑" w:cs="微软雅黑"/>
                <w:sz w:val="20"/>
                <w:szCs w:val="20"/>
                <w:highlight w:val="none"/>
                <w:lang w:eastAsia="zh-CN"/>
              </w:rPr>
            </w:pPr>
            <w:r>
              <w:rPr>
                <w:rFonts w:hint="eastAsia" w:ascii="微软雅黑" w:hAnsi="微软雅黑" w:eastAsia="微软雅黑" w:cs="微软雅黑"/>
                <w:sz w:val="20"/>
                <w:szCs w:val="20"/>
                <w:highlight w:val="none"/>
                <w:lang w:eastAsia="zh-CN"/>
              </w:rPr>
              <w:t>独特的新疆西部地域文化，浓郁的哈萨克民族风情。</w:t>
            </w:r>
          </w:p>
        </w:tc>
        <w:tc>
          <w:tcPr>
            <w:tcW w:w="1910" w:type="dxa"/>
            <w:vAlign w:val="center"/>
          </w:tcPr>
          <w:p w14:paraId="4CED3AC6">
            <w:pPr>
              <w:pStyle w:val="7"/>
              <w:keepNext w:val="0"/>
              <w:keepLines w:val="0"/>
              <w:pageBreakBefore w:val="0"/>
              <w:widowControl w:val="0"/>
              <w:kinsoku/>
              <w:wordWrap/>
              <w:overflowPunct/>
              <w:topLinePunct w:val="0"/>
              <w:autoSpaceDE/>
              <w:autoSpaceDN/>
              <w:bidi w:val="0"/>
              <w:adjustRightInd/>
              <w:snapToGrid w:val="0"/>
              <w:spacing w:line="271" w:lineRule="exact"/>
              <w:ind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传统表演艺术</w:t>
            </w:r>
          </w:p>
        </w:tc>
      </w:tr>
      <w:tr w14:paraId="767C5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44AE3F7A">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Merge w:val="continue"/>
            <w:tcBorders>
              <w:top w:val="nil"/>
            </w:tcBorders>
            <w:vAlign w:val="center"/>
          </w:tcPr>
          <w:p w14:paraId="2031CBB1">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1910" w:type="dxa"/>
            <w:vAlign w:val="center"/>
          </w:tcPr>
          <w:p w14:paraId="0D91AC98">
            <w:pPr>
              <w:pStyle w:val="7"/>
              <w:keepNext w:val="0"/>
              <w:keepLines w:val="0"/>
              <w:pageBreakBefore w:val="0"/>
              <w:widowControl w:val="0"/>
              <w:kinsoku/>
              <w:wordWrap/>
              <w:overflowPunct/>
              <w:topLinePunct w:val="0"/>
              <w:autoSpaceDE/>
              <w:autoSpaceDN/>
              <w:bidi w:val="0"/>
              <w:adjustRightInd/>
              <w:snapToGrid w:val="0"/>
              <w:spacing w:line="271" w:lineRule="exact"/>
              <w:ind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民俗活动</w:t>
            </w:r>
          </w:p>
        </w:tc>
      </w:tr>
      <w:tr w14:paraId="2294A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5B46CC23">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Merge w:val="continue"/>
            <w:tcBorders>
              <w:top w:val="nil"/>
            </w:tcBorders>
            <w:vAlign w:val="center"/>
          </w:tcPr>
          <w:p w14:paraId="4575DC7D">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1910" w:type="dxa"/>
            <w:vAlign w:val="center"/>
          </w:tcPr>
          <w:p w14:paraId="668F72EF">
            <w:pPr>
              <w:pStyle w:val="7"/>
              <w:keepNext w:val="0"/>
              <w:keepLines w:val="0"/>
              <w:pageBreakBefore w:val="0"/>
              <w:widowControl w:val="0"/>
              <w:kinsoku/>
              <w:wordWrap/>
              <w:overflowPunct/>
              <w:topLinePunct w:val="0"/>
              <w:autoSpaceDE/>
              <w:autoSpaceDN/>
              <w:bidi w:val="0"/>
              <w:adjustRightInd/>
              <w:snapToGrid w:val="0"/>
              <w:spacing w:line="271" w:lineRule="exact"/>
              <w:ind w:left="78"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传统手工艺</w:t>
            </w:r>
          </w:p>
        </w:tc>
      </w:tr>
      <w:tr w14:paraId="37765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080C4B80">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Merge w:val="continue"/>
            <w:tcBorders>
              <w:top w:val="nil"/>
            </w:tcBorders>
            <w:vAlign w:val="center"/>
          </w:tcPr>
          <w:p w14:paraId="01E3E409">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1910" w:type="dxa"/>
            <w:vAlign w:val="center"/>
          </w:tcPr>
          <w:p w14:paraId="651227B2">
            <w:pPr>
              <w:pStyle w:val="7"/>
              <w:keepNext w:val="0"/>
              <w:keepLines w:val="0"/>
              <w:pageBreakBefore w:val="0"/>
              <w:widowControl w:val="0"/>
              <w:kinsoku/>
              <w:wordWrap/>
              <w:overflowPunct/>
              <w:topLinePunct w:val="0"/>
              <w:autoSpaceDE/>
              <w:autoSpaceDN/>
              <w:bidi w:val="0"/>
              <w:adjustRightInd/>
              <w:snapToGrid w:val="0"/>
              <w:spacing w:line="271" w:lineRule="exact"/>
              <w:ind w:left="78"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特色饮食</w:t>
            </w:r>
          </w:p>
        </w:tc>
      </w:tr>
      <w:tr w14:paraId="17B38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 w:hRule="atLeast"/>
        </w:trPr>
        <w:tc>
          <w:tcPr>
            <w:tcW w:w="2711" w:type="dxa"/>
            <w:vMerge w:val="continue"/>
            <w:vAlign w:val="center"/>
          </w:tcPr>
          <w:p w14:paraId="5B9EBE55">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3693" w:type="dxa"/>
            <w:vMerge w:val="continue"/>
            <w:tcBorders>
              <w:top w:val="nil"/>
            </w:tcBorders>
            <w:vAlign w:val="center"/>
          </w:tcPr>
          <w:p w14:paraId="40B2B7B2">
            <w:pPr>
              <w:pStyle w:val="7"/>
              <w:keepNext w:val="0"/>
              <w:keepLines w:val="0"/>
              <w:pageBreakBefore w:val="0"/>
              <w:widowControl w:val="0"/>
              <w:kinsoku/>
              <w:wordWrap/>
              <w:overflowPunct/>
              <w:topLinePunct w:val="0"/>
              <w:autoSpaceDE/>
              <w:autoSpaceDN/>
              <w:bidi w:val="0"/>
              <w:adjustRightInd/>
              <w:snapToGrid w:val="0"/>
              <w:spacing w:line="271" w:lineRule="exact"/>
              <w:ind w:left="78" w:right="65"/>
              <w:jc w:val="left"/>
              <w:textAlignment w:val="auto"/>
              <w:rPr>
                <w:rFonts w:hint="eastAsia" w:ascii="微软雅黑" w:hAnsi="微软雅黑" w:eastAsia="微软雅黑" w:cs="微软雅黑"/>
                <w:sz w:val="20"/>
                <w:szCs w:val="20"/>
                <w:highlight w:val="none"/>
                <w:lang w:eastAsia="zh-CN"/>
              </w:rPr>
            </w:pPr>
          </w:p>
        </w:tc>
        <w:tc>
          <w:tcPr>
            <w:tcW w:w="1910" w:type="dxa"/>
            <w:vAlign w:val="center"/>
          </w:tcPr>
          <w:p w14:paraId="6734633D">
            <w:pPr>
              <w:pStyle w:val="7"/>
              <w:keepNext w:val="0"/>
              <w:keepLines w:val="0"/>
              <w:pageBreakBefore w:val="0"/>
              <w:widowControl w:val="0"/>
              <w:kinsoku/>
              <w:wordWrap/>
              <w:overflowPunct/>
              <w:topLinePunct w:val="0"/>
              <w:autoSpaceDE/>
              <w:autoSpaceDN/>
              <w:bidi w:val="0"/>
              <w:adjustRightInd/>
              <w:snapToGrid w:val="0"/>
              <w:spacing w:line="271" w:lineRule="exact"/>
              <w:ind w:left="78" w:right="65"/>
              <w:textAlignment w:val="auto"/>
              <w:rPr>
                <w:rFonts w:hint="eastAsia" w:ascii="微软雅黑" w:hAnsi="微软雅黑" w:eastAsia="微软雅黑" w:cs="微软雅黑"/>
                <w:sz w:val="20"/>
                <w:szCs w:val="20"/>
                <w:highlight w:val="none"/>
              </w:rPr>
            </w:pPr>
            <w:r>
              <w:rPr>
                <w:rFonts w:hint="eastAsia" w:ascii="微软雅黑" w:hAnsi="微软雅黑" w:eastAsia="微软雅黑" w:cs="微软雅黑"/>
                <w:sz w:val="20"/>
                <w:szCs w:val="20"/>
                <w:highlight w:val="none"/>
              </w:rPr>
              <w:t>人生礼仪</w:t>
            </w:r>
          </w:p>
        </w:tc>
      </w:tr>
    </w:tbl>
    <w:p w14:paraId="194A5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rPr>
      </w:pPr>
      <w:r>
        <w:rPr>
          <w:rFonts w:hint="eastAsia" w:ascii="微软雅黑" w:hAnsi="微软雅黑" w:eastAsia="微软雅黑" w:cs="微软雅黑"/>
          <w:b/>
          <w:bCs/>
          <w:i w:val="0"/>
          <w:iCs w:val="0"/>
          <w:caps w:val="0"/>
          <w:color w:val="454545"/>
          <w:spacing w:val="0"/>
          <w:sz w:val="24"/>
          <w:szCs w:val="24"/>
          <w:lang w:eastAsia="zh-CN"/>
        </w:rPr>
        <w:t>五</w:t>
      </w:r>
      <w:r>
        <w:rPr>
          <w:rFonts w:hint="eastAsia" w:ascii="微软雅黑" w:hAnsi="微软雅黑" w:eastAsia="微软雅黑" w:cs="微软雅黑"/>
          <w:b/>
          <w:bCs/>
          <w:i w:val="0"/>
          <w:iCs w:val="0"/>
          <w:caps w:val="0"/>
          <w:color w:val="454545"/>
          <w:spacing w:val="0"/>
          <w:sz w:val="24"/>
          <w:szCs w:val="24"/>
        </w:rPr>
        <w:t>、</w:t>
      </w:r>
      <w:r>
        <w:rPr>
          <w:rFonts w:hint="eastAsia" w:ascii="微软雅黑" w:hAnsi="微软雅黑" w:eastAsia="微软雅黑" w:cs="微软雅黑"/>
          <w:b/>
          <w:bCs/>
          <w:i w:val="0"/>
          <w:iCs w:val="0"/>
          <w:caps w:val="0"/>
          <w:color w:val="454545"/>
          <w:spacing w:val="0"/>
          <w:sz w:val="24"/>
          <w:szCs w:val="24"/>
          <w:lang w:eastAsia="zh-CN"/>
        </w:rPr>
        <w:t>物质与非物质文化遗产的保护</w:t>
      </w:r>
    </w:p>
    <w:p w14:paraId="392BB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lang w:eastAsia="zh-CN"/>
        </w:rPr>
      </w:pPr>
      <w:r>
        <w:rPr>
          <w:rFonts w:hint="eastAsia" w:ascii="微软雅黑" w:hAnsi="微软雅黑" w:eastAsia="微软雅黑" w:cs="微软雅黑"/>
          <w:i w:val="0"/>
          <w:iCs w:val="0"/>
          <w:caps w:val="0"/>
          <w:color w:val="454545"/>
          <w:spacing w:val="0"/>
          <w:sz w:val="24"/>
          <w:szCs w:val="24"/>
          <w:bdr w:val="none" w:color="auto" w:sz="0" w:space="0"/>
        </w:rPr>
        <w:t>1、</w:t>
      </w:r>
      <w:r>
        <w:rPr>
          <w:rFonts w:hint="eastAsia" w:ascii="微软雅黑" w:hAnsi="微软雅黑" w:eastAsia="微软雅黑" w:cs="微软雅黑"/>
          <w:i w:val="0"/>
          <w:iCs w:val="0"/>
          <w:caps w:val="0"/>
          <w:color w:val="454545"/>
          <w:spacing w:val="0"/>
          <w:sz w:val="24"/>
          <w:szCs w:val="24"/>
          <w:bdr w:val="none" w:color="auto" w:sz="0" w:space="0"/>
          <w:lang w:val="en-US" w:eastAsia="zh-CN"/>
        </w:rPr>
        <w:t>村落历史格局的保护：加强</w:t>
      </w:r>
      <w:r>
        <w:rPr>
          <w:rFonts w:hint="eastAsia" w:ascii="微软雅黑" w:hAnsi="微软雅黑" w:eastAsia="微软雅黑" w:cs="微软雅黑"/>
          <w:i w:val="0"/>
          <w:iCs w:val="0"/>
          <w:caps w:val="0"/>
          <w:color w:val="454545"/>
          <w:spacing w:val="0"/>
          <w:sz w:val="24"/>
          <w:szCs w:val="24"/>
          <w:lang w:eastAsia="zh-CN"/>
        </w:rPr>
        <w:t>山水格局的保护、水域及山体的保护、传统村落格局的保护。</w:t>
      </w:r>
    </w:p>
    <w:p w14:paraId="7BA90C13">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lang w:val="en-US" w:eastAsia="zh-CN"/>
        </w:rPr>
      </w:pPr>
      <w:r>
        <w:rPr>
          <w:rFonts w:hint="eastAsia" w:ascii="微软雅黑" w:hAnsi="微软雅黑" w:eastAsia="微软雅黑" w:cs="微软雅黑"/>
          <w:i w:val="0"/>
          <w:iCs w:val="0"/>
          <w:caps w:val="0"/>
          <w:color w:val="454545"/>
          <w:spacing w:val="0"/>
          <w:sz w:val="24"/>
          <w:szCs w:val="24"/>
          <w:bdr w:val="none" w:color="auto" w:sz="0" w:space="0"/>
          <w:lang w:val="en-US" w:eastAsia="zh-CN"/>
        </w:rPr>
        <w:t>传统街巷及空间肌理保护：</w:t>
      </w:r>
      <w:r>
        <w:rPr>
          <w:rFonts w:hint="eastAsia" w:ascii="微软雅黑" w:hAnsi="微软雅黑" w:eastAsia="微软雅黑" w:cs="微软雅黑"/>
          <w:i w:val="0"/>
          <w:iCs w:val="0"/>
          <w:caps w:val="0"/>
          <w:color w:val="454545"/>
          <w:spacing w:val="0"/>
          <w:sz w:val="24"/>
          <w:szCs w:val="24"/>
          <w:lang w:val="en-US" w:eastAsia="zh-CN"/>
        </w:rPr>
        <w:t>加强传统街巷的名称、走向、现状尺度和传统风貌保护。</w:t>
      </w:r>
    </w:p>
    <w:p w14:paraId="3A627712">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lang w:val="en-US" w:eastAsia="zh-CN"/>
        </w:rPr>
      </w:pPr>
      <w:r>
        <w:rPr>
          <w:rFonts w:hint="eastAsia" w:ascii="微软雅黑" w:hAnsi="微软雅黑" w:eastAsia="微软雅黑" w:cs="微软雅黑"/>
          <w:i w:val="0"/>
          <w:iCs w:val="0"/>
          <w:caps w:val="0"/>
          <w:color w:val="454545"/>
          <w:spacing w:val="0"/>
          <w:sz w:val="24"/>
          <w:szCs w:val="24"/>
          <w:lang w:val="en-US" w:eastAsia="zh-CN"/>
        </w:rPr>
        <w:t>景观视廊的保护与建筑高度控制：加强</w:t>
      </w:r>
      <w:r>
        <w:rPr>
          <w:rFonts w:hint="eastAsia" w:ascii="微软雅黑" w:hAnsi="微软雅黑" w:eastAsia="微软雅黑" w:cs="微软雅黑"/>
          <w:i w:val="0"/>
          <w:iCs w:val="0"/>
          <w:caps w:val="0"/>
          <w:color w:val="454545"/>
          <w:spacing w:val="0"/>
          <w:sz w:val="24"/>
          <w:szCs w:val="24"/>
          <w:lang w:eastAsia="zh-CN"/>
        </w:rPr>
        <w:t>景观视廊的保护、新建建筑高度的控制</w:t>
      </w:r>
    </w:p>
    <w:p w14:paraId="4E123713">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rPr>
      </w:pPr>
      <w:r>
        <w:rPr>
          <w:rFonts w:hint="eastAsia" w:ascii="微软雅黑" w:hAnsi="微软雅黑" w:eastAsia="微软雅黑" w:cs="微软雅黑"/>
          <w:i w:val="0"/>
          <w:iCs w:val="0"/>
          <w:caps w:val="0"/>
          <w:color w:val="454545"/>
          <w:spacing w:val="0"/>
          <w:sz w:val="24"/>
          <w:szCs w:val="24"/>
          <w:lang w:val="en-US" w:eastAsia="zh-CN"/>
        </w:rPr>
        <w:t>不可移动文物及历史建筑的保护：进一步加大不可移动文物普查力度；11处建议历史建筑在公布批准前，应按照历史建筑标准进行保护</w:t>
      </w:r>
      <w:r>
        <w:rPr>
          <w:rFonts w:hint="eastAsia" w:ascii="微软雅黑" w:hAnsi="微软雅黑" w:eastAsia="微软雅黑" w:cs="微软雅黑"/>
          <w:i w:val="0"/>
          <w:iCs w:val="0"/>
          <w:caps w:val="0"/>
          <w:color w:val="454545"/>
          <w:spacing w:val="0"/>
          <w:sz w:val="24"/>
          <w:szCs w:val="24"/>
          <w:bdr w:val="none" w:color="auto" w:sz="0" w:space="0"/>
        </w:rPr>
        <w:t>。</w:t>
      </w:r>
    </w:p>
    <w:p w14:paraId="073DADD8">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iCs w:val="0"/>
          <w:caps w:val="0"/>
          <w:color w:val="454545"/>
          <w:spacing w:val="0"/>
          <w:sz w:val="24"/>
          <w:szCs w:val="24"/>
        </w:rPr>
      </w:pPr>
      <w:r>
        <w:rPr>
          <w:rFonts w:hint="eastAsia" w:ascii="微软雅黑" w:hAnsi="微软雅黑" w:eastAsia="微软雅黑" w:cs="微软雅黑"/>
          <w:i w:val="0"/>
          <w:iCs w:val="0"/>
          <w:caps w:val="0"/>
          <w:color w:val="454545"/>
          <w:spacing w:val="0"/>
          <w:sz w:val="24"/>
          <w:szCs w:val="24"/>
          <w:lang w:val="en-US" w:eastAsia="zh-CN"/>
        </w:rPr>
        <w:t>加强传统风貌建筑的保护，传统风貌院落的保护。加强历史环境要素及特色环境景观小品的保护。</w:t>
      </w:r>
      <w:r>
        <w:rPr>
          <w:rFonts w:hint="eastAsia" w:ascii="微软雅黑" w:hAnsi="微软雅黑" w:eastAsia="微软雅黑" w:cs="微软雅黑"/>
          <w:i w:val="0"/>
          <w:iCs w:val="0"/>
          <w:caps w:val="0"/>
          <w:color w:val="454545"/>
          <w:spacing w:val="0"/>
          <w:sz w:val="24"/>
          <w:szCs w:val="24"/>
          <w:lang w:val="en-US" w:eastAsia="zh-CN"/>
        </w:rPr>
        <w:t>开展承载非物质文化遗产的文化空间的保护利用。</w:t>
      </w:r>
    </w:p>
    <w:p w14:paraId="4C73A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454545"/>
          <w:spacing w:val="0"/>
          <w:sz w:val="24"/>
          <w:szCs w:val="24"/>
          <w:bdr w:val="none" w:color="auto" w:sz="0" w:space="0"/>
        </w:rPr>
      </w:pPr>
      <w:r>
        <w:rPr>
          <w:rFonts w:hint="eastAsia" w:ascii="微软雅黑" w:hAnsi="微软雅黑" w:eastAsia="微软雅黑" w:cs="微软雅黑"/>
          <w:b/>
          <w:bCs/>
          <w:i w:val="0"/>
          <w:iCs w:val="0"/>
          <w:caps w:val="0"/>
          <w:color w:val="454545"/>
          <w:spacing w:val="0"/>
          <w:sz w:val="24"/>
          <w:szCs w:val="24"/>
          <w:bdr w:val="none" w:color="auto" w:sz="0" w:space="0"/>
        </w:rPr>
        <w:t>附件：</w:t>
      </w:r>
    </w:p>
    <w:p w14:paraId="72625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114300" distR="114300">
            <wp:extent cx="3862705" cy="5549900"/>
            <wp:effectExtent l="0" t="0" r="4445" b="1270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a:picLocks noChangeAspect="1"/>
                    </pic:cNvPicPr>
                  </pic:nvPicPr>
                  <pic:blipFill>
                    <a:blip r:embed="rId4" cstate="print"/>
                    <a:stretch>
                      <a:fillRect/>
                    </a:stretch>
                  </pic:blipFill>
                  <pic:spPr>
                    <a:xfrm>
                      <a:off x="1353185" y="3741420"/>
                      <a:ext cx="3862705" cy="5549900"/>
                    </a:xfrm>
                    <a:prstGeom prst="rect">
                      <a:avLst/>
                    </a:prstGeom>
                  </pic:spPr>
                </pic:pic>
              </a:graphicData>
            </a:graphic>
          </wp:inline>
        </w:drawing>
      </w:r>
    </w:p>
    <w:p w14:paraId="3DC1F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规划范围</w:t>
      </w:r>
    </w:p>
    <w:p w14:paraId="26EF2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微软雅黑" w:hAnsi="微软雅黑" w:eastAsia="微软雅黑" w:cs="微软雅黑"/>
          <w:sz w:val="24"/>
          <w:lang w:val="en-US" w:eastAsia="zh-CN"/>
        </w:rPr>
      </w:pPr>
      <w:bookmarkStart w:id="0" w:name="_GoBack"/>
      <w:r>
        <w:rPr>
          <w:rFonts w:hint="default" w:ascii="微软雅黑" w:hAnsi="微软雅黑" w:eastAsia="微软雅黑" w:cs="微软雅黑"/>
          <w:sz w:val="24"/>
          <w:lang w:val="en-US" w:eastAsia="zh-CN"/>
        </w:rPr>
        <w:drawing>
          <wp:inline distT="0" distB="0" distL="114300" distR="114300">
            <wp:extent cx="4083050" cy="5819775"/>
            <wp:effectExtent l="0" t="0" r="12700" b="9525"/>
            <wp:docPr id="162" name="图片 162" descr="C:\Users\RONG\Desktop\（改）琼库什台保护规划成果\图集\图集 JPG\03 规划\02 村落保护结构规划图.png02 村落保护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RONG\Desktop\（改）琼库什台保护规划成果\图集\图集 JPG\03 规划\02 村落保护结构规划图.png02 村落保护结构规划图"/>
                    <pic:cNvPicPr>
                      <a:picLocks noChangeAspect="1"/>
                    </pic:cNvPicPr>
                  </pic:nvPicPr>
                  <pic:blipFill>
                    <a:blip r:embed="rId5"/>
                    <a:srcRect/>
                    <a:stretch>
                      <a:fillRect/>
                    </a:stretch>
                  </pic:blipFill>
                  <pic:spPr>
                    <a:xfrm>
                      <a:off x="0" y="0"/>
                      <a:ext cx="4083050" cy="5819775"/>
                    </a:xfrm>
                    <a:prstGeom prst="rect">
                      <a:avLst/>
                    </a:prstGeom>
                  </pic:spPr>
                </pic:pic>
              </a:graphicData>
            </a:graphic>
          </wp:inline>
        </w:drawing>
      </w:r>
      <w:bookmarkEnd w:id="0"/>
    </w:p>
    <w:p w14:paraId="7F7F18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保护结构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_GB2312">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E9EBF9"/>
    <w:multiLevelType w:val="singleLevel"/>
    <w:tmpl w:val="39E9EBF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mNGMzNTY2NDFlMWVjNzJlYjRlN2U0Yjg3ZWI4MmMifQ=="/>
  </w:docVars>
  <w:rsids>
    <w:rsidRoot w:val="00000000"/>
    <w:rsid w:val="5BE67E12"/>
    <w:rsid w:val="68035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styleId="6">
    <w:name w:val="List Paragraph"/>
    <w:basedOn w:val="1"/>
    <w:qFormat/>
    <w:uiPriority w:val="1"/>
    <w:pPr>
      <w:spacing w:before="171"/>
      <w:ind w:left="113" w:firstLine="453"/>
    </w:pPr>
  </w:style>
  <w:style w:type="paragraph" w:customStyle="1" w:styleId="7">
    <w:name w:val="Table Paragraph"/>
    <w:basedOn w:val="1"/>
    <w:qFormat/>
    <w:uiPriority w:val="1"/>
    <w:pPr>
      <w:spacing w:line="242" w:lineRule="exact"/>
      <w:jc w:val="center"/>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2024-11-07T00:44:19Z</dcterms:created>
  <dc:creator>wuqilin</dc:creator>
  <cp:lastModifiedBy>wewe</cp:lastModifiedBy>
  <dcterms:modified xsi:type="dcterms:W3CDTF">2024-11-07T01:14:35Z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C9949D2F9114430392EBB8B23F930A8F_12</vt:lpwstr>
  </property>
</Properties>
</file>