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66618B">
      <w:pPr>
        <w:pStyle w:val="13"/>
        <w:keepNext w:val="0"/>
        <w:keepLines w:val="0"/>
        <w:pageBreakBefore w:val="0"/>
        <w:widowControl w:val="0"/>
        <w:kinsoku/>
        <w:wordWrap/>
        <w:overflowPunct/>
        <w:topLinePunct w:val="0"/>
        <w:autoSpaceDE/>
        <w:autoSpaceDN/>
        <w:bidi w:val="0"/>
        <w:snapToGrid/>
        <w:spacing w:before="0" w:after="0" w:line="560" w:lineRule="exact"/>
        <w:jc w:val="left"/>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附件3：</w:t>
      </w:r>
    </w:p>
    <w:p w14:paraId="3DF4B94E">
      <w:pPr>
        <w:pStyle w:val="13"/>
        <w:keepNext w:val="0"/>
        <w:keepLines w:val="0"/>
        <w:pageBreakBefore w:val="0"/>
        <w:widowControl w:val="0"/>
        <w:kinsoku/>
        <w:wordWrap/>
        <w:overflowPunct/>
        <w:topLinePunct w:val="0"/>
        <w:autoSpaceDE/>
        <w:autoSpaceDN/>
        <w:bidi w:val="0"/>
        <w:snapToGrid/>
        <w:spacing w:before="0" w:after="0" w:line="560" w:lineRule="exact"/>
        <w:jc w:val="center"/>
        <w:textAlignment w:val="auto"/>
        <w:rPr>
          <w:rFonts w:hint="eastAsia" w:ascii="方正小标宋简体" w:hAnsi="方正小标宋简体" w:eastAsia="方正小标宋简体" w:cs="方正小标宋简体"/>
          <w:b w:val="0"/>
          <w:bCs w:val="0"/>
          <w:sz w:val="44"/>
          <w:szCs w:val="44"/>
        </w:rPr>
      </w:pPr>
    </w:p>
    <w:p w14:paraId="3B34146C">
      <w:pPr>
        <w:pStyle w:val="13"/>
        <w:keepNext w:val="0"/>
        <w:keepLines w:val="0"/>
        <w:pageBreakBefore w:val="0"/>
        <w:widowControl w:val="0"/>
        <w:kinsoku/>
        <w:wordWrap/>
        <w:overflowPunct/>
        <w:topLinePunct w:val="0"/>
        <w:autoSpaceDE/>
        <w:autoSpaceDN/>
        <w:bidi w:val="0"/>
        <w:snapToGrid/>
        <w:spacing w:before="0" w:after="0" w:line="560" w:lineRule="exact"/>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《特克斯县历史文化名城保护管理办法》内容解读</w:t>
      </w:r>
    </w:p>
    <w:p w14:paraId="3D2D79A2">
      <w:pPr>
        <w:keepNext w:val="0"/>
        <w:keepLines w:val="0"/>
        <w:pageBreakBefore w:val="0"/>
        <w:widowControl w:val="0"/>
        <w:kinsoku/>
        <w:wordWrap/>
        <w:overflowPunct/>
        <w:topLinePunct w:val="0"/>
        <w:autoSpaceDE/>
        <w:autoSpaceDN/>
        <w:bidi w:val="0"/>
        <w:snapToGrid/>
        <w:spacing w:line="560" w:lineRule="exact"/>
        <w:ind w:firstLine="672" w:firstLineChars="200"/>
        <w:jc w:val="both"/>
        <w:textAlignment w:val="auto"/>
        <w:rPr>
          <w:rFonts w:hint="eastAsia" w:ascii="仿宋_GB2312" w:hAnsi="仿宋_GB2312" w:eastAsia="仿宋_GB2312" w:cs="仿宋_GB2312"/>
          <w:i w:val="0"/>
          <w:iCs w:val="0"/>
          <w:caps w:val="0"/>
          <w:color w:val="000000"/>
          <w:spacing w:val="8"/>
          <w:sz w:val="32"/>
          <w:szCs w:val="32"/>
          <w:shd w:val="clear" w:fill="FFFFFF"/>
          <w:lang w:eastAsia="zh"/>
          <w:woUserID w:val="1"/>
        </w:rPr>
      </w:pPr>
    </w:p>
    <w:p w14:paraId="1D73957D">
      <w:pPr>
        <w:pStyle w:val="11"/>
        <w:keepNext w:val="0"/>
        <w:keepLines w:val="0"/>
        <w:pageBreakBefore w:val="0"/>
        <w:widowControl w:val="0"/>
        <w:kinsoku/>
        <w:wordWrap/>
        <w:overflowPunct/>
        <w:topLinePunct w:val="0"/>
        <w:autoSpaceDE/>
        <w:autoSpaceDN/>
        <w:bidi w:val="0"/>
        <w:snapToGrid/>
        <w:spacing w:before="0" w:after="0" w:afterLines="0" w:line="560" w:lineRule="exact"/>
        <w:ind w:firstLine="640" w:firstLineChars="200"/>
        <w:jc w:val="both"/>
        <w:textAlignment w:val="auto"/>
        <w:rPr>
          <w:rFonts w:hint="eastAsia" w:ascii="仿宋_GB2312" w:hAnsi="仿宋_GB2312" w:eastAsia="仿宋_GB2312" w:cs="仿宋_GB2312"/>
          <w:b w:val="0"/>
          <w:bCs w:val="0"/>
          <w:i w:val="0"/>
          <w:color w:val="000000"/>
          <w:sz w:val="32"/>
          <w:szCs w:val="32"/>
        </w:rPr>
      </w:pPr>
      <w:r>
        <w:rPr>
          <w:rFonts w:hint="eastAsia" w:ascii="仿宋_GB2312" w:hAnsi="仿宋_GB2312" w:eastAsia="仿宋_GB2312" w:cs="仿宋_GB2312"/>
          <w:b w:val="0"/>
          <w:bCs w:val="0"/>
          <w:i w:val="0"/>
          <w:color w:val="000000"/>
          <w:sz w:val="32"/>
          <w:szCs w:val="32"/>
        </w:rPr>
        <w:t>《特克斯县历史文化名城保护管理办法》（修订稿）共计七章三十五条，对特克斯县历史文化名城的保护范围、保护内容、保护规划、保护措施、传承利用、法律责任等明确规定。</w:t>
      </w:r>
    </w:p>
    <w:p w14:paraId="65A57271">
      <w:pPr>
        <w:pStyle w:val="11"/>
        <w:keepNext w:val="0"/>
        <w:keepLines w:val="0"/>
        <w:pageBreakBefore w:val="0"/>
        <w:widowControl w:val="0"/>
        <w:kinsoku/>
        <w:wordWrap/>
        <w:overflowPunct/>
        <w:topLinePunct w:val="0"/>
        <w:autoSpaceDE/>
        <w:autoSpaceDN/>
        <w:bidi w:val="0"/>
        <w:snapToGrid/>
        <w:spacing w:before="0" w:after="0" w:afterLines="0" w:line="560" w:lineRule="exact"/>
        <w:ind w:firstLine="643" w:firstLineChars="200"/>
        <w:jc w:val="both"/>
        <w:textAlignment w:val="auto"/>
        <w:rPr>
          <w:rFonts w:hint="eastAsia" w:ascii="仿宋_GB2312" w:hAnsi="仿宋_GB2312" w:eastAsia="仿宋_GB2312" w:cs="仿宋_GB2312"/>
          <w:b/>
          <w:bCs/>
          <w:i w:val="0"/>
          <w:color w:val="000000"/>
          <w:sz w:val="32"/>
          <w:szCs w:val="32"/>
        </w:rPr>
      </w:pPr>
      <w:r>
        <w:rPr>
          <w:rFonts w:hint="eastAsia" w:ascii="仿宋_GB2312" w:hAnsi="仿宋_GB2312" w:eastAsia="仿宋_GB2312" w:cs="仿宋_GB2312"/>
          <w:b/>
          <w:bCs/>
          <w:i w:val="0"/>
          <w:color w:val="000000"/>
          <w:sz w:val="32"/>
          <w:szCs w:val="32"/>
        </w:rPr>
        <w:t>第一章 总则</w:t>
      </w:r>
    </w:p>
    <w:p w14:paraId="5DC1DBAB">
      <w:pPr>
        <w:pStyle w:val="11"/>
        <w:keepNext w:val="0"/>
        <w:keepLines w:val="0"/>
        <w:pageBreakBefore w:val="0"/>
        <w:widowControl w:val="0"/>
        <w:kinsoku/>
        <w:wordWrap/>
        <w:overflowPunct/>
        <w:topLinePunct w:val="0"/>
        <w:autoSpaceDE/>
        <w:autoSpaceDN/>
        <w:bidi w:val="0"/>
        <w:snapToGrid/>
        <w:spacing w:before="0" w:after="0" w:afterLines="0" w:line="560" w:lineRule="exact"/>
        <w:ind w:firstLine="640" w:firstLineChars="200"/>
        <w:jc w:val="both"/>
        <w:textAlignment w:val="auto"/>
        <w:rPr>
          <w:rFonts w:hint="eastAsia" w:ascii="仿宋_GB2312" w:hAnsi="仿宋_GB2312" w:eastAsia="仿宋_GB2312" w:cs="仿宋_GB2312"/>
          <w:b w:val="0"/>
          <w:bCs w:val="0"/>
          <w:i w:val="0"/>
          <w:color w:val="000000"/>
          <w:sz w:val="32"/>
          <w:szCs w:val="32"/>
        </w:rPr>
      </w:pPr>
      <w:r>
        <w:rPr>
          <w:rFonts w:hint="eastAsia" w:ascii="仿宋_GB2312" w:hAnsi="仿宋_GB2312" w:eastAsia="仿宋_GB2312" w:cs="仿宋_GB2312"/>
          <w:b w:val="0"/>
          <w:bCs w:val="0"/>
          <w:i w:val="0"/>
          <w:color w:val="000000"/>
          <w:sz w:val="32"/>
          <w:szCs w:val="32"/>
        </w:rPr>
        <w:t>主要是</w:t>
      </w:r>
      <w:r>
        <w:rPr>
          <w:rFonts w:hint="eastAsia" w:ascii="仿宋_GB2312" w:hAnsi="仿宋_GB2312" w:eastAsia="仿宋_GB2312" w:cs="仿宋_GB2312"/>
          <w:b w:val="0"/>
          <w:bCs w:val="0"/>
          <w:i w:val="0"/>
          <w:color w:val="000000"/>
          <w:sz w:val="32"/>
          <w:szCs w:val="32"/>
          <w:lang w:eastAsia="zh-CN"/>
        </w:rPr>
        <w:t>明确</w:t>
      </w:r>
      <w:r>
        <w:rPr>
          <w:rFonts w:hint="eastAsia" w:ascii="仿宋_GB2312" w:hAnsi="仿宋_GB2312" w:eastAsia="仿宋_GB2312" w:cs="仿宋_GB2312"/>
          <w:b w:val="0"/>
          <w:bCs w:val="0"/>
          <w:i w:val="0"/>
          <w:color w:val="000000"/>
          <w:sz w:val="32"/>
          <w:szCs w:val="32"/>
        </w:rPr>
        <w:t>特克斯县历史文化名城保护法律法规依据及相关部门职能、</w:t>
      </w:r>
      <w:r>
        <w:rPr>
          <w:rFonts w:hint="eastAsia" w:ascii="仿宋_GB2312" w:hAnsi="仿宋_GB2312" w:eastAsia="仿宋_GB2312" w:cs="仿宋_GB2312"/>
          <w:b w:val="0"/>
          <w:bCs w:val="0"/>
          <w:i w:val="0"/>
          <w:color w:val="000000"/>
          <w:sz w:val="32"/>
          <w:szCs w:val="32"/>
          <w:lang w:eastAsia="zh-CN"/>
        </w:rPr>
        <w:t>职责</w:t>
      </w:r>
      <w:r>
        <w:rPr>
          <w:rFonts w:hint="eastAsia" w:ascii="仿宋_GB2312" w:hAnsi="仿宋_GB2312" w:eastAsia="仿宋_GB2312" w:cs="仿宋_GB2312"/>
          <w:b w:val="0"/>
          <w:bCs w:val="0"/>
          <w:i w:val="0"/>
          <w:color w:val="000000"/>
          <w:sz w:val="32"/>
          <w:szCs w:val="32"/>
        </w:rPr>
        <w:t>。在立法目的中特别强调维护特克斯县“八卦城”放射状路网格局与景观视线通廊、乌孙古道文化线路、传统村落原址风貌，并加强历史城区自建房（私房）管理。在管理体制上，明确县住房和城乡建设局会同县自然资源局、县文物主管部门负责历史文化名城保护、利用和管理工作，同时细化乡镇人民政府、</w:t>
      </w:r>
      <w:r>
        <w:rPr>
          <w:rFonts w:hint="eastAsia" w:ascii="仿宋_GB2312" w:hAnsi="仿宋_GB2312" w:eastAsia="仿宋_GB2312" w:cs="仿宋_GB2312"/>
          <w:b w:val="0"/>
          <w:bCs w:val="0"/>
          <w:i w:val="0"/>
          <w:color w:val="000000"/>
          <w:sz w:val="32"/>
          <w:szCs w:val="32"/>
          <w:lang w:val="en-US" w:eastAsia="zh-CN"/>
        </w:rPr>
        <w:t>社区（村）</w:t>
      </w:r>
      <w:r>
        <w:rPr>
          <w:rFonts w:hint="eastAsia" w:ascii="仿宋_GB2312" w:hAnsi="仿宋_GB2312" w:eastAsia="仿宋_GB2312" w:cs="仿宋_GB2312"/>
          <w:b w:val="0"/>
          <w:bCs w:val="0"/>
          <w:i w:val="0"/>
          <w:color w:val="000000"/>
          <w:sz w:val="32"/>
          <w:szCs w:val="32"/>
        </w:rPr>
        <w:t>负责辖区内日常巡查和自建房（私房）翻建全过程巡查监管职责分工。</w:t>
      </w:r>
    </w:p>
    <w:p w14:paraId="4623D391">
      <w:pPr>
        <w:pStyle w:val="11"/>
        <w:keepNext w:val="0"/>
        <w:keepLines w:val="0"/>
        <w:pageBreakBefore w:val="0"/>
        <w:widowControl w:val="0"/>
        <w:kinsoku/>
        <w:wordWrap/>
        <w:overflowPunct/>
        <w:topLinePunct w:val="0"/>
        <w:autoSpaceDE/>
        <w:autoSpaceDN/>
        <w:bidi w:val="0"/>
        <w:snapToGrid/>
        <w:spacing w:before="0" w:after="0" w:afterLines="0" w:line="560" w:lineRule="exact"/>
        <w:ind w:firstLine="643" w:firstLineChars="200"/>
        <w:jc w:val="both"/>
        <w:textAlignment w:val="auto"/>
        <w:rPr>
          <w:rFonts w:hint="eastAsia" w:ascii="仿宋_GB2312" w:hAnsi="仿宋_GB2312" w:eastAsia="仿宋_GB2312" w:cs="仿宋_GB2312"/>
          <w:b/>
          <w:bCs/>
          <w:i w:val="0"/>
          <w:color w:val="000000"/>
          <w:sz w:val="32"/>
          <w:szCs w:val="32"/>
        </w:rPr>
      </w:pPr>
      <w:r>
        <w:rPr>
          <w:rFonts w:hint="eastAsia" w:ascii="仿宋_GB2312" w:hAnsi="仿宋_GB2312" w:eastAsia="仿宋_GB2312" w:cs="仿宋_GB2312"/>
          <w:b/>
          <w:bCs/>
          <w:i w:val="0"/>
          <w:color w:val="000000"/>
          <w:sz w:val="32"/>
          <w:szCs w:val="32"/>
        </w:rPr>
        <w:t>第二章 保护范围和保护内容</w:t>
      </w:r>
    </w:p>
    <w:p w14:paraId="7E52DB90">
      <w:pPr>
        <w:pStyle w:val="11"/>
        <w:keepNext w:val="0"/>
        <w:keepLines w:val="0"/>
        <w:pageBreakBefore w:val="0"/>
        <w:widowControl w:val="0"/>
        <w:kinsoku/>
        <w:wordWrap/>
        <w:overflowPunct/>
        <w:topLinePunct w:val="0"/>
        <w:autoSpaceDE/>
        <w:autoSpaceDN/>
        <w:bidi w:val="0"/>
        <w:snapToGrid/>
        <w:spacing w:before="0" w:after="0" w:afterLines="0" w:line="560" w:lineRule="exact"/>
        <w:ind w:firstLine="640" w:firstLineChars="200"/>
        <w:jc w:val="both"/>
        <w:textAlignment w:val="auto"/>
        <w:rPr>
          <w:rFonts w:hint="eastAsia" w:ascii="仿宋_GB2312" w:hAnsi="仿宋_GB2312" w:eastAsia="仿宋_GB2312" w:cs="仿宋_GB2312"/>
          <w:b w:val="0"/>
          <w:bCs w:val="0"/>
          <w:i w:val="0"/>
          <w:color w:val="000000"/>
          <w:sz w:val="32"/>
          <w:szCs w:val="32"/>
          <w:lang w:val="en-US" w:eastAsia="zh-CN"/>
        </w:rPr>
      </w:pPr>
      <w:r>
        <w:rPr>
          <w:rFonts w:hint="eastAsia" w:ascii="仿宋_GB2312" w:hAnsi="仿宋_GB2312" w:eastAsia="仿宋_GB2312" w:cs="仿宋_GB2312"/>
          <w:b w:val="0"/>
          <w:bCs w:val="0"/>
          <w:i w:val="0"/>
          <w:color w:val="000000"/>
          <w:sz w:val="32"/>
          <w:szCs w:val="32"/>
        </w:rPr>
        <w:t>明确特克斯县历史文化名城保护管理范围和内容。保护对象除历史城区、历史文化街区、文物保护单位、历史建筑、非物质文化遗产等常规内容外，结合特克斯县实际，新增八卦城放射状路网格局与16条景观视线通廊、乌孙古道文化线路及县域岩画遗产、琼库什台等传统聚落传统生产生活空间与依存自然环境等特克斯独有要素。严格建筑限高管理</w:t>
      </w:r>
      <w:r>
        <w:rPr>
          <w:rFonts w:hint="eastAsia" w:ascii="仿宋_GB2312" w:hAnsi="仿宋_GB2312" w:eastAsia="仿宋_GB2312" w:cs="仿宋_GB2312"/>
          <w:b w:val="0"/>
          <w:bCs w:val="0"/>
          <w:i w:val="0"/>
          <w:color w:val="000000"/>
          <w:sz w:val="32"/>
          <w:szCs w:val="32"/>
          <w:lang w:eastAsia="zh-CN"/>
        </w:rPr>
        <w:t>和</w:t>
      </w:r>
      <w:r>
        <w:rPr>
          <w:rFonts w:hint="eastAsia" w:ascii="仿宋_GB2312" w:hAnsi="仿宋_GB2312" w:eastAsia="仿宋_GB2312" w:cs="仿宋_GB2312"/>
          <w:b w:val="0"/>
          <w:bCs w:val="0"/>
          <w:i w:val="0"/>
          <w:color w:val="000000"/>
          <w:sz w:val="32"/>
          <w:szCs w:val="32"/>
        </w:rPr>
        <w:t>面向群众保护名录制度</w:t>
      </w:r>
      <w:r>
        <w:rPr>
          <w:rFonts w:hint="eastAsia" w:ascii="仿宋_GB2312" w:hAnsi="仿宋_GB2312" w:eastAsia="仿宋_GB2312" w:cs="仿宋_GB2312"/>
          <w:b w:val="0"/>
          <w:bCs w:val="0"/>
          <w:i w:val="0"/>
          <w:color w:val="000000"/>
          <w:sz w:val="32"/>
          <w:szCs w:val="32"/>
          <w:lang w:eastAsia="zh-CN"/>
        </w:rPr>
        <w:t>是</w:t>
      </w:r>
      <w:r>
        <w:rPr>
          <w:rFonts w:hint="eastAsia" w:ascii="仿宋_GB2312" w:hAnsi="仿宋_GB2312" w:eastAsia="仿宋_GB2312" w:cs="仿宋_GB2312"/>
          <w:b w:val="0"/>
          <w:bCs w:val="0"/>
          <w:i w:val="0"/>
          <w:color w:val="000000"/>
          <w:sz w:val="32"/>
          <w:szCs w:val="32"/>
        </w:rPr>
        <w:t>地方独特创举。</w:t>
      </w:r>
      <w:r>
        <w:rPr>
          <w:rFonts w:hint="eastAsia" w:ascii="仿宋_GB2312" w:hAnsi="仿宋_GB2312" w:eastAsia="仿宋_GB2312" w:cs="仿宋_GB2312"/>
          <w:b w:val="0"/>
          <w:bCs w:val="0"/>
          <w:i w:val="0"/>
          <w:color w:val="000000"/>
          <w:sz w:val="32"/>
          <w:szCs w:val="32"/>
          <w:lang w:eastAsia="zh-CN"/>
        </w:rPr>
        <w:t>保护范围为</w:t>
      </w:r>
      <w:r>
        <w:rPr>
          <w:rFonts w:hint="default" w:ascii="仿宋_GB2312" w:hAnsi="仿宋_GB2312" w:eastAsia="仿宋_GB2312" w:cs="仿宋_GB2312"/>
          <w:b w:val="0"/>
          <w:bCs w:val="0"/>
          <w:i w:val="0"/>
          <w:color w:val="000000"/>
          <w:sz w:val="32"/>
          <w:szCs w:val="32"/>
          <w:lang w:val="en-US" w:eastAsia="zh-CN"/>
        </w:rPr>
        <w:t>体育公园北侧-幸福渠（阿扎提社区段）-阔克阿尕什社区建成区边界-霍斯库勒社区、霍斯库勒村建成区边界-滨河大道-博斯坦村建成区边界-古勒巴格村建成区边界-幸福渠（阿克奇社区、古勒巴格社区段）-粮仓北侧-玄武小区北侧围合而成。</w:t>
      </w:r>
    </w:p>
    <w:p w14:paraId="0F2B8230">
      <w:pPr>
        <w:pStyle w:val="11"/>
        <w:keepNext w:val="0"/>
        <w:keepLines w:val="0"/>
        <w:pageBreakBefore w:val="0"/>
        <w:widowControl w:val="0"/>
        <w:kinsoku/>
        <w:wordWrap/>
        <w:overflowPunct/>
        <w:topLinePunct w:val="0"/>
        <w:autoSpaceDE/>
        <w:autoSpaceDN/>
        <w:bidi w:val="0"/>
        <w:snapToGrid/>
        <w:spacing w:before="0" w:after="0" w:afterLines="0" w:line="560" w:lineRule="exact"/>
        <w:ind w:firstLine="643" w:firstLineChars="200"/>
        <w:jc w:val="both"/>
        <w:textAlignment w:val="auto"/>
        <w:rPr>
          <w:rFonts w:hint="eastAsia" w:ascii="仿宋_GB2312" w:hAnsi="仿宋_GB2312" w:eastAsia="仿宋_GB2312" w:cs="仿宋_GB2312"/>
          <w:b/>
          <w:bCs/>
          <w:i w:val="0"/>
          <w:color w:val="000000"/>
          <w:sz w:val="32"/>
          <w:szCs w:val="32"/>
        </w:rPr>
      </w:pPr>
      <w:r>
        <w:rPr>
          <w:rFonts w:hint="eastAsia" w:ascii="仿宋_GB2312" w:hAnsi="仿宋_GB2312" w:eastAsia="仿宋_GB2312" w:cs="仿宋_GB2312"/>
          <w:b/>
          <w:bCs/>
          <w:i w:val="0"/>
          <w:color w:val="000000"/>
          <w:sz w:val="32"/>
          <w:szCs w:val="32"/>
        </w:rPr>
        <w:t>第三章 保护规划</w:t>
      </w:r>
    </w:p>
    <w:p w14:paraId="1D7C7809">
      <w:pPr>
        <w:pStyle w:val="11"/>
        <w:keepNext w:val="0"/>
        <w:keepLines w:val="0"/>
        <w:pageBreakBefore w:val="0"/>
        <w:widowControl w:val="0"/>
        <w:kinsoku/>
        <w:wordWrap/>
        <w:overflowPunct/>
        <w:topLinePunct w:val="0"/>
        <w:autoSpaceDE/>
        <w:autoSpaceDN/>
        <w:bidi w:val="0"/>
        <w:snapToGrid/>
        <w:spacing w:before="0" w:after="0" w:afterLines="0" w:line="560" w:lineRule="exact"/>
        <w:ind w:firstLine="640" w:firstLineChars="200"/>
        <w:jc w:val="both"/>
        <w:textAlignment w:val="auto"/>
        <w:rPr>
          <w:rFonts w:hint="eastAsia" w:ascii="仿宋_GB2312" w:hAnsi="仿宋_GB2312" w:eastAsia="仿宋_GB2312" w:cs="仿宋_GB2312"/>
          <w:b w:val="0"/>
          <w:bCs w:val="0"/>
          <w:i w:val="0"/>
          <w:color w:val="000000"/>
          <w:sz w:val="32"/>
          <w:szCs w:val="32"/>
        </w:rPr>
      </w:pPr>
      <w:r>
        <w:rPr>
          <w:rFonts w:hint="eastAsia" w:ascii="仿宋_GB2312" w:hAnsi="仿宋_GB2312" w:eastAsia="仿宋_GB2312" w:cs="仿宋_GB2312"/>
          <w:b w:val="0"/>
          <w:bCs w:val="0"/>
          <w:i w:val="0"/>
          <w:color w:val="000000"/>
          <w:sz w:val="32"/>
          <w:szCs w:val="32"/>
        </w:rPr>
        <w:t>明确特克斯县历史文化名城保护规划编制流程和合法性。规划编制特别注重八卦城放射状路网格局与景观视线通廊保护，明确眺望点和景观通廊控制要求；注重琼库什台等传统聚落传统生产生活空间保护，保持聚落与草原、森林、水源等自然环境依存关系。明确规定已经批准公布</w:t>
      </w:r>
      <w:r>
        <w:rPr>
          <w:rFonts w:hint="eastAsia" w:ascii="仿宋_GB2312" w:hAnsi="仿宋_GB2312" w:eastAsia="仿宋_GB2312" w:cs="仿宋_GB2312"/>
          <w:b w:val="0"/>
          <w:bCs w:val="0"/>
          <w:i w:val="0"/>
          <w:color w:val="000000"/>
          <w:sz w:val="32"/>
          <w:szCs w:val="32"/>
          <w:lang w:eastAsia="zh-CN"/>
        </w:rPr>
        <w:t>的</w:t>
      </w:r>
      <w:r>
        <w:rPr>
          <w:rFonts w:hint="eastAsia" w:ascii="仿宋_GB2312" w:hAnsi="仿宋_GB2312" w:eastAsia="仿宋_GB2312" w:cs="仿宋_GB2312"/>
          <w:b w:val="0"/>
          <w:bCs w:val="0"/>
          <w:i w:val="0"/>
          <w:color w:val="000000"/>
          <w:sz w:val="32"/>
          <w:szCs w:val="32"/>
        </w:rPr>
        <w:t>保护规划应作为建设项目规划许可管理依据，依法严格执行，任何单位和个人不得擅自修改或拒不执行。</w:t>
      </w:r>
    </w:p>
    <w:p w14:paraId="0B84A57B">
      <w:pPr>
        <w:pStyle w:val="11"/>
        <w:keepNext w:val="0"/>
        <w:keepLines w:val="0"/>
        <w:pageBreakBefore w:val="0"/>
        <w:widowControl w:val="0"/>
        <w:kinsoku/>
        <w:wordWrap/>
        <w:overflowPunct/>
        <w:topLinePunct w:val="0"/>
        <w:autoSpaceDE/>
        <w:autoSpaceDN/>
        <w:bidi w:val="0"/>
        <w:snapToGrid/>
        <w:spacing w:before="0" w:after="0" w:afterLines="0" w:line="560" w:lineRule="exact"/>
        <w:ind w:firstLine="643" w:firstLineChars="200"/>
        <w:jc w:val="both"/>
        <w:textAlignment w:val="auto"/>
        <w:rPr>
          <w:rFonts w:hint="eastAsia" w:ascii="仿宋_GB2312" w:hAnsi="仿宋_GB2312" w:eastAsia="仿宋_GB2312" w:cs="仿宋_GB2312"/>
          <w:b/>
          <w:bCs/>
          <w:i w:val="0"/>
          <w:color w:val="000000"/>
          <w:sz w:val="32"/>
          <w:szCs w:val="32"/>
        </w:rPr>
      </w:pPr>
      <w:r>
        <w:rPr>
          <w:rFonts w:hint="eastAsia" w:ascii="仿宋_GB2312" w:hAnsi="仿宋_GB2312" w:eastAsia="仿宋_GB2312" w:cs="仿宋_GB2312"/>
          <w:b/>
          <w:bCs/>
          <w:i w:val="0"/>
          <w:color w:val="000000"/>
          <w:sz w:val="32"/>
          <w:szCs w:val="32"/>
        </w:rPr>
        <w:t>第四章 保护措施</w:t>
      </w:r>
    </w:p>
    <w:p w14:paraId="069A1045">
      <w:pPr>
        <w:pStyle w:val="11"/>
        <w:keepNext w:val="0"/>
        <w:keepLines w:val="0"/>
        <w:pageBreakBefore w:val="0"/>
        <w:widowControl w:val="0"/>
        <w:kinsoku/>
        <w:wordWrap/>
        <w:overflowPunct/>
        <w:topLinePunct w:val="0"/>
        <w:autoSpaceDE/>
        <w:autoSpaceDN/>
        <w:bidi w:val="0"/>
        <w:snapToGrid/>
        <w:spacing w:before="0" w:after="0" w:afterLines="0" w:line="560" w:lineRule="exact"/>
        <w:ind w:firstLine="640" w:firstLineChars="200"/>
        <w:jc w:val="both"/>
        <w:textAlignment w:val="auto"/>
        <w:rPr>
          <w:rFonts w:hint="eastAsia" w:ascii="仿宋_GB2312" w:hAnsi="仿宋_GB2312" w:eastAsia="仿宋_GB2312" w:cs="仿宋_GB2312"/>
          <w:b w:val="0"/>
          <w:bCs w:val="0"/>
          <w:i w:val="0"/>
          <w:color w:val="000000"/>
          <w:sz w:val="32"/>
          <w:szCs w:val="32"/>
        </w:rPr>
      </w:pPr>
      <w:r>
        <w:rPr>
          <w:rFonts w:hint="eastAsia" w:ascii="仿宋_GB2312" w:hAnsi="仿宋_GB2312" w:eastAsia="仿宋_GB2312" w:cs="仿宋_GB2312"/>
          <w:b w:val="0"/>
          <w:bCs w:val="0"/>
          <w:i w:val="0"/>
          <w:color w:val="000000"/>
          <w:sz w:val="32"/>
          <w:szCs w:val="32"/>
        </w:rPr>
        <w:t>明确历史城区应整体保护，保持传统格局、历史风貌和空间尺度，不得改变与其相互依存的自然景观和环境。在整体保护要求中特别强调保护历史城区与16条景观视线通廊，重点保护太极坛坛顶和阿克奇炮台2处历史景观眺望点，保护八卦城放射状路网格局，不得擅自改变道路走向、拓宽历史街巷或破坏放射状空间结构。琼库什台等传统聚落保护，则应当保持传统毡房、木屋等建筑形式与草原环境的协调关系。历史建筑实行图则保护，明确保护类别、重点保护部位和保护要求。消防安全方面，</w:t>
      </w:r>
      <w:r>
        <w:rPr>
          <w:rFonts w:hint="eastAsia" w:ascii="仿宋_GB2312" w:hAnsi="仿宋_GB2312" w:eastAsia="仿宋_GB2312" w:cs="仿宋_GB2312"/>
          <w:b w:val="0"/>
          <w:bCs w:val="0"/>
          <w:i w:val="0"/>
          <w:color w:val="000000"/>
          <w:sz w:val="32"/>
          <w:szCs w:val="32"/>
          <w:highlight w:val="none"/>
        </w:rPr>
        <w:t>确因</w:t>
      </w:r>
      <w:r>
        <w:rPr>
          <w:rFonts w:hint="eastAsia" w:ascii="仿宋_GB2312" w:hAnsi="仿宋_GB2312" w:eastAsia="仿宋_GB2312" w:cs="仿宋_GB2312"/>
          <w:b w:val="0"/>
          <w:bCs w:val="0"/>
          <w:i w:val="0"/>
          <w:color w:val="000000"/>
          <w:sz w:val="32"/>
          <w:szCs w:val="32"/>
        </w:rPr>
        <w:t>保护需要无法按照现行标准和规范设置消防设施的，可制定防火安全方案，并每年至少开展一</w:t>
      </w:r>
      <w:bookmarkStart w:id="0" w:name="_GoBack"/>
      <w:bookmarkEnd w:id="0"/>
      <w:r>
        <w:rPr>
          <w:rFonts w:hint="eastAsia" w:ascii="仿宋_GB2312" w:hAnsi="仿宋_GB2312" w:eastAsia="仿宋_GB2312" w:cs="仿宋_GB2312"/>
          <w:b w:val="0"/>
          <w:bCs w:val="0"/>
          <w:i w:val="0"/>
          <w:color w:val="000000"/>
          <w:sz w:val="32"/>
          <w:szCs w:val="32"/>
        </w:rPr>
        <w:t>次消防安全评估。对在历史城区从事建设活动注意事项、禁止性活动进行明确。</w:t>
      </w:r>
    </w:p>
    <w:p w14:paraId="6CAA398D">
      <w:pPr>
        <w:pStyle w:val="11"/>
        <w:keepNext w:val="0"/>
        <w:keepLines w:val="0"/>
        <w:pageBreakBefore w:val="0"/>
        <w:widowControl w:val="0"/>
        <w:kinsoku/>
        <w:wordWrap/>
        <w:overflowPunct/>
        <w:topLinePunct w:val="0"/>
        <w:autoSpaceDE/>
        <w:autoSpaceDN/>
        <w:bidi w:val="0"/>
        <w:snapToGrid/>
        <w:spacing w:before="0" w:after="0" w:afterLines="0" w:line="560" w:lineRule="exact"/>
        <w:ind w:firstLine="640" w:firstLineChars="200"/>
        <w:jc w:val="both"/>
        <w:textAlignment w:val="auto"/>
        <w:rPr>
          <w:rFonts w:hint="eastAsia" w:ascii="仿宋_GB2312" w:hAnsi="仿宋_GB2312" w:eastAsia="仿宋_GB2312" w:cs="仿宋_GB2312"/>
          <w:b w:val="0"/>
          <w:bCs w:val="0"/>
          <w:i w:val="0"/>
          <w:color w:val="000000"/>
          <w:sz w:val="32"/>
          <w:szCs w:val="32"/>
        </w:rPr>
      </w:pPr>
      <w:r>
        <w:rPr>
          <w:rFonts w:hint="eastAsia" w:ascii="仿宋_GB2312" w:hAnsi="仿宋_GB2312" w:eastAsia="仿宋_GB2312" w:cs="仿宋_GB2312"/>
          <w:b w:val="0"/>
          <w:bCs w:val="0"/>
          <w:i w:val="0"/>
          <w:color w:val="000000"/>
          <w:sz w:val="32"/>
          <w:szCs w:val="32"/>
        </w:rPr>
        <w:t>专设“历史城</w:t>
      </w:r>
      <w:r>
        <w:rPr>
          <w:rFonts w:hint="eastAsia" w:ascii="仿宋_GB2312" w:hAnsi="仿宋_GB2312" w:eastAsia="仿宋_GB2312" w:cs="仿宋_GB2312"/>
          <w:b w:val="0"/>
          <w:bCs w:val="0"/>
          <w:i w:val="0"/>
          <w:color w:val="000000"/>
          <w:sz w:val="32"/>
          <w:szCs w:val="32"/>
          <w:highlight w:val="none"/>
        </w:rPr>
        <w:t>区自建房（私房）翻建管理”条款，是本办法区别于伊宁市等地特色。针对</w:t>
      </w:r>
      <w:r>
        <w:rPr>
          <w:rFonts w:hint="eastAsia" w:ascii="仿宋_GB2312" w:hAnsi="仿宋_GB2312" w:eastAsia="仿宋_GB2312" w:cs="仿宋_GB2312"/>
          <w:b w:val="0"/>
          <w:bCs w:val="0"/>
          <w:i w:val="0"/>
          <w:color w:val="000000"/>
          <w:sz w:val="32"/>
          <w:szCs w:val="32"/>
          <w:highlight w:val="none"/>
          <w:lang w:val="en-US" w:eastAsia="zh-CN"/>
        </w:rPr>
        <w:t>我县</w:t>
      </w:r>
      <w:r>
        <w:rPr>
          <w:rFonts w:hint="eastAsia" w:ascii="仿宋_GB2312" w:hAnsi="仿宋_GB2312" w:eastAsia="仿宋_GB2312" w:cs="仿宋_GB2312"/>
          <w:b w:val="0"/>
          <w:bCs w:val="0"/>
          <w:i w:val="0"/>
          <w:color w:val="000000"/>
          <w:sz w:val="32"/>
          <w:szCs w:val="32"/>
          <w:highlight w:val="none"/>
        </w:rPr>
        <w:t>历史城区自建房（私房）违规建设</w:t>
      </w:r>
      <w:r>
        <w:rPr>
          <w:rFonts w:hint="eastAsia" w:ascii="仿宋_GB2312" w:hAnsi="仿宋_GB2312" w:eastAsia="仿宋_GB2312" w:cs="仿宋_GB2312"/>
          <w:b w:val="0"/>
          <w:bCs w:val="0"/>
          <w:i w:val="0"/>
          <w:color w:val="000000"/>
          <w:sz w:val="32"/>
          <w:szCs w:val="32"/>
          <w:highlight w:val="none"/>
          <w:lang w:val="en-US" w:eastAsia="zh-CN"/>
        </w:rPr>
        <w:t>的</w:t>
      </w:r>
      <w:r>
        <w:rPr>
          <w:rFonts w:hint="eastAsia" w:ascii="仿宋_GB2312" w:hAnsi="仿宋_GB2312" w:eastAsia="仿宋_GB2312" w:cs="仿宋_GB2312"/>
          <w:b w:val="0"/>
          <w:bCs w:val="0"/>
          <w:i w:val="0"/>
          <w:color w:val="000000"/>
          <w:sz w:val="32"/>
          <w:szCs w:val="32"/>
          <w:highlight w:val="none"/>
        </w:rPr>
        <w:t>突出基层矛盾，明确从收</w:t>
      </w:r>
      <w:r>
        <w:rPr>
          <w:rFonts w:hint="eastAsia" w:ascii="仿宋_GB2312" w:hAnsi="仿宋_GB2312" w:eastAsia="仿宋_GB2312" w:cs="仿宋_GB2312"/>
          <w:b w:val="0"/>
          <w:bCs w:val="0"/>
          <w:i w:val="0"/>
          <w:color w:val="000000"/>
          <w:sz w:val="32"/>
          <w:szCs w:val="32"/>
        </w:rPr>
        <w:t>件、联合踏勘、审批到办结监管全流程审批程序，建立由县自然资源局设立收件窗口、组织多部门联合现场踏勘工作机制。同时建立“发现—制止—查处—拆除”闭环处置机制，明确</w:t>
      </w:r>
      <w:r>
        <w:rPr>
          <w:rFonts w:hint="eastAsia" w:ascii="仿宋_GB2312" w:hAnsi="仿宋_GB2312" w:eastAsia="仿宋_GB2312" w:cs="仿宋_GB2312"/>
          <w:b w:val="0"/>
          <w:bCs w:val="0"/>
          <w:i w:val="0"/>
          <w:color w:val="000000"/>
          <w:sz w:val="32"/>
          <w:szCs w:val="32"/>
          <w:lang w:eastAsia="zh-CN"/>
        </w:rPr>
        <w:t>社区（村）</w:t>
      </w:r>
      <w:r>
        <w:rPr>
          <w:rFonts w:hint="eastAsia" w:ascii="仿宋_GB2312" w:hAnsi="仿宋_GB2312" w:eastAsia="仿宋_GB2312" w:cs="仿宋_GB2312"/>
          <w:b w:val="0"/>
          <w:bCs w:val="0"/>
          <w:i w:val="0"/>
          <w:color w:val="000000"/>
          <w:sz w:val="32"/>
          <w:szCs w:val="32"/>
        </w:rPr>
        <w:t>为日常巡查主体，县自然资源局、县</w:t>
      </w:r>
      <w:r>
        <w:rPr>
          <w:rFonts w:hint="eastAsia" w:ascii="仿宋_GB2312" w:hAnsi="仿宋_GB2312" w:eastAsia="仿宋_GB2312" w:cs="仿宋_GB2312"/>
          <w:b w:val="0"/>
          <w:bCs w:val="0"/>
          <w:i w:val="0"/>
          <w:color w:val="000000"/>
          <w:sz w:val="32"/>
          <w:szCs w:val="32"/>
          <w:lang w:val="en-US" w:eastAsia="zh-CN"/>
        </w:rPr>
        <w:t>住房和城乡建设局</w:t>
      </w:r>
      <w:r>
        <w:rPr>
          <w:rFonts w:hint="eastAsia" w:ascii="仿宋_GB2312" w:hAnsi="仿宋_GB2312" w:eastAsia="仿宋_GB2312" w:cs="仿宋_GB2312"/>
          <w:b w:val="0"/>
          <w:bCs w:val="0"/>
          <w:i w:val="0"/>
          <w:color w:val="000000"/>
          <w:sz w:val="32"/>
          <w:szCs w:val="32"/>
        </w:rPr>
        <w:t>为违法建设制止和查处主体，县公安局依法保障执法安全，县住建局在拆除过程中提供技术指导。</w:t>
      </w:r>
    </w:p>
    <w:p w14:paraId="45CD26B0">
      <w:pPr>
        <w:pStyle w:val="11"/>
        <w:keepNext w:val="0"/>
        <w:keepLines w:val="0"/>
        <w:pageBreakBefore w:val="0"/>
        <w:widowControl w:val="0"/>
        <w:kinsoku/>
        <w:wordWrap/>
        <w:overflowPunct/>
        <w:topLinePunct w:val="0"/>
        <w:autoSpaceDE/>
        <w:autoSpaceDN/>
        <w:bidi w:val="0"/>
        <w:snapToGrid/>
        <w:spacing w:before="0" w:after="0" w:afterLines="0" w:line="560" w:lineRule="exact"/>
        <w:ind w:firstLine="643" w:firstLineChars="200"/>
        <w:jc w:val="both"/>
        <w:textAlignment w:val="auto"/>
        <w:rPr>
          <w:rFonts w:hint="eastAsia" w:ascii="仿宋_GB2312" w:hAnsi="仿宋_GB2312" w:eastAsia="仿宋_GB2312" w:cs="仿宋_GB2312"/>
          <w:b/>
          <w:bCs/>
          <w:i w:val="0"/>
          <w:color w:val="000000"/>
          <w:sz w:val="32"/>
          <w:szCs w:val="32"/>
        </w:rPr>
      </w:pPr>
      <w:r>
        <w:rPr>
          <w:rFonts w:hint="eastAsia" w:ascii="仿宋_GB2312" w:hAnsi="仿宋_GB2312" w:eastAsia="仿宋_GB2312" w:cs="仿宋_GB2312"/>
          <w:b/>
          <w:bCs/>
          <w:i w:val="0"/>
          <w:color w:val="000000"/>
          <w:sz w:val="32"/>
          <w:szCs w:val="32"/>
        </w:rPr>
        <w:t>第五章 传承利用</w:t>
      </w:r>
    </w:p>
    <w:p w14:paraId="401F150B">
      <w:pPr>
        <w:pStyle w:val="11"/>
        <w:keepNext w:val="0"/>
        <w:keepLines w:val="0"/>
        <w:pageBreakBefore w:val="0"/>
        <w:widowControl w:val="0"/>
        <w:kinsoku/>
        <w:wordWrap/>
        <w:overflowPunct/>
        <w:topLinePunct w:val="0"/>
        <w:autoSpaceDE/>
        <w:autoSpaceDN/>
        <w:bidi w:val="0"/>
        <w:snapToGrid/>
        <w:spacing w:before="0" w:after="0" w:afterLines="0" w:line="560" w:lineRule="exact"/>
        <w:ind w:firstLine="640" w:firstLineChars="200"/>
        <w:jc w:val="both"/>
        <w:textAlignment w:val="auto"/>
        <w:rPr>
          <w:rFonts w:hint="eastAsia" w:ascii="仿宋_GB2312" w:hAnsi="仿宋_GB2312" w:eastAsia="仿宋_GB2312" w:cs="仿宋_GB2312"/>
          <w:b w:val="0"/>
          <w:bCs w:val="0"/>
          <w:i w:val="0"/>
          <w:color w:val="000000"/>
          <w:sz w:val="32"/>
          <w:szCs w:val="32"/>
        </w:rPr>
      </w:pPr>
      <w:r>
        <w:rPr>
          <w:rFonts w:hint="eastAsia" w:ascii="仿宋_GB2312" w:hAnsi="仿宋_GB2312" w:eastAsia="仿宋_GB2312" w:cs="仿宋_GB2312"/>
          <w:b w:val="0"/>
          <w:bCs w:val="0"/>
          <w:i w:val="0"/>
          <w:color w:val="000000"/>
          <w:sz w:val="32"/>
          <w:szCs w:val="32"/>
        </w:rPr>
        <w:t>明确在保护历史风貌特色前提下，大力发展特色文化产业，展示非物质文化遗产，激活历史城区保护利用机制。结合特克斯县实际，支持八卦城易经文化展示与研学体验，建设乌孙文化研究中心和考古体验基地，推动琼库什台游牧文化沉浸式旅游发展，打造“乌孙古道”文化旅游品牌。通过对历史建筑、历史典故、易经文化、民风民俗活化利用，使本地历史文化载体保护、传承和发展相互促进。</w:t>
      </w:r>
    </w:p>
    <w:p w14:paraId="26968D74">
      <w:pPr>
        <w:pStyle w:val="11"/>
        <w:keepNext w:val="0"/>
        <w:keepLines w:val="0"/>
        <w:pageBreakBefore w:val="0"/>
        <w:widowControl w:val="0"/>
        <w:kinsoku/>
        <w:wordWrap/>
        <w:overflowPunct/>
        <w:topLinePunct w:val="0"/>
        <w:autoSpaceDE/>
        <w:autoSpaceDN/>
        <w:bidi w:val="0"/>
        <w:snapToGrid/>
        <w:spacing w:before="0" w:after="0" w:afterLines="0" w:line="560" w:lineRule="exact"/>
        <w:ind w:firstLine="643" w:firstLineChars="200"/>
        <w:jc w:val="both"/>
        <w:textAlignment w:val="auto"/>
        <w:rPr>
          <w:rFonts w:hint="eastAsia" w:ascii="仿宋_GB2312" w:hAnsi="仿宋_GB2312" w:eastAsia="仿宋_GB2312" w:cs="仿宋_GB2312"/>
          <w:b/>
          <w:bCs/>
          <w:i w:val="0"/>
          <w:color w:val="000000"/>
          <w:sz w:val="32"/>
          <w:szCs w:val="32"/>
        </w:rPr>
      </w:pPr>
      <w:r>
        <w:rPr>
          <w:rFonts w:hint="eastAsia" w:ascii="仿宋_GB2312" w:hAnsi="仿宋_GB2312" w:eastAsia="仿宋_GB2312" w:cs="仿宋_GB2312"/>
          <w:b/>
          <w:bCs/>
          <w:i w:val="0"/>
          <w:color w:val="000000"/>
          <w:sz w:val="32"/>
          <w:szCs w:val="32"/>
        </w:rPr>
        <w:t>第六章 法律责任</w:t>
      </w:r>
    </w:p>
    <w:p w14:paraId="6561A0B4">
      <w:pPr>
        <w:pStyle w:val="11"/>
        <w:keepNext w:val="0"/>
        <w:keepLines w:val="0"/>
        <w:pageBreakBefore w:val="0"/>
        <w:widowControl w:val="0"/>
        <w:kinsoku/>
        <w:wordWrap/>
        <w:overflowPunct/>
        <w:topLinePunct w:val="0"/>
        <w:autoSpaceDE/>
        <w:autoSpaceDN/>
        <w:bidi w:val="0"/>
        <w:snapToGrid/>
        <w:spacing w:before="0" w:after="0" w:afterLines="0" w:line="560" w:lineRule="exact"/>
        <w:ind w:firstLine="640" w:firstLineChars="200"/>
        <w:jc w:val="both"/>
        <w:textAlignment w:val="auto"/>
        <w:rPr>
          <w:rFonts w:hint="eastAsia" w:ascii="仿宋_GB2312" w:hAnsi="仿宋_GB2312" w:eastAsia="仿宋_GB2312" w:cs="仿宋_GB2312"/>
          <w:b w:val="0"/>
          <w:bCs w:val="0"/>
          <w:i w:val="0"/>
          <w:color w:val="000000"/>
          <w:sz w:val="32"/>
          <w:szCs w:val="32"/>
        </w:rPr>
      </w:pPr>
      <w:r>
        <w:rPr>
          <w:rFonts w:hint="eastAsia" w:ascii="仿宋_GB2312" w:hAnsi="仿宋_GB2312" w:eastAsia="仿宋_GB2312" w:cs="仿宋_GB2312"/>
          <w:b w:val="0"/>
          <w:bCs w:val="0"/>
          <w:i w:val="0"/>
          <w:color w:val="000000"/>
          <w:sz w:val="32"/>
          <w:szCs w:val="32"/>
        </w:rPr>
        <w:t>明确违反历史文化名城保护相关行为的法律责任及处罚依据。规定国家机关及其工作人员违法审批、监管不力等情形的行政责任；对单位和个人违反本办法规定</w:t>
      </w:r>
      <w:r>
        <w:rPr>
          <w:rFonts w:hint="eastAsia" w:ascii="仿宋_GB2312" w:hAnsi="仿宋_GB2312" w:eastAsia="仿宋_GB2312" w:cs="仿宋_GB2312"/>
          <w:b w:val="0"/>
          <w:bCs w:val="0"/>
          <w:i w:val="0"/>
          <w:color w:val="000000"/>
          <w:sz w:val="32"/>
          <w:szCs w:val="32"/>
          <w:highlight w:val="none"/>
        </w:rPr>
        <w:t>行为</w:t>
      </w:r>
      <w:r>
        <w:rPr>
          <w:rFonts w:hint="eastAsia" w:ascii="仿宋_GB2312" w:hAnsi="仿宋_GB2312" w:eastAsia="仿宋_GB2312" w:cs="仿宋_GB2312"/>
          <w:b w:val="0"/>
          <w:bCs w:val="0"/>
          <w:i w:val="0"/>
          <w:color w:val="000000"/>
          <w:sz w:val="32"/>
          <w:szCs w:val="32"/>
          <w:highlight w:val="none"/>
          <w:lang w:val="en-US" w:eastAsia="zh-CN"/>
        </w:rPr>
        <w:t>的</w:t>
      </w:r>
      <w:r>
        <w:rPr>
          <w:rFonts w:hint="eastAsia" w:ascii="仿宋_GB2312" w:hAnsi="仿宋_GB2312" w:eastAsia="仿宋_GB2312" w:cs="仿宋_GB2312"/>
          <w:b w:val="0"/>
          <w:bCs w:val="0"/>
          <w:i w:val="0"/>
          <w:color w:val="000000"/>
          <w:sz w:val="32"/>
          <w:szCs w:val="32"/>
        </w:rPr>
        <w:t>，依照《历史文化名城名镇名村保护条例》《新疆维吾尔自治区历史文化名城街区和历史建筑保护条例》追究</w:t>
      </w:r>
      <w:r>
        <w:rPr>
          <w:rFonts w:hint="eastAsia" w:ascii="仿宋_GB2312" w:hAnsi="仿宋_GB2312" w:eastAsia="仿宋_GB2312" w:cs="仿宋_GB2312"/>
          <w:b w:val="0"/>
          <w:bCs w:val="0"/>
          <w:i w:val="0"/>
          <w:color w:val="000000"/>
          <w:sz w:val="32"/>
          <w:szCs w:val="32"/>
          <w:lang w:val="en-US" w:eastAsia="zh-CN"/>
        </w:rPr>
        <w:t>相关</w:t>
      </w:r>
      <w:r>
        <w:rPr>
          <w:rFonts w:hint="eastAsia" w:ascii="仿宋_GB2312" w:hAnsi="仿宋_GB2312" w:eastAsia="仿宋_GB2312" w:cs="仿宋_GB2312"/>
          <w:b w:val="0"/>
          <w:bCs w:val="0"/>
          <w:i w:val="0"/>
          <w:color w:val="000000"/>
          <w:sz w:val="32"/>
          <w:szCs w:val="32"/>
        </w:rPr>
        <w:t>法律责任。特别新增历史城区自建房（私房）新建、改建、翻建中未按审批要求施工、擅自变更设计方案或违法建设等特克斯县特有违法情形。</w:t>
      </w:r>
    </w:p>
    <w:p w14:paraId="66AB4BC6">
      <w:pPr>
        <w:pStyle w:val="11"/>
        <w:keepNext w:val="0"/>
        <w:keepLines w:val="0"/>
        <w:pageBreakBefore w:val="0"/>
        <w:widowControl w:val="0"/>
        <w:kinsoku/>
        <w:wordWrap/>
        <w:overflowPunct/>
        <w:topLinePunct w:val="0"/>
        <w:autoSpaceDE/>
        <w:autoSpaceDN/>
        <w:bidi w:val="0"/>
        <w:snapToGrid/>
        <w:spacing w:before="0" w:after="0" w:afterLines="0" w:line="560" w:lineRule="exact"/>
        <w:ind w:firstLine="643" w:firstLineChars="200"/>
        <w:jc w:val="both"/>
        <w:textAlignment w:val="auto"/>
        <w:rPr>
          <w:rFonts w:hint="eastAsia" w:ascii="仿宋_GB2312" w:hAnsi="仿宋_GB2312" w:eastAsia="仿宋_GB2312" w:cs="仿宋_GB2312"/>
          <w:b/>
          <w:bCs/>
          <w:i w:val="0"/>
          <w:color w:val="000000"/>
          <w:sz w:val="32"/>
          <w:szCs w:val="32"/>
        </w:rPr>
      </w:pPr>
      <w:r>
        <w:rPr>
          <w:rFonts w:hint="eastAsia" w:ascii="仿宋_GB2312" w:hAnsi="仿宋_GB2312" w:eastAsia="仿宋_GB2312" w:cs="仿宋_GB2312"/>
          <w:b/>
          <w:bCs/>
          <w:i w:val="0"/>
          <w:color w:val="000000"/>
          <w:sz w:val="32"/>
          <w:szCs w:val="32"/>
        </w:rPr>
        <w:t>第七章 附则</w:t>
      </w:r>
    </w:p>
    <w:p w14:paraId="7D68F7F7">
      <w:pPr>
        <w:pStyle w:val="11"/>
        <w:keepNext w:val="0"/>
        <w:keepLines w:val="0"/>
        <w:pageBreakBefore w:val="0"/>
        <w:widowControl w:val="0"/>
        <w:kinsoku/>
        <w:wordWrap/>
        <w:overflowPunct/>
        <w:topLinePunct w:val="0"/>
        <w:autoSpaceDE/>
        <w:autoSpaceDN/>
        <w:bidi w:val="0"/>
        <w:snapToGrid/>
        <w:spacing w:before="0" w:after="0" w:afterLines="0" w:line="560" w:lineRule="exact"/>
        <w:ind w:firstLine="614" w:firstLineChars="200"/>
        <w:jc w:val="both"/>
        <w:textAlignment w:val="auto"/>
        <w:rPr>
          <w:rFonts w:hint="eastAsia" w:ascii="仿宋_GB2312" w:hAnsi="仿宋_GB2312" w:eastAsia="仿宋_GB2312" w:cs="仿宋_GB2312"/>
          <w:b w:val="0"/>
          <w:bCs w:val="0"/>
          <w:i w:val="0"/>
          <w:color w:val="000000"/>
          <w:w w:val="96"/>
          <w:sz w:val="32"/>
          <w:szCs w:val="32"/>
        </w:rPr>
      </w:pPr>
      <w:r>
        <w:rPr>
          <w:rFonts w:hint="eastAsia" w:ascii="仿宋_GB2312" w:hAnsi="仿宋_GB2312" w:eastAsia="仿宋_GB2312" w:cs="仿宋_GB2312"/>
          <w:b w:val="0"/>
          <w:bCs w:val="0"/>
          <w:i w:val="0"/>
          <w:color w:val="000000"/>
          <w:w w:val="96"/>
          <w:sz w:val="32"/>
          <w:szCs w:val="32"/>
        </w:rPr>
        <w:t>明确《特克斯县历史文化名城保护管理办法》由县住房和城乡建设局负责解释，自2026年12月1日起施行，有效期五年。</w:t>
      </w:r>
    </w:p>
    <w:sectPr>
      <w:pgSz w:w="11906" w:h="16838"/>
      <w:pgMar w:top="2098" w:right="1531" w:bottom="1984" w:left="1531" w:header="851" w:footer="992" w:gutter="0"/>
      <w:cols w:space="0" w:num="1"/>
      <w:rtlGutter w:val="0"/>
      <w:docGrid w:type="lines" w:linePitch="38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embedRegular r:id="rId1" w:fontKey="{E343E9A1-43EF-46DF-BFEC-1EEF0ED815AF}"/>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0"/>
  <w:bordersDoNotSurroundFooter w:val="0"/>
  <w:attachedTemplate r:id="rId1"/>
  <w:documentProtection w:enforcement="0"/>
  <w:defaultTabStop w:val="420"/>
  <w:drawingGridHorizontalSpacing w:val="210"/>
  <w:drawingGridVerticalSpacing w:val="194"/>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AA24D9F"/>
    <w:rsid w:val="07011CC2"/>
    <w:rsid w:val="07644792"/>
    <w:rsid w:val="09284798"/>
    <w:rsid w:val="0DC41FFD"/>
    <w:rsid w:val="0F2B6FD9"/>
    <w:rsid w:val="10262C63"/>
    <w:rsid w:val="11516BA0"/>
    <w:rsid w:val="183C240D"/>
    <w:rsid w:val="1AA24D9F"/>
    <w:rsid w:val="1AB06F1B"/>
    <w:rsid w:val="230A7FE6"/>
    <w:rsid w:val="26CD1EF3"/>
    <w:rsid w:val="28DA2E89"/>
    <w:rsid w:val="2A4254F9"/>
    <w:rsid w:val="2CB03064"/>
    <w:rsid w:val="2D1F32F4"/>
    <w:rsid w:val="300C58B4"/>
    <w:rsid w:val="323B4D81"/>
    <w:rsid w:val="34B70380"/>
    <w:rsid w:val="3A5B46AD"/>
    <w:rsid w:val="3AE174A3"/>
    <w:rsid w:val="3EFEDBE2"/>
    <w:rsid w:val="404E573A"/>
    <w:rsid w:val="42D24F42"/>
    <w:rsid w:val="43446334"/>
    <w:rsid w:val="44A84E71"/>
    <w:rsid w:val="477DCE1E"/>
    <w:rsid w:val="4FFF6DB7"/>
    <w:rsid w:val="573E1E21"/>
    <w:rsid w:val="5A0E32C0"/>
    <w:rsid w:val="5B487E91"/>
    <w:rsid w:val="5BEB055D"/>
    <w:rsid w:val="5CF9550F"/>
    <w:rsid w:val="5EFEBDE8"/>
    <w:rsid w:val="5F48187B"/>
    <w:rsid w:val="646F6BA6"/>
    <w:rsid w:val="65206DF6"/>
    <w:rsid w:val="67DE7DAF"/>
    <w:rsid w:val="68CA2609"/>
    <w:rsid w:val="68CC1AED"/>
    <w:rsid w:val="69BB0F42"/>
    <w:rsid w:val="6A637494"/>
    <w:rsid w:val="6BCF62E6"/>
    <w:rsid w:val="6CD3A16D"/>
    <w:rsid w:val="6D535020"/>
    <w:rsid w:val="6E5F49A6"/>
    <w:rsid w:val="6FFF37D2"/>
    <w:rsid w:val="70DE2EF1"/>
    <w:rsid w:val="75CF6DC0"/>
    <w:rsid w:val="776E4B73"/>
    <w:rsid w:val="7C5F4108"/>
    <w:rsid w:val="7F79C282"/>
    <w:rsid w:val="7F7B6CAE"/>
    <w:rsid w:val="7FBF6DD0"/>
    <w:rsid w:val="7FCD17FE"/>
    <w:rsid w:val="7FD7E9A0"/>
    <w:rsid w:val="7FE9FBB2"/>
    <w:rsid w:val="8FFFA67E"/>
    <w:rsid w:val="A97F623E"/>
    <w:rsid w:val="AFBF8780"/>
    <w:rsid w:val="BEEFCB4B"/>
    <w:rsid w:val="BFE6F841"/>
    <w:rsid w:val="BFF7F24B"/>
    <w:rsid w:val="D5B63D5C"/>
    <w:rsid w:val="D5DE8897"/>
    <w:rsid w:val="DCF7E67D"/>
    <w:rsid w:val="E7FE3684"/>
    <w:rsid w:val="EFFF70E4"/>
    <w:rsid w:val="F7EEC240"/>
    <w:rsid w:val="FBF75102"/>
    <w:rsid w:val="FDDC5620"/>
    <w:rsid w:val="FDEA700A"/>
    <w:rsid w:val="FFBFCE42"/>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Arial" w:hAnsi="Arial" w:eastAsia="微软雅黑" w:cs="Times New Roman"/>
      <w:kern w:val="2"/>
      <w:sz w:val="21"/>
      <w:szCs w:val="24"/>
      <w:lang w:val="en-US" w:eastAsia="zh-CN" w:bidi="ar-SA"/>
    </w:rPr>
  </w:style>
  <w:style w:type="paragraph" w:styleId="2">
    <w:name w:val="heading 1"/>
    <w:next w:val="1"/>
    <w:qFormat/>
    <w:uiPriority w:val="0"/>
    <w:pPr>
      <w:widowControl w:val="0"/>
      <w:adjustRightInd w:val="0"/>
      <w:spacing w:before="320" w:line="300" w:lineRule="auto"/>
      <w:jc w:val="both"/>
      <w:outlineLvl w:val="0"/>
    </w:pPr>
    <w:rPr>
      <w:rFonts w:ascii="Times New Roman" w:hAnsi="Times New Roman" w:eastAsia="黑体" w:cs="Times New Roman"/>
      <w:color w:val="000000"/>
      <w:kern w:val="44"/>
      <w:sz w:val="32"/>
      <w:szCs w:val="44"/>
      <w:lang w:bidi="ar-SA"/>
    </w:rPr>
  </w:style>
  <w:style w:type="paragraph" w:styleId="3">
    <w:name w:val="heading 2"/>
    <w:next w:val="1"/>
    <w:unhideWhenUsed/>
    <w:qFormat/>
    <w:uiPriority w:val="0"/>
    <w:pPr>
      <w:widowControl w:val="0"/>
      <w:adjustRightInd w:val="0"/>
      <w:spacing w:before="280" w:line="300" w:lineRule="auto"/>
      <w:jc w:val="both"/>
      <w:outlineLvl w:val="1"/>
    </w:pPr>
    <w:rPr>
      <w:rFonts w:ascii="Times New Roman" w:hAnsi="Times New Roman" w:eastAsia="黑体" w:cs="Times New Roman"/>
      <w:kern w:val="2"/>
      <w:sz w:val="30"/>
      <w:szCs w:val="32"/>
      <w:lang w:bidi="ar-SA"/>
    </w:rPr>
  </w:style>
  <w:style w:type="paragraph" w:styleId="4">
    <w:name w:val="heading 3"/>
    <w:next w:val="1"/>
    <w:unhideWhenUsed/>
    <w:qFormat/>
    <w:uiPriority w:val="0"/>
    <w:pPr>
      <w:keepNext/>
      <w:keepLines/>
      <w:widowControl w:val="0"/>
      <w:adjustRightInd w:val="0"/>
      <w:spacing w:before="240" w:line="300" w:lineRule="auto"/>
      <w:jc w:val="both"/>
      <w:outlineLvl w:val="2"/>
    </w:pPr>
    <w:rPr>
      <w:rFonts w:ascii="Times New Roman" w:hAnsi="Times New Roman" w:eastAsia="黑体" w:cs="Times New Roman"/>
      <w:kern w:val="2"/>
      <w:sz w:val="30"/>
      <w:szCs w:val="24"/>
      <w:lang w:bidi="ar-SA"/>
    </w:rPr>
  </w:style>
  <w:style w:type="paragraph" w:styleId="5">
    <w:name w:val="heading 4"/>
    <w:next w:val="1"/>
    <w:unhideWhenUsed/>
    <w:qFormat/>
    <w:uiPriority w:val="0"/>
    <w:pPr>
      <w:keepNext/>
      <w:keepLines/>
      <w:widowControl w:val="0"/>
      <w:adjustRightInd w:val="0"/>
      <w:spacing w:before="200" w:line="300" w:lineRule="auto"/>
      <w:jc w:val="both"/>
      <w:outlineLvl w:val="3"/>
    </w:pPr>
    <w:rPr>
      <w:rFonts w:ascii="Times New Roman" w:hAnsi="Times New Roman" w:eastAsia="黑体" w:cs="Times New Roman"/>
      <w:bCs/>
      <w:kern w:val="2"/>
      <w:sz w:val="28"/>
      <w:szCs w:val="28"/>
      <w:lang w:bidi="ar-SA"/>
    </w:rPr>
  </w:style>
  <w:style w:type="paragraph" w:styleId="6">
    <w:name w:val="heading 5"/>
    <w:next w:val="1"/>
    <w:unhideWhenUsed/>
    <w:qFormat/>
    <w:uiPriority w:val="0"/>
    <w:pPr>
      <w:keepNext/>
      <w:keepLines/>
      <w:widowControl w:val="0"/>
      <w:adjustRightInd w:val="0"/>
      <w:spacing w:before="160" w:line="300" w:lineRule="auto"/>
      <w:jc w:val="both"/>
      <w:outlineLvl w:val="4"/>
    </w:pPr>
    <w:rPr>
      <w:rFonts w:ascii="Times New Roman" w:hAnsi="Times New Roman" w:eastAsia="黑体" w:cs="Times New Roman"/>
      <w:bCs/>
      <w:kern w:val="2"/>
      <w:sz w:val="28"/>
      <w:szCs w:val="28"/>
      <w:lang w:bidi="ar-SA"/>
    </w:rPr>
  </w:style>
  <w:style w:type="paragraph" w:styleId="7">
    <w:name w:val="heading 6"/>
    <w:next w:val="1"/>
    <w:unhideWhenUsed/>
    <w:qFormat/>
    <w:uiPriority w:val="0"/>
    <w:pPr>
      <w:keepNext/>
      <w:keepLines/>
      <w:widowControl w:val="0"/>
      <w:adjustRightInd w:val="0"/>
      <w:spacing w:before="120" w:line="300" w:lineRule="auto"/>
      <w:jc w:val="both"/>
      <w:outlineLvl w:val="5"/>
    </w:pPr>
    <w:rPr>
      <w:rFonts w:ascii="Times New Roman" w:hAnsi="Times New Roman" w:eastAsia="黑体" w:cs="Times New Roman"/>
      <w:bCs/>
      <w:kern w:val="2"/>
      <w:sz w:val="28"/>
      <w:szCs w:val="24"/>
      <w:lang w:bidi="ar-SA"/>
    </w:rPr>
  </w:style>
  <w:style w:type="paragraph" w:styleId="8">
    <w:name w:val="heading 7"/>
    <w:next w:val="1"/>
    <w:unhideWhenUsed/>
    <w:qFormat/>
    <w:uiPriority w:val="0"/>
    <w:pPr>
      <w:keepNext/>
      <w:keepLines/>
      <w:widowControl w:val="0"/>
      <w:adjustRightInd w:val="0"/>
      <w:spacing w:before="120" w:line="300" w:lineRule="auto"/>
      <w:jc w:val="both"/>
      <w:outlineLvl w:val="6"/>
    </w:pPr>
    <w:rPr>
      <w:rFonts w:ascii="Times New Roman" w:hAnsi="Times New Roman" w:eastAsia="黑体" w:cs="Times New Roman"/>
      <w:bCs/>
      <w:kern w:val="2"/>
      <w:sz w:val="24"/>
      <w:szCs w:val="24"/>
      <w:lang w:bidi="ar-SA"/>
    </w:rPr>
  </w:style>
  <w:style w:type="paragraph" w:styleId="9">
    <w:name w:val="heading 8"/>
    <w:next w:val="1"/>
    <w:unhideWhenUsed/>
    <w:qFormat/>
    <w:uiPriority w:val="0"/>
    <w:pPr>
      <w:keepNext/>
      <w:keepLines/>
      <w:widowControl w:val="0"/>
      <w:adjustRightInd w:val="0"/>
      <w:spacing w:before="120" w:line="300" w:lineRule="auto"/>
      <w:jc w:val="both"/>
      <w:outlineLvl w:val="7"/>
    </w:pPr>
    <w:rPr>
      <w:rFonts w:ascii="Times New Roman" w:hAnsi="Times New Roman" w:eastAsia="黑体" w:cs="Times New Roman"/>
      <w:kern w:val="2"/>
      <w:sz w:val="24"/>
      <w:szCs w:val="24"/>
      <w:lang w:bidi="ar-SA"/>
    </w:rPr>
  </w:style>
  <w:style w:type="paragraph" w:styleId="10">
    <w:name w:val="heading 9"/>
    <w:next w:val="1"/>
    <w:unhideWhenUsed/>
    <w:qFormat/>
    <w:uiPriority w:val="0"/>
    <w:pPr>
      <w:keepNext/>
      <w:keepLines/>
      <w:widowControl w:val="0"/>
      <w:adjustRightInd w:val="0"/>
      <w:spacing w:before="120" w:line="300" w:lineRule="auto"/>
      <w:jc w:val="both"/>
      <w:outlineLvl w:val="8"/>
    </w:pPr>
    <w:rPr>
      <w:rFonts w:ascii="Times New Roman" w:hAnsi="Times New Roman" w:eastAsia="黑体" w:cs="Times New Roman"/>
      <w:kern w:val="2"/>
      <w:sz w:val="21"/>
      <w:szCs w:val="21"/>
      <w:lang w:bidi="ar-SA"/>
    </w:rPr>
  </w:style>
  <w:style w:type="character" w:default="1" w:styleId="16">
    <w:name w:val="Default Paragraph Font"/>
    <w:qFormat/>
    <w:uiPriority w:val="0"/>
    <w:rPr>
      <w:rFonts w:eastAsia="微软雅黑" w:asciiTheme="minorAscii" w:hAnsiTheme="minorAscii"/>
    </w:rPr>
  </w:style>
  <w:style w:type="table" w:default="1" w:styleId="14">
    <w:name w:val="Normal Table"/>
    <w:semiHidden/>
    <w:qFormat/>
    <w:uiPriority w:val="0"/>
    <w:tblPr>
      <w:tblCellMar>
        <w:top w:w="0" w:type="dxa"/>
        <w:left w:w="108" w:type="dxa"/>
        <w:bottom w:w="0" w:type="dxa"/>
        <w:right w:w="108" w:type="dxa"/>
      </w:tblCellMar>
    </w:tblPr>
  </w:style>
  <w:style w:type="paragraph" w:styleId="11">
    <w:name w:val="Body Text"/>
    <w:qFormat/>
    <w:uiPriority w:val="0"/>
    <w:pPr>
      <w:widowControl w:val="0"/>
      <w:adjustRightInd w:val="0"/>
      <w:spacing w:before="100" w:after="100" w:afterLines="0" w:afterAutospacing="0" w:line="300" w:lineRule="auto"/>
      <w:ind w:firstLine="1044" w:firstLineChars="200"/>
      <w:jc w:val="both"/>
    </w:pPr>
    <w:rPr>
      <w:rFonts w:ascii="Times New Roman" w:hAnsi="Times New Roman" w:eastAsia="宋体" w:cs="Times New Roman"/>
      <w:kern w:val="2"/>
      <w:sz w:val="24"/>
      <w:szCs w:val="24"/>
      <w:lang w:bidi="ar-SA"/>
    </w:rPr>
  </w:style>
  <w:style w:type="paragraph" w:styleId="12">
    <w:name w:val="Subtitle"/>
    <w:qFormat/>
    <w:uiPriority w:val="0"/>
    <w:pPr>
      <w:widowControl w:val="0"/>
      <w:adjustRightInd w:val="0"/>
      <w:spacing w:before="100" w:after="100" w:line="240" w:lineRule="auto"/>
      <w:jc w:val="center"/>
      <w:outlineLvl w:val="9"/>
    </w:pPr>
    <w:rPr>
      <w:rFonts w:ascii="Times New Roman" w:hAnsi="Times New Roman" w:eastAsia="黑体" w:cs="Times New Roman"/>
      <w:kern w:val="28"/>
      <w:sz w:val="32"/>
      <w:szCs w:val="24"/>
      <w:lang w:bidi="ar-SA"/>
    </w:rPr>
  </w:style>
  <w:style w:type="paragraph" w:styleId="13">
    <w:name w:val="Title"/>
    <w:qFormat/>
    <w:uiPriority w:val="0"/>
    <w:pPr>
      <w:widowControl w:val="0"/>
      <w:adjustRightInd w:val="0"/>
      <w:spacing w:before="100" w:beforeAutospacing="0" w:after="100" w:afterAutospacing="0" w:line="240" w:lineRule="auto"/>
      <w:jc w:val="center"/>
      <w:outlineLvl w:val="9"/>
    </w:pPr>
    <w:rPr>
      <w:rFonts w:ascii="Times New Roman" w:hAnsi="Times New Roman" w:eastAsia="黑体" w:cs="Times New Roman"/>
      <w:kern w:val="2"/>
      <w:sz w:val="36"/>
      <w:szCs w:val="24"/>
      <w:lang w:bidi="ar-SA"/>
    </w:rPr>
  </w:style>
  <w:style w:type="table" w:styleId="15">
    <w:name w:val="Table Grid"/>
    <w:basedOn w:val="14"/>
    <w:qFormat/>
    <w:uiPriority w:val="0"/>
    <w:pPr>
      <w:widowControl w:val="0"/>
      <w:jc w:val="both"/>
    </w:pPr>
    <w:rPr>
      <w:rFonts w:eastAsia="宋体"/>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D:\data\weboffice\C:\data\weboffice\C:\data\weboffice\C:\data\weboffice\C:\data\weboffice\C:\data\weboffice\C:\Users\June\Library\Containers\com.kingsoft.wpsoffice.mac\Data\C:\data\weboffice\C:\home\ranpeng\C:\Users\53YFKM2\AppData\Roaming\Kingsoft\wps\addons\pool\win-i386\knewfileres_1.0.0.3\wps\0.docx" TargetMode="Externa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563f584e-cf4a-41c3-a095-8f5707f09596</errorID>
      <errorWord>对</errorWord>
      <group>L1_Word</group>
      <groupName>字词问题</groupName>
      <ability>L2_Typo</ability>
      <abilityName>字词错误</abilityName>
      <candidateList>
        <item>明确</item>
      </candidateList>
      <explain/>
      <paraID>5DC1DBAB</paraID>
      <start>10</start>
      <end>12</end>
      <status>modified</status>
      <modifiedWord>明确</modifiedWord>
      <trackRevisions>false</trackRevisions>
    </reviewItem>
    <reviewItem>
      <errorID>0bbdcada-4ceb-4dcf-b24b-c6fd81965915</errorID>
      <errorWord>职责进行了明确</errorWord>
      <group>L1_Grammar</group>
      <groupName>语法问题</groupName>
      <ability>L2_Grammar</ability>
      <abilityName>语法错误</abilityName>
      <candidateList>
        <item>职责</item>
      </candidateList>
      <explain/>
      <paraID>5DC1DBAB</paraID>
      <start>40</start>
      <end>42</end>
      <status>modified</status>
      <modifiedWord>职责</modifiedWord>
      <trackRevisions>false</trackRevisions>
    </reviewItem>
    <reviewItem>
      <errorID>1731f548-49b2-45f6-b558-20c848273779</errorID>
      <errorWord>、</errorWord>
      <group>L1_Word</group>
      <groupName>字词问题</groupName>
      <ability>L2_Typo</ability>
      <abilityName>字词错误</abilityName>
      <candidateList>
        <item>和</item>
      </candidateList>
      <explain/>
      <paraID>7E52DB90</paraID>
      <start>174</start>
      <end>175</end>
      <status>modified</status>
      <modifiedWord>和</modifiedWord>
      <trackRevisions>false</trackRevisions>
    </reviewItem>
    <reviewItem>
      <errorID>b463dc64-f84a-4e2b-8c01-f8881f39bd5d</errorID>
      <errorWord>为</errorWord>
      <group>L1_Word</group>
      <groupName>字词问题</groupName>
      <ability>L2_Typo</ability>
      <abilityName>字词错误</abilityName>
      <candidateList>
        <item>是</item>
      </candidateList>
      <explain/>
      <paraID>7E52DB90</paraID>
      <start>186</start>
      <end>187</end>
      <status>modified</status>
      <modifiedWord>是</modifiedWord>
      <trackRevisions>false</trackRevisions>
    </reviewItem>
    <reviewItem>
      <errorID>be7221df-4394-48ee-8aa5-e868c6f0a3db</errorID>
      <errorWord>第四章</errorWord>
      <group>L1_Format</group>
      <groupName>格式问题</groupName>
      <ability>L2_Ordinal</ability>
      <abilityName>序号格式</abilityName>
      <candidateList>
        <item>第五章</item>
      </candidateList>
      <explain>标题顺序错误，请检查标题顺序是否合理。</explain>
      <paraID>6CAA398D</paraID>
      <start>0</start>
      <end>3</end>
      <status>modified</status>
      <modifiedWord>第五章</modifiedWord>
      <trackRevisions>false</trackRevisions>
    </reviewItem>
    <reviewItem>
      <errorID>badbed63-ce1d-4e8f-a220-69bc720363ad</errorID>
      <errorWord>第五章</errorWord>
      <group>L1_Format</group>
      <groupName>格式问题</groupName>
      <ability>L2_Ordinal</ability>
      <abilityName>序号格式</abilityName>
      <candidateList>
        <item>第六章</item>
      </candidateList>
      <explain>标题顺序错误，请检查标题顺序是否合理。</explain>
      <paraID>401F150B</paraID>
      <start>0</start>
      <end>3</end>
      <status>modified</status>
      <modifiedWord>第六章</modifiedWord>
      <trackRevisions>false</trackRevisions>
    </reviewItem>
    <reviewItem>
      <errorID>49bb7663-d929-4e18-852d-66aedbf0032d</errorID>
      <errorWord>第六章</errorWord>
      <group>L1_Format</group>
      <groupName>格式问题</groupName>
      <ability>L2_Ordinal</ability>
      <abilityName>序号格式</abilityName>
      <candidateList>
        <item>第七章</item>
      </candidateList>
      <explain>标题顺序错误，请检查标题顺序是否合理。</explain>
      <paraID>6561A0B4</paraID>
      <start>0</start>
      <end>3</end>
      <status>modified</status>
      <modifiedWord>第七章</modifiedWord>
      <trackRevisions>false</trackRevisions>
    </reviewItem>
    <reviewItem>
      <errorID>578e1a6e-3fa1-4334-8777-35dc3fd00580</errorID>
      <errorWord>第七章</errorWord>
      <group>L1_Format</group>
      <groupName>格式问题</groupName>
      <ability>L2_Ordinal</ability>
      <abilityName>序号格式</abilityName>
      <candidateList>
        <item>第八章</item>
      </candidateList>
      <explain>标题顺序错误，请检查标题顺序是否合理。</explain>
      <paraID>7D68F7F7</paraID>
      <start>0</start>
      <end>3</end>
      <status>modified</status>
      <modifiedWord>第八章</modifiedWord>
      <trackRevisions>false</trackRevisions>
    </reviewItem>
  </reviewItems>
  <config/>
</contractReview>
</file>

<file path=customXml/itemProps1.xml><?xml version="1.0" encoding="utf-8"?>
<ds:datastoreItem xmlns:ds="http://schemas.openxmlformats.org/officeDocument/2006/customXml" ds:itemID="{1f5cc265-ba1e-4b40-9c91-4710a44ef6b0}">
  <ds:schemaRefs/>
</ds:datastoreItem>
</file>

<file path=docProps/app.xml><?xml version="1.0" encoding="utf-8"?>
<Properties xmlns="http://schemas.openxmlformats.org/officeDocument/2006/extended-properties" xmlns:vt="http://schemas.openxmlformats.org/officeDocument/2006/docPropsVTypes">
  <Pages>4</Pages>
  <Words>1804</Words>
  <Characters>1810</Characters>
  <Lines>0</Lines>
  <Paragraphs>0</Paragraphs>
  <TotalTime>38</TotalTime>
  <ScaleCrop>false</ScaleCrop>
  <LinksUpToDate>false</LinksUpToDate>
  <CharactersWithSpaces>1817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2018-05-28T17:24:00Z</dcterms:created>
  <dc:creator>wuqilin</dc:creator>
  <cp:lastModifiedBy>秋虎</cp:lastModifiedBy>
  <cp:lastPrinted>2026-10-08T05:30:49Z</cp:lastPrinted>
  <dcterms:modified xsi:type="dcterms:W3CDTF">2026-10-08T05:31:03Z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woTemplateTypoMode" linkTarget="0">
    <vt:lpwstr/>
  </property>
  <property fmtid="{D5CDD505-2E9C-101B-9397-08002B2CF9AE}" pid="4" name="woTemplate" linkTarget="0">
    <vt:i4>0</vt:i4>
  </property>
  <property fmtid="{D5CDD505-2E9C-101B-9397-08002B2CF9AE}" pid="5" name="ICV">
    <vt:lpwstr>EDD89A20CD6322BD3E12676A1487CC58_43</vt:lpwstr>
  </property>
  <property fmtid="{D5CDD505-2E9C-101B-9397-08002B2CF9AE}" pid="6" name="KSOTemplateDocerSaveRecord">
    <vt:lpwstr>eyJoZGlkIjoiYjQxNDNjODU0N2ZjYjViMmUzYjJmOTkxZWY0NDhhMWIiLCJ1c2VySWQiOiIzMjA4NDQ3MDEifQ==</vt:lpwstr>
  </property>
</Properties>
</file>