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7E445"/>
    <w:p w14:paraId="3947517E"/>
    <w:p w14:paraId="2FB48B1B"/>
    <w:tbl>
      <w:tblPr>
        <w:tblStyle w:val="10"/>
        <w:tblW w:w="0" w:type="auto"/>
        <w:tblInd w:w="0" w:type="dxa"/>
        <w:tblLayout w:type="autofit"/>
        <w:tblCellMar>
          <w:top w:w="0" w:type="dxa"/>
          <w:left w:w="108" w:type="dxa"/>
          <w:bottom w:w="0" w:type="dxa"/>
          <w:right w:w="108" w:type="dxa"/>
        </w:tblCellMar>
      </w:tblPr>
      <w:tblGrid>
        <w:gridCol w:w="9173"/>
      </w:tblGrid>
      <w:tr w14:paraId="2949D07E">
        <w:trPr>
          <w:trHeight w:val="1085" w:hRule="atLeast"/>
        </w:trPr>
        <w:tc>
          <w:tcPr>
            <w:tcW w:w="9173" w:type="dxa"/>
          </w:tcPr>
          <w:p w14:paraId="5F3DBED5">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3113F5C7">
      <w:pPr>
        <w:adjustRightInd w:val="0"/>
        <w:spacing w:line="480" w:lineRule="exact"/>
        <w:jc w:val="center"/>
        <w:rPr>
          <w:rFonts w:ascii="黑体" w:hAnsi="宋体" w:eastAsia="黑体"/>
          <w:b/>
          <w:sz w:val="52"/>
          <w:szCs w:val="52"/>
        </w:rPr>
      </w:pPr>
    </w:p>
    <w:p w14:paraId="0E24C263">
      <w:pPr>
        <w:adjustRightInd w:val="0"/>
        <w:spacing w:line="480" w:lineRule="exact"/>
        <w:jc w:val="center"/>
        <w:rPr>
          <w:rFonts w:ascii="黑体" w:hAnsi="宋体" w:eastAsia="黑体"/>
          <w:b/>
          <w:sz w:val="52"/>
          <w:szCs w:val="52"/>
        </w:rPr>
      </w:pPr>
    </w:p>
    <w:p w14:paraId="055B27FA">
      <w:pPr>
        <w:adjustRightInd w:val="0"/>
        <w:spacing w:line="480" w:lineRule="exact"/>
        <w:jc w:val="center"/>
        <w:rPr>
          <w:rFonts w:ascii="黑体" w:hAnsi="宋体" w:eastAsia="黑体"/>
          <w:b/>
          <w:sz w:val="52"/>
          <w:szCs w:val="52"/>
        </w:rPr>
      </w:pPr>
    </w:p>
    <w:p w14:paraId="2929CB07">
      <w:pPr>
        <w:adjustRightInd w:val="0"/>
        <w:spacing w:line="480" w:lineRule="exact"/>
        <w:jc w:val="center"/>
        <w:rPr>
          <w:rFonts w:ascii="黑体" w:hAnsi="宋体" w:eastAsia="黑体"/>
          <w:b/>
          <w:sz w:val="52"/>
          <w:szCs w:val="52"/>
        </w:rPr>
      </w:pPr>
    </w:p>
    <w:p w14:paraId="0418A568">
      <w:pPr>
        <w:adjustRightInd w:val="0"/>
        <w:spacing w:line="480" w:lineRule="exact"/>
        <w:jc w:val="center"/>
        <w:rPr>
          <w:rFonts w:ascii="黑体" w:hAnsi="宋体" w:eastAsia="黑体"/>
          <w:b/>
          <w:sz w:val="52"/>
          <w:szCs w:val="52"/>
        </w:rPr>
      </w:pPr>
    </w:p>
    <w:p w14:paraId="2C692EF3">
      <w:pPr>
        <w:adjustRightInd w:val="0"/>
        <w:spacing w:line="480" w:lineRule="exact"/>
        <w:jc w:val="center"/>
        <w:rPr>
          <w:rFonts w:ascii="黑体" w:hAnsi="宋体" w:eastAsia="黑体"/>
          <w:b/>
          <w:sz w:val="52"/>
          <w:szCs w:val="52"/>
        </w:rPr>
      </w:pPr>
    </w:p>
    <w:p w14:paraId="541339E7">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eastAsia="黑体" w:cs="Times New Roman"/>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特克斯县</w:t>
      </w:r>
      <w:r>
        <w:rPr>
          <w:rFonts w:hint="eastAsia" w:ascii="黑体" w:hAnsi="黑体" w:eastAsia="黑体" w:cs="黑体"/>
          <w:b/>
          <w:bCs/>
          <w:sz w:val="44"/>
          <w:szCs w:val="44"/>
        </w:rPr>
        <w:t>安全帽</w:t>
      </w:r>
    </w:p>
    <w:p w14:paraId="26519A62">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7B62080B">
      <w:pPr>
        <w:tabs>
          <w:tab w:val="left" w:pos="6930"/>
        </w:tabs>
        <w:adjustRightInd w:val="0"/>
        <w:spacing w:line="480" w:lineRule="exact"/>
        <w:jc w:val="left"/>
        <w:rPr>
          <w:rFonts w:ascii="黑体" w:hAnsi="黑体" w:eastAsia="黑体" w:cs="黑体"/>
          <w:b/>
          <w:bCs/>
          <w:sz w:val="44"/>
          <w:szCs w:val="44"/>
        </w:rPr>
      </w:pPr>
    </w:p>
    <w:p w14:paraId="67F671C4">
      <w:pPr>
        <w:tabs>
          <w:tab w:val="left" w:pos="6930"/>
        </w:tabs>
        <w:adjustRightInd w:val="0"/>
        <w:spacing w:line="480" w:lineRule="exact"/>
        <w:jc w:val="left"/>
        <w:rPr>
          <w:rFonts w:ascii="黑体" w:hAnsi="宋体" w:eastAsia="黑体"/>
          <w:b/>
          <w:sz w:val="52"/>
          <w:szCs w:val="52"/>
        </w:rPr>
      </w:pPr>
    </w:p>
    <w:p w14:paraId="7766EE21">
      <w:pPr>
        <w:adjustRightInd w:val="0"/>
        <w:spacing w:line="480" w:lineRule="exact"/>
        <w:jc w:val="center"/>
        <w:rPr>
          <w:rFonts w:ascii="黑体" w:hAnsi="宋体" w:eastAsia="黑体"/>
          <w:b/>
          <w:sz w:val="52"/>
          <w:szCs w:val="52"/>
        </w:rPr>
      </w:pPr>
    </w:p>
    <w:p w14:paraId="633A9149">
      <w:pPr>
        <w:adjustRightInd w:val="0"/>
        <w:spacing w:line="480" w:lineRule="exact"/>
        <w:jc w:val="center"/>
        <w:rPr>
          <w:rFonts w:ascii="黑体" w:hAnsi="宋体" w:eastAsia="黑体"/>
          <w:b/>
          <w:sz w:val="52"/>
          <w:szCs w:val="52"/>
        </w:rPr>
      </w:pPr>
    </w:p>
    <w:p w14:paraId="566217AF">
      <w:pPr>
        <w:adjustRightInd w:val="0"/>
        <w:spacing w:line="480" w:lineRule="exact"/>
        <w:jc w:val="center"/>
        <w:rPr>
          <w:rFonts w:ascii="黑体" w:hAnsi="宋体" w:eastAsia="黑体"/>
          <w:b/>
          <w:sz w:val="52"/>
          <w:szCs w:val="52"/>
        </w:rPr>
      </w:pPr>
    </w:p>
    <w:p w14:paraId="34819AF8">
      <w:pPr>
        <w:adjustRightInd w:val="0"/>
        <w:spacing w:line="480" w:lineRule="exact"/>
        <w:jc w:val="center"/>
        <w:rPr>
          <w:rFonts w:ascii="黑体" w:hAnsi="宋体" w:eastAsia="黑体"/>
          <w:b/>
          <w:sz w:val="52"/>
          <w:szCs w:val="52"/>
        </w:rPr>
      </w:pPr>
    </w:p>
    <w:p w14:paraId="284AE414">
      <w:pPr>
        <w:adjustRightInd w:val="0"/>
        <w:spacing w:line="480" w:lineRule="exact"/>
        <w:rPr>
          <w:rFonts w:ascii="黑体" w:hAnsi="宋体" w:eastAsia="黑体"/>
          <w:sz w:val="52"/>
          <w:szCs w:val="52"/>
        </w:rPr>
      </w:pPr>
    </w:p>
    <w:p w14:paraId="534DB46E">
      <w:pPr>
        <w:adjustRightInd w:val="0"/>
        <w:spacing w:line="480" w:lineRule="exact"/>
        <w:jc w:val="center"/>
        <w:rPr>
          <w:rFonts w:ascii="黑体" w:hAnsi="宋体" w:eastAsia="黑体"/>
          <w:sz w:val="52"/>
          <w:szCs w:val="52"/>
        </w:rPr>
      </w:pPr>
    </w:p>
    <w:p w14:paraId="07EFBA8A">
      <w:pPr>
        <w:adjustRightInd w:val="0"/>
        <w:spacing w:line="480" w:lineRule="exact"/>
        <w:jc w:val="center"/>
        <w:rPr>
          <w:rFonts w:ascii="黑体" w:hAnsi="宋体" w:eastAsia="黑体"/>
          <w:b/>
          <w:sz w:val="52"/>
          <w:szCs w:val="52"/>
        </w:rPr>
      </w:pPr>
    </w:p>
    <w:p w14:paraId="144BDF1C">
      <w:pPr>
        <w:adjustRightInd w:val="0"/>
        <w:spacing w:line="480" w:lineRule="exact"/>
        <w:jc w:val="center"/>
        <w:rPr>
          <w:rFonts w:ascii="黑体" w:hAnsi="宋体" w:eastAsia="黑体"/>
          <w:b/>
          <w:sz w:val="52"/>
          <w:szCs w:val="52"/>
        </w:rPr>
      </w:pPr>
    </w:p>
    <w:p w14:paraId="2227AF68">
      <w:pPr>
        <w:adjustRightInd w:val="0"/>
        <w:spacing w:line="480" w:lineRule="exact"/>
        <w:rPr>
          <w:rFonts w:ascii="黑体" w:hAnsi="宋体" w:eastAsia="黑体"/>
          <w:b/>
          <w:sz w:val="52"/>
          <w:szCs w:val="52"/>
        </w:rPr>
      </w:pPr>
    </w:p>
    <w:p w14:paraId="1E7A67F1">
      <w:pPr>
        <w:adjustRightInd w:val="0"/>
        <w:spacing w:line="480" w:lineRule="exact"/>
        <w:rPr>
          <w:rFonts w:ascii="黑体" w:hAnsi="宋体" w:eastAsia="黑体"/>
          <w:b/>
          <w:sz w:val="52"/>
          <w:szCs w:val="52"/>
        </w:rPr>
      </w:pPr>
    </w:p>
    <w:p w14:paraId="24B8E18B">
      <w:pPr>
        <w:adjustRightInd w:val="0"/>
        <w:spacing w:line="480" w:lineRule="exact"/>
        <w:rPr>
          <w:rFonts w:ascii="黑体" w:hAnsi="宋体" w:eastAsia="黑体"/>
          <w:b/>
          <w:sz w:val="52"/>
          <w:szCs w:val="52"/>
        </w:rPr>
      </w:pPr>
    </w:p>
    <w:p w14:paraId="08032BD2">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2026</w:t>
      </w:r>
      <w:r>
        <w:rPr>
          <w:rFonts w:hint="eastAsia" w:ascii="黑体" w:hAnsi="黑体" w:eastAsia="黑体" w:cs="黑体"/>
          <w:bCs/>
          <w:sz w:val="24"/>
        </w:rPr>
        <w:t>-</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3</w:t>
      </w:r>
      <w:r>
        <w:rPr>
          <w:rFonts w:hint="eastAsia" w:ascii="黑体" w:hAnsi="黑体" w:eastAsia="黑体" w:cs="黑体"/>
          <w:bCs/>
          <w:sz w:val="24"/>
        </w:rPr>
        <w:t xml:space="preserve">发布                                        </w:t>
      </w:r>
      <w:r>
        <w:rPr>
          <w:rFonts w:hint="eastAsia" w:ascii="黑体" w:hAnsi="黑体" w:eastAsia="黑体" w:cs="黑体"/>
          <w:bCs/>
          <w:sz w:val="24"/>
          <w:lang w:eastAsia="zh-CN"/>
        </w:rPr>
        <w:t>2026</w:t>
      </w:r>
      <w:r>
        <w:rPr>
          <w:rFonts w:hint="eastAsia" w:ascii="黑体" w:hAnsi="黑体" w:eastAsia="黑体" w:cs="黑体"/>
          <w:bCs/>
          <w:sz w:val="24"/>
        </w:rPr>
        <w:t>-</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4</w:t>
      </w:r>
      <w:r>
        <w:rPr>
          <w:rFonts w:hint="eastAsia" w:ascii="黑体" w:hAnsi="黑体" w:eastAsia="黑体" w:cs="黑体"/>
          <w:bCs/>
          <w:sz w:val="24"/>
        </w:rPr>
        <w:t>实施</w:t>
      </w:r>
    </w:p>
    <w:p w14:paraId="39640CB1">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特克斯县</w:t>
      </w:r>
      <w:r>
        <w:rPr>
          <w:rFonts w:hint="eastAsia" w:ascii="黑体" w:hAnsi="宋体" w:eastAsia="黑体" w:cs="黑体"/>
          <w:bCs/>
          <w:sz w:val="32"/>
          <w:szCs w:val="32"/>
        </w:rPr>
        <w:t>市场监督管理局</w:t>
      </w:r>
    </w:p>
    <w:p w14:paraId="6DEF3EA7">
      <w:pPr>
        <w:spacing w:line="440" w:lineRule="exact"/>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lang w:eastAsia="zh-CN"/>
        </w:rPr>
        <w:t>2026</w:t>
      </w:r>
      <w:r>
        <w:rPr>
          <w:rFonts w:hint="eastAsia" w:ascii="方正小标宋_GBK" w:hAnsi="方正小标宋_GBK" w:eastAsia="方正小标宋_GBK" w:cs="方正小标宋_GBK"/>
          <w:b/>
          <w:color w:val="000000"/>
          <w:sz w:val="32"/>
          <w:szCs w:val="32"/>
        </w:rPr>
        <w:t>年</w:t>
      </w:r>
      <w:r>
        <w:rPr>
          <w:rFonts w:hint="eastAsia" w:ascii="方正小标宋_GBK" w:hAnsi="方正小标宋_GBK" w:eastAsia="方正小标宋_GBK" w:cs="方正小标宋_GBK"/>
          <w:b/>
          <w:color w:val="000000"/>
          <w:sz w:val="32"/>
          <w:szCs w:val="32"/>
          <w:lang w:eastAsia="zh-CN"/>
        </w:rPr>
        <w:t>特克斯县</w:t>
      </w:r>
      <w:r>
        <w:rPr>
          <w:rFonts w:hint="eastAsia" w:ascii="方正小标宋_GBK" w:hAnsi="方正小标宋_GBK" w:eastAsia="方正小标宋_GBK" w:cs="方正小标宋_GBK"/>
          <w:b/>
          <w:color w:val="000000"/>
          <w:sz w:val="32"/>
          <w:szCs w:val="32"/>
        </w:rPr>
        <w:t>安全帽产品质量监督抽查实施细则</w:t>
      </w:r>
    </w:p>
    <w:p w14:paraId="3B76AEE3">
      <w:pPr>
        <w:adjustRightInd w:val="0"/>
        <w:snapToGrid w:val="0"/>
        <w:spacing w:line="360" w:lineRule="auto"/>
        <w:jc w:val="center"/>
        <w:rPr>
          <w:rFonts w:ascii="方正小标宋简体" w:hAnsi="仿宋" w:eastAsia="方正小标宋简体" w:cs="方正仿宋简体"/>
          <w:sz w:val="32"/>
          <w:szCs w:val="32"/>
        </w:rPr>
      </w:pPr>
    </w:p>
    <w:p w14:paraId="68BB94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396818B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14:paraId="30F288B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1BEAFB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17B7D9C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08233A34">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5E86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5E0F3013">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1DAA1FA0">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70C8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302D7C4E">
            <w:pPr>
              <w:adjustRightInd w:val="0"/>
              <w:snapToGrid w:val="0"/>
              <w:jc w:val="center"/>
              <w:rPr>
                <w:rFonts w:asciiTheme="minorEastAsia" w:hAnsiTheme="minorEastAsia" w:eastAsiaTheme="minorEastAsia"/>
                <w:sz w:val="18"/>
                <w:szCs w:val="18"/>
              </w:rPr>
            </w:pPr>
          </w:p>
        </w:tc>
        <w:tc>
          <w:tcPr>
            <w:tcW w:w="2869" w:type="dxa"/>
            <w:vAlign w:val="center"/>
          </w:tcPr>
          <w:p w14:paraId="4EE5B8C4">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39A8B96D">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0AF1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3AA8E75A">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14:paraId="173C51FD">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2869" w:type="dxa"/>
            <w:vAlign w:val="center"/>
          </w:tcPr>
          <w:p w14:paraId="50503BD6">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bl>
    <w:p w14:paraId="3B067EEE">
      <w:pPr>
        <w:spacing w:line="360" w:lineRule="auto"/>
        <w:ind w:firstLine="420" w:firstLineChars="200"/>
        <w:rPr>
          <w:rFonts w:asciiTheme="minorEastAsia" w:hAnsiTheme="minorEastAsia" w:eastAsiaTheme="minorEastAsia"/>
          <w:szCs w:val="28"/>
        </w:rPr>
      </w:pPr>
    </w:p>
    <w:p w14:paraId="46C91702">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7E1E4FB0">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7EC7F953">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6240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72BFF5D3">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256DE714">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46862C62">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4D50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2F5AE04D">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shd w:val="clear" w:color="auto" w:fill="auto"/>
            <w:noWrap/>
            <w:vAlign w:val="center"/>
          </w:tcPr>
          <w:p w14:paraId="6E7DE754">
            <w:pPr>
              <w:jc w:val="center"/>
              <w:rPr>
                <w:rFonts w:hint="eastAsia" w:ascii="宋体" w:hAnsi="宋体" w:eastAsia="宋体" w:cs="Times New Roman"/>
                <w:bCs/>
                <w:kern w:val="2"/>
                <w:sz w:val="18"/>
                <w:szCs w:val="18"/>
                <w:lang w:val="en-US" w:eastAsia="zh-CN" w:bidi="ar-SA"/>
              </w:rPr>
            </w:pPr>
            <w:r>
              <w:rPr>
                <w:rFonts w:hint="eastAsia" w:ascii="宋体" w:hAnsi="宋体"/>
                <w:bCs/>
                <w:sz w:val="18"/>
                <w:szCs w:val="18"/>
              </w:rPr>
              <w:t>垂直间距</w:t>
            </w:r>
          </w:p>
        </w:tc>
        <w:tc>
          <w:tcPr>
            <w:tcW w:w="2858" w:type="dxa"/>
            <w:vMerge w:val="restart"/>
            <w:vAlign w:val="center"/>
          </w:tcPr>
          <w:p w14:paraId="4EA26AE4">
            <w:pPr>
              <w:snapToGrid w:val="0"/>
              <w:jc w:val="center"/>
              <w:rPr>
                <w:rFonts w:hint="eastAsia" w:asciiTheme="minorEastAsia" w:hAnsiTheme="minorEastAsia" w:eastAsiaTheme="minorEastAsia"/>
                <w:bCs/>
                <w:sz w:val="18"/>
                <w:szCs w:val="18"/>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2812-2006</w:t>
            </w:r>
          </w:p>
          <w:p w14:paraId="77B8D940">
            <w:pPr>
              <w:snapToGrid w:val="0"/>
              <w:jc w:val="center"/>
              <w:rPr>
                <w:rFonts w:hint="default" w:asciiTheme="minorEastAsia" w:hAnsiTheme="minorEastAsia" w:eastAsiaTheme="minorEastAsia"/>
                <w:bCs/>
                <w:sz w:val="18"/>
                <w:szCs w:val="18"/>
                <w:lang w:val="en-US" w:eastAsia="zh-CN"/>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w:t>
            </w:r>
            <w:r>
              <w:rPr>
                <w:rFonts w:hint="eastAsia" w:asciiTheme="minorEastAsia" w:hAnsiTheme="minorEastAsia" w:eastAsiaTheme="minorEastAsia"/>
                <w:bCs/>
                <w:sz w:val="18"/>
                <w:szCs w:val="18"/>
                <w:lang w:val="en-US" w:eastAsia="zh-CN"/>
              </w:rPr>
              <w:t>24</w:t>
            </w:r>
          </w:p>
          <w:p w14:paraId="55D65E74">
            <w:pPr>
              <w:snapToGrid w:val="0"/>
              <w:jc w:val="center"/>
              <w:rPr>
                <w:rFonts w:hint="eastAsia" w:asciiTheme="minorEastAsia" w:hAnsiTheme="minorEastAsia" w:eastAsiaTheme="minorEastAsia"/>
                <w:bCs/>
                <w:sz w:val="18"/>
                <w:szCs w:val="18"/>
              </w:rPr>
            </w:pPr>
          </w:p>
        </w:tc>
      </w:tr>
      <w:tr w14:paraId="42C1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05377CA">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noWrap/>
            <w:vAlign w:val="center"/>
          </w:tcPr>
          <w:p w14:paraId="169D3DCA">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14:paraId="0B929CE4">
            <w:pPr>
              <w:snapToGrid w:val="0"/>
              <w:jc w:val="center"/>
              <w:rPr>
                <w:rFonts w:asciiTheme="minorEastAsia" w:hAnsiTheme="minorEastAsia" w:eastAsiaTheme="minorEastAsia"/>
                <w:bCs/>
                <w:color w:val="000000"/>
                <w:sz w:val="18"/>
                <w:szCs w:val="18"/>
              </w:rPr>
            </w:pPr>
          </w:p>
        </w:tc>
      </w:tr>
      <w:tr w14:paraId="168E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775B81E">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14:paraId="7E1D760B">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14:paraId="04DAC6B4">
            <w:pPr>
              <w:snapToGrid w:val="0"/>
              <w:jc w:val="center"/>
              <w:rPr>
                <w:rFonts w:asciiTheme="minorEastAsia" w:hAnsiTheme="minorEastAsia" w:eastAsiaTheme="minorEastAsia"/>
                <w:bCs/>
                <w:color w:val="000000"/>
                <w:sz w:val="18"/>
                <w:szCs w:val="18"/>
              </w:rPr>
            </w:pPr>
          </w:p>
        </w:tc>
      </w:tr>
      <w:tr w14:paraId="79E5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82487AD">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4</w:t>
            </w:r>
          </w:p>
        </w:tc>
        <w:tc>
          <w:tcPr>
            <w:tcW w:w="4137" w:type="dxa"/>
            <w:noWrap/>
            <w:vAlign w:val="center"/>
          </w:tcPr>
          <w:p w14:paraId="41CE63A4">
            <w:pPr>
              <w:snapToGrid w:val="0"/>
              <w:jc w:val="center"/>
              <w:rPr>
                <w:rFonts w:hint="eastAsia" w:asciiTheme="minorEastAsia" w:hAnsiTheme="minorEastAsia" w:eastAsiaTheme="minorEastAsia"/>
                <w:bCs/>
                <w:color w:val="000000"/>
                <w:sz w:val="18"/>
                <w:szCs w:val="18"/>
                <w:lang w:val="en-US" w:eastAsia="zh-CN"/>
              </w:rPr>
            </w:pPr>
            <w:bookmarkStart w:id="0" w:name="_GoBack"/>
            <w:bookmarkEnd w:id="0"/>
            <w:r>
              <w:rPr>
                <w:rFonts w:hint="eastAsia" w:asciiTheme="minorEastAsia" w:hAnsiTheme="minorEastAsia" w:eastAsiaTheme="minorEastAsia"/>
                <w:bCs/>
                <w:color w:val="000000"/>
                <w:sz w:val="18"/>
                <w:szCs w:val="18"/>
                <w:lang w:val="en-US" w:eastAsia="zh-CN"/>
              </w:rPr>
              <w:t>下颏带强度</w:t>
            </w:r>
          </w:p>
        </w:tc>
        <w:tc>
          <w:tcPr>
            <w:tcW w:w="2858" w:type="dxa"/>
            <w:vMerge w:val="continue"/>
            <w:vAlign w:val="center"/>
          </w:tcPr>
          <w:p w14:paraId="27A7C86C">
            <w:pPr>
              <w:snapToGrid w:val="0"/>
              <w:jc w:val="center"/>
              <w:rPr>
                <w:rFonts w:asciiTheme="minorEastAsia" w:hAnsiTheme="minorEastAsia" w:eastAsiaTheme="minorEastAsia"/>
                <w:bCs/>
                <w:color w:val="000000"/>
                <w:sz w:val="18"/>
                <w:szCs w:val="18"/>
              </w:rPr>
            </w:pPr>
          </w:p>
        </w:tc>
      </w:tr>
    </w:tbl>
    <w:p w14:paraId="1635268E">
      <w:pPr>
        <w:snapToGrid w:val="0"/>
        <w:spacing w:line="360" w:lineRule="auto"/>
        <w:ind w:firstLine="200" w:firstLineChars="200"/>
        <w:rPr>
          <w:rFonts w:asciiTheme="minorEastAsia" w:hAnsiTheme="minorEastAsia" w:eastAsiaTheme="minorEastAsia"/>
          <w:bCs/>
          <w:color w:val="000000"/>
          <w:sz w:val="10"/>
          <w:szCs w:val="10"/>
        </w:rPr>
      </w:pPr>
    </w:p>
    <w:p w14:paraId="3A255BAF">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AA23545">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776627E2">
      <w:pPr>
        <w:snapToGrid w:val="0"/>
        <w:spacing w:line="360" w:lineRule="auto"/>
        <w:ind w:firstLine="420" w:firstLineChars="200"/>
        <w:rPr>
          <w:rFonts w:ascii="宋体" w:hAnsi="宋体"/>
          <w:color w:val="000000"/>
          <w:szCs w:val="21"/>
        </w:rPr>
      </w:pPr>
    </w:p>
    <w:p w14:paraId="56982E97">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65F33F6A">
      <w:pPr>
        <w:snapToGrid w:val="0"/>
        <w:spacing w:line="360" w:lineRule="auto"/>
        <w:rPr>
          <w:rFonts w:ascii="宋体" w:hAnsi="宋体"/>
          <w:b/>
          <w:color w:val="000000"/>
          <w:szCs w:val="21"/>
        </w:rPr>
      </w:pPr>
      <w:r>
        <w:rPr>
          <w:rFonts w:hint="eastAsia" w:ascii="宋体" w:hAnsi="宋体"/>
          <w:b/>
          <w:color w:val="000000"/>
          <w:szCs w:val="21"/>
        </w:rPr>
        <w:t>3.1依据标准</w:t>
      </w:r>
    </w:p>
    <w:p w14:paraId="1B203AEB">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14:paraId="4D77A855">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6CCB7ABB">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096D44E6">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43DB1450">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4645256D">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093C0F7B">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74ED81F1">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0B55EE1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760AEC5">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78DA28A6">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150495</wp:posOffset>
                </wp:positionV>
                <wp:extent cx="5698490" cy="0"/>
                <wp:effectExtent l="0" t="0" r="0" b="0"/>
                <wp:wrapNone/>
                <wp:docPr id="3" name="自选图形 9"/>
                <wp:cNvGraphicFramePr/>
                <a:graphic xmlns:a="http://schemas.openxmlformats.org/drawingml/2006/main">
                  <a:graphicData uri="http://schemas.microsoft.com/office/word/2010/wordprocessingShape">
                    <wps:wsp>
                      <wps:cNvCnPr/>
                      <wps:spPr>
                        <a:xfrm>
                          <a:off x="0" y="0"/>
                          <a:ext cx="569849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2.8pt;margin-top:11.85pt;height:0pt;width:448.7pt;z-index:251661312;mso-width-relative:page;mso-height-relative:page;" filled="f" stroked="t" coordsize="21600,21600" o:gfxdata="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gKrStcAAAAIAQAADwAAAAAAAAABACAAAAAiAAAAZHJzL2Rvd25yZXYueG1sUEsB&#10;AhQAFAAAAAgAh07iQPr8DGL2AQAA5AMAAA4AAAAAAAAAAQAgAAAAJgEAAGRycy9lMm9Eb2MueG1s&#10;UEsFBgAAAAAGAAYAWQEAAI4FA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899EE4-0DED-4827-846B-5001A8B75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2" w:fontKey="{576EC49F-5E16-4CBC-A21D-ECA2D2E87C8D}"/>
  </w:font>
  <w:font w:name="方正小标宋简体">
    <w:altName w:val="方正舒体"/>
    <w:panose1 w:val="02010601030101010101"/>
    <w:charset w:val="86"/>
    <w:family w:val="auto"/>
    <w:pitch w:val="default"/>
    <w:sig w:usb0="00000000" w:usb1="00000000" w:usb2="00000000" w:usb3="00000000" w:csb0="00040000" w:csb1="00000000"/>
    <w:embedRegular r:id="rId3" w:fontKey="{E4C3EC4F-3098-4ADD-A90B-4AC9CEC1764A}"/>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D423B83E-875F-4FC4-B7D5-28D5B14EAC01}"/>
  </w:font>
  <w:font w:name="方正仿宋简体">
    <w:panose1 w:val="02000000000000000000"/>
    <w:charset w:val="86"/>
    <w:family w:val="auto"/>
    <w:pitch w:val="default"/>
    <w:sig w:usb0="A00002BF" w:usb1="184F6CFA" w:usb2="00000012" w:usb3="00000000" w:csb0="00040001" w:csb1="00000000"/>
    <w:embedRegular r:id="rId5" w:fontKey="{A53CAC77-2A82-4BD2-A66B-24479AB5B1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29AE1E87">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5396E6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ED8C">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1F9EE941">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F872">
    <w:pPr>
      <w:pStyle w:val="7"/>
    </w:pPr>
  </w:p>
  <w:p w14:paraId="1BA6AB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C44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3F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ODJkODVlMTQyY2JmMmI5YTQ3YzBhNDU3ODJmNzc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4721DC5"/>
    <w:rsid w:val="04D37589"/>
    <w:rsid w:val="05AD2E80"/>
    <w:rsid w:val="0A2574B3"/>
    <w:rsid w:val="0A9372A3"/>
    <w:rsid w:val="0B1074C9"/>
    <w:rsid w:val="0C1F1EFB"/>
    <w:rsid w:val="0CCB5F18"/>
    <w:rsid w:val="0D442DD2"/>
    <w:rsid w:val="0F4A7D3F"/>
    <w:rsid w:val="10A013A8"/>
    <w:rsid w:val="11604C92"/>
    <w:rsid w:val="120E7502"/>
    <w:rsid w:val="12217B86"/>
    <w:rsid w:val="12DE65A2"/>
    <w:rsid w:val="151C7951"/>
    <w:rsid w:val="17621AFA"/>
    <w:rsid w:val="17B4366D"/>
    <w:rsid w:val="18483263"/>
    <w:rsid w:val="19A2504A"/>
    <w:rsid w:val="19A55564"/>
    <w:rsid w:val="19BE3706"/>
    <w:rsid w:val="19CC3A68"/>
    <w:rsid w:val="1A08007F"/>
    <w:rsid w:val="1AD97324"/>
    <w:rsid w:val="1B282B94"/>
    <w:rsid w:val="1B310649"/>
    <w:rsid w:val="1BA004BA"/>
    <w:rsid w:val="1BAB4AFB"/>
    <w:rsid w:val="1BAC7F86"/>
    <w:rsid w:val="1C1147C7"/>
    <w:rsid w:val="1D465D4E"/>
    <w:rsid w:val="1E996D85"/>
    <w:rsid w:val="1EE546E5"/>
    <w:rsid w:val="1F6B1199"/>
    <w:rsid w:val="1FDB486B"/>
    <w:rsid w:val="21271E30"/>
    <w:rsid w:val="212E1121"/>
    <w:rsid w:val="22A70FE7"/>
    <w:rsid w:val="22C206CB"/>
    <w:rsid w:val="23757D31"/>
    <w:rsid w:val="25077C59"/>
    <w:rsid w:val="25901ED5"/>
    <w:rsid w:val="27EE2B60"/>
    <w:rsid w:val="289F43F8"/>
    <w:rsid w:val="28F63612"/>
    <w:rsid w:val="29581C87"/>
    <w:rsid w:val="2A520044"/>
    <w:rsid w:val="2AE546FC"/>
    <w:rsid w:val="2BC058C2"/>
    <w:rsid w:val="2E755089"/>
    <w:rsid w:val="308675AA"/>
    <w:rsid w:val="315B3B20"/>
    <w:rsid w:val="318744CF"/>
    <w:rsid w:val="3476127B"/>
    <w:rsid w:val="36B04453"/>
    <w:rsid w:val="37D56009"/>
    <w:rsid w:val="3828352F"/>
    <w:rsid w:val="38D3500A"/>
    <w:rsid w:val="39D709A6"/>
    <w:rsid w:val="3A12300E"/>
    <w:rsid w:val="3B15449C"/>
    <w:rsid w:val="3BA713EC"/>
    <w:rsid w:val="3D7D3E21"/>
    <w:rsid w:val="3E6E32C4"/>
    <w:rsid w:val="3EC27161"/>
    <w:rsid w:val="416803D8"/>
    <w:rsid w:val="42AC412E"/>
    <w:rsid w:val="44634DE4"/>
    <w:rsid w:val="45923BE0"/>
    <w:rsid w:val="46472A10"/>
    <w:rsid w:val="49D602EC"/>
    <w:rsid w:val="49FF64DF"/>
    <w:rsid w:val="4B245A16"/>
    <w:rsid w:val="4BEC1766"/>
    <w:rsid w:val="4C224BFA"/>
    <w:rsid w:val="4CF62516"/>
    <w:rsid w:val="4E636855"/>
    <w:rsid w:val="4F891FE9"/>
    <w:rsid w:val="4FE26F14"/>
    <w:rsid w:val="50052A51"/>
    <w:rsid w:val="5079410E"/>
    <w:rsid w:val="513601A0"/>
    <w:rsid w:val="52133DDD"/>
    <w:rsid w:val="54442C85"/>
    <w:rsid w:val="544467E1"/>
    <w:rsid w:val="562071F8"/>
    <w:rsid w:val="56A3467A"/>
    <w:rsid w:val="57B54431"/>
    <w:rsid w:val="587A6C75"/>
    <w:rsid w:val="58BD70BF"/>
    <w:rsid w:val="58E91559"/>
    <w:rsid w:val="59AE1A88"/>
    <w:rsid w:val="59C756C6"/>
    <w:rsid w:val="59EE791A"/>
    <w:rsid w:val="5A522FD2"/>
    <w:rsid w:val="5C9E7D72"/>
    <w:rsid w:val="5CF54B1C"/>
    <w:rsid w:val="60387B56"/>
    <w:rsid w:val="613D7A8C"/>
    <w:rsid w:val="62A10094"/>
    <w:rsid w:val="6A1C6093"/>
    <w:rsid w:val="6A58341E"/>
    <w:rsid w:val="6AE12BE7"/>
    <w:rsid w:val="6BB73ABA"/>
    <w:rsid w:val="6C027255"/>
    <w:rsid w:val="6C5D623A"/>
    <w:rsid w:val="6D1B4AE2"/>
    <w:rsid w:val="6DBE53FE"/>
    <w:rsid w:val="710F28F7"/>
    <w:rsid w:val="74314512"/>
    <w:rsid w:val="74CD19AC"/>
    <w:rsid w:val="755271FF"/>
    <w:rsid w:val="77FA0D5A"/>
    <w:rsid w:val="78874D6A"/>
    <w:rsid w:val="78AB6DF5"/>
    <w:rsid w:val="79533A3E"/>
    <w:rsid w:val="79645AF2"/>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semiHidden/>
    <w:unhideWhenUsed/>
    <w:qFormat/>
    <w:uiPriority w:val="99"/>
    <w:rPr>
      <w:rFonts w:ascii="宋体"/>
      <w:sz w:val="18"/>
      <w:szCs w:val="18"/>
    </w:rPr>
  </w:style>
  <w:style w:type="paragraph" w:styleId="3">
    <w:name w:val="annotation text"/>
    <w:basedOn w:val="1"/>
    <w:link w:val="18"/>
    <w:unhideWhenUsed/>
    <w:qFormat/>
    <w:uiPriority w:val="99"/>
    <w:pPr>
      <w:jc w:val="left"/>
    </w:pPr>
  </w:style>
  <w:style w:type="paragraph" w:styleId="4">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unhideWhenUsed/>
    <w:qFormat/>
    <w:uiPriority w:val="99"/>
    <w:pPr>
      <w:ind w:left="100" w:leftChars="2500"/>
    </w:pPr>
  </w:style>
  <w:style w:type="paragraph" w:styleId="6">
    <w:name w:val="Balloon Text"/>
    <w:basedOn w:val="1"/>
    <w:link w:val="20"/>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unhideWhenUsed/>
    <w:qFormat/>
    <w:uiPriority w:val="99"/>
    <w:rPr>
      <w:sz w:val="21"/>
      <w:szCs w:val="21"/>
    </w:rPr>
  </w:style>
  <w:style w:type="character" w:customStyle="1" w:styleId="15">
    <w:name w:val="highlight"/>
    <w:basedOn w:val="12"/>
    <w:qFormat/>
    <w:uiPriority w:val="0"/>
  </w:style>
  <w:style w:type="character" w:customStyle="1" w:styleId="16">
    <w:name w:val="日期 Char"/>
    <w:link w:val="5"/>
    <w:semiHidden/>
    <w:qFormat/>
    <w:uiPriority w:val="99"/>
    <w:rPr>
      <w:kern w:val="2"/>
      <w:sz w:val="21"/>
      <w:szCs w:val="24"/>
    </w:rPr>
  </w:style>
  <w:style w:type="character" w:customStyle="1" w:styleId="17">
    <w:name w:val="页脚 Char"/>
    <w:link w:val="7"/>
    <w:qFormat/>
    <w:uiPriority w:val="99"/>
    <w:rPr>
      <w:kern w:val="2"/>
      <w:sz w:val="18"/>
      <w:szCs w:val="18"/>
    </w:rPr>
  </w:style>
  <w:style w:type="character" w:customStyle="1" w:styleId="18">
    <w:name w:val="批注文字 Char"/>
    <w:link w:val="3"/>
    <w:semiHidden/>
    <w:qFormat/>
    <w:uiPriority w:val="99"/>
    <w:rPr>
      <w:kern w:val="2"/>
      <w:sz w:val="21"/>
      <w:szCs w:val="24"/>
    </w:rPr>
  </w:style>
  <w:style w:type="character" w:customStyle="1" w:styleId="19">
    <w:name w:val="页眉 Char"/>
    <w:link w:val="8"/>
    <w:semiHidden/>
    <w:qFormat/>
    <w:uiPriority w:val="99"/>
    <w:rPr>
      <w:kern w:val="2"/>
      <w:sz w:val="18"/>
      <w:szCs w:val="18"/>
    </w:rPr>
  </w:style>
  <w:style w:type="character" w:customStyle="1" w:styleId="20">
    <w:name w:val="批注框文本 Char"/>
    <w:link w:val="6"/>
    <w:semiHidden/>
    <w:qFormat/>
    <w:uiPriority w:val="99"/>
    <w:rPr>
      <w:kern w:val="2"/>
      <w:sz w:val="18"/>
      <w:szCs w:val="18"/>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批注主题 Char"/>
    <w:basedOn w:val="18"/>
    <w:link w:val="9"/>
    <w:semiHidden/>
    <w:qFormat/>
    <w:uiPriority w:val="99"/>
    <w:rPr>
      <w:b/>
      <w:bCs/>
      <w:kern w:val="2"/>
      <w:sz w:val="21"/>
      <w:szCs w:val="24"/>
    </w:rPr>
  </w:style>
  <w:style w:type="character" w:customStyle="1" w:styleId="23">
    <w:name w:val="fontstyle01"/>
    <w:basedOn w:val="12"/>
    <w:qFormat/>
    <w:uiPriority w:val="0"/>
    <w:rPr>
      <w:rFonts w:hint="default" w:ascii="FzBookMaker7DlFont70536871171" w:hAnsi="FzBookMaker7DlFont70536871171"/>
      <w:color w:val="000000"/>
      <w:sz w:val="20"/>
      <w:szCs w:val="20"/>
    </w:rPr>
  </w:style>
  <w:style w:type="character" w:customStyle="1" w:styleId="24">
    <w:name w:val="fontstyle11"/>
    <w:basedOn w:val="12"/>
    <w:qFormat/>
    <w:uiPriority w:val="0"/>
    <w:rPr>
      <w:rFonts w:hint="default" w:ascii="FzBookMaker11DlFont110536871175" w:hAnsi="FzBookMaker11DlFont110536871175"/>
      <w:color w:val="000000"/>
      <w:sz w:val="20"/>
      <w:szCs w:val="20"/>
    </w:rPr>
  </w:style>
  <w:style w:type="character" w:customStyle="1" w:styleId="25">
    <w:name w:val="fontstyle21"/>
    <w:basedOn w:val="12"/>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457A-170D-431A-8FA0-9048A210FC40}">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826</Words>
  <Characters>881</Characters>
  <Lines>7</Lines>
  <Paragraphs>2</Paragraphs>
  <TotalTime>2</TotalTime>
  <ScaleCrop>false</ScaleCrop>
  <LinksUpToDate>false</LinksUpToDate>
  <CharactersWithSpaces>936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cheny19999125615</cp:lastModifiedBy>
  <cp:lastPrinted>2022-05-19T08:26:00Z</cp:lastPrinted>
  <dcterms:modified xsi:type="dcterms:W3CDTF">2026-06-07T07:56:45Z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38DCD7A78F944E4A88C227DD09B66DB0_13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eyJoZGlkIjoiMzEwNTM5NzYwMDRjMzkwZTVkZjY2ODkwMGIxNGU0OTUiLCJ1c2VySWQiOiI1ODA4MDU4MjAifQ==</vt:lpwstr>
  </property>
</Properties>
</file>