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2018年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新疆维吾尔自治区易地扶贫搬迁项目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地方政府新增债券使用情况说明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一般债券存续期公开情况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2018年7月，伊犁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州</w:t>
      </w:r>
      <w:r>
        <w:rPr>
          <w:rFonts w:hint="eastAsia" w:ascii="仿宋" w:hAnsi="仿宋" w:eastAsia="仿宋" w:cs="仿宋"/>
          <w:sz w:val="32"/>
          <w:szCs w:val="32"/>
        </w:rPr>
        <w:t>财政局以《关于做好2018年自治州第四批地方政府债券（新增债券）转贷工作的通知》（伊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州</w:t>
      </w:r>
      <w:r>
        <w:rPr>
          <w:rFonts w:hint="eastAsia" w:ascii="仿宋" w:hAnsi="仿宋" w:eastAsia="仿宋" w:cs="仿宋"/>
          <w:sz w:val="32"/>
          <w:szCs w:val="32"/>
        </w:rPr>
        <w:t>财预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〕</w:t>
      </w:r>
      <w:r>
        <w:rPr>
          <w:rFonts w:hint="eastAsia" w:ascii="仿宋" w:hAnsi="仿宋" w:eastAsia="仿宋" w:cs="仿宋"/>
          <w:sz w:val="32"/>
          <w:szCs w:val="32"/>
        </w:rPr>
        <w:t>66号文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批复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新疆维吾尔自治区易地扶贫搬迁项目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563万元</w:t>
      </w:r>
      <w:r>
        <w:rPr>
          <w:rFonts w:hint="eastAsia" w:ascii="仿宋" w:hAnsi="仿宋" w:eastAsia="仿宋" w:cs="仿宋"/>
          <w:sz w:val="32"/>
          <w:szCs w:val="32"/>
        </w:rPr>
        <w:t>地方政府债券。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（一）截止2018年未，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新疆维吾尔自治区易地扶贫搬迁项目563万元</w:t>
      </w:r>
      <w:r>
        <w:rPr>
          <w:rFonts w:hint="eastAsia" w:ascii="仿宋" w:hAnsi="仿宋" w:eastAsia="仿宋" w:cs="仿宋"/>
          <w:sz w:val="32"/>
          <w:szCs w:val="32"/>
        </w:rPr>
        <w:t>债券资金余额为0。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（二）截止2018年末，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新疆维吾尔自治区易地扶贫搬迁项目563万元</w:t>
      </w:r>
      <w:r>
        <w:rPr>
          <w:rFonts w:hint="eastAsia" w:ascii="仿宋" w:hAnsi="仿宋" w:eastAsia="仿宋" w:cs="仿宋"/>
          <w:sz w:val="32"/>
          <w:szCs w:val="32"/>
        </w:rPr>
        <w:t>债券资金使用情况：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飞行区场道及附属工程合同支出2387.49万元， 助航灯光及站坪照明工程合同支付1052.74万元，民航专业工程监理服务合同支出135.38万元，初步设计及施工图编制合同支出391.50万元，试验检测、勘查测量合同支出22.82万元，人防易地建设费12万元。上述款项累计支付4001.93万元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（三）截止2018年末，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新疆维吾尔自治区易地扶贫搬迁项目</w:t>
      </w:r>
      <w:r>
        <w:rPr>
          <w:rFonts w:hint="eastAsia" w:ascii="仿宋" w:hAnsi="仿宋" w:eastAsia="仿宋" w:cs="仿宋"/>
          <w:sz w:val="32"/>
          <w:szCs w:val="32"/>
        </w:rPr>
        <w:t>已完成投资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5620万元，建设完成飞行区场道及附属工程总量的85%、助航灯光工程总量的90%。</w:t>
      </w: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特克斯县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住房和城乡建设局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2019年4月22日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807DFA"/>
    <w:multiLevelType w:val="singleLevel"/>
    <w:tmpl w:val="A9807DF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0243E"/>
    <w:rsid w:val="07E62FD8"/>
    <w:rsid w:val="0D563F71"/>
    <w:rsid w:val="1DF912DB"/>
    <w:rsid w:val="2B6A01A2"/>
    <w:rsid w:val="42544FAD"/>
    <w:rsid w:val="4A2A393F"/>
    <w:rsid w:val="4B00243E"/>
    <w:rsid w:val="67A60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2019-05-24T11:59:00Z</dcterms:created>
  <dc:creator>lenovo</dc:creator>
  <cp:lastModifiedBy>lenovo</cp:lastModifiedBy>
  <dcterms:modified xsi:type="dcterms:W3CDTF">2019-05-24T12:22:19Z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