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特克斯县齐勒乌泽克镇寄宿制初级中学</w:t>
      </w: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1、宣传贯彻党的路线、方针、政策、坚持正确的办学方向。</w:t>
      </w:r>
    </w:p>
    <w:p>
      <w:pPr>
        <w:spacing w:line="580" w:lineRule="exact"/>
        <w:ind w:firstLine="640"/>
        <w:jc w:val="both"/>
      </w:pPr>
      <w:r>
        <w:rPr>
          <w:rFonts w:ascii="仿宋_GB2312" w:hAnsi="仿宋_GB2312" w:eastAsia="仿宋_GB2312"/>
          <w:sz w:val="32"/>
        </w:rPr>
        <w:t>2、负责党的理论教育研讨工作，指导干部学习党的理论，培养合格的党员干部。</w:t>
      </w:r>
    </w:p>
    <w:p>
      <w:pPr>
        <w:spacing w:line="580" w:lineRule="exact"/>
        <w:ind w:firstLine="640"/>
        <w:jc w:val="both"/>
      </w:pPr>
      <w:r>
        <w:rPr>
          <w:rFonts w:ascii="仿宋_GB2312" w:hAnsi="仿宋_GB2312" w:eastAsia="仿宋_GB2312"/>
          <w:sz w:val="32"/>
        </w:rPr>
        <w:t>3、编制学校教学计划，管理、协调教育活动，开展教学研究。</w:t>
      </w:r>
    </w:p>
    <w:p>
      <w:pPr>
        <w:spacing w:line="580" w:lineRule="exact"/>
        <w:ind w:firstLine="640"/>
        <w:jc w:val="both"/>
      </w:pPr>
      <w:r>
        <w:rPr>
          <w:rFonts w:ascii="仿宋_GB2312" w:hAnsi="仿宋_GB2312" w:eastAsia="仿宋_GB2312"/>
          <w:sz w:val="32"/>
        </w:rPr>
        <w:t>4、完成学校交办的其他工作。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特克斯县齐勒乌泽克镇寄宿制初级中学无下属预算单位。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2025年度收入总计8,382.37万元，</w:t>
      </w:r>
      <w:r>
        <w:rPr>
          <w:rFonts w:ascii="仿宋_GB2312" w:hAnsi="仿宋_GB2312" w:eastAsia="仿宋_GB2312"/>
          <w:b w:val="0"/>
          <w:sz w:val="32"/>
        </w:rPr>
        <w:t>其中：本年收入合计8,382.37万元，使用非财政拨款结余（含专用结余）0.00万元，年初结转和结余0.00万元。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2025年度支出总计8,382.37万元，</w:t>
      </w:r>
      <w:r>
        <w:rPr>
          <w:rFonts w:ascii="仿宋_GB2312" w:hAnsi="仿宋_GB2312" w:eastAsia="仿宋_GB2312"/>
          <w:b w:val="0"/>
          <w:sz w:val="32"/>
        </w:rPr>
        <w:t>其中：本年支出合计8,382.37万元，结余分配0.00万元，年末结转和结余0.00万元。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增加331.56万元，增长4.12%，主要原因是：本年在职人员工资调增，公积金基数调增，人员经费增加。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本年收入8,382.37万元，</w:t>
      </w:r>
      <w:r>
        <w:rPr>
          <w:rFonts w:ascii="仿宋_GB2312" w:hAnsi="仿宋_GB2312" w:eastAsia="仿宋_GB2312"/>
          <w:b w:val="0"/>
          <w:sz w:val="32"/>
        </w:rPr>
        <w:t>其中：财政拨款收入8,313.32万元，占99.18%；上级补助收入0.00万元，占0.00%；事业收入0.00万元，占0.00%；经营收入0.00万元，占0.00%；附属单位上缴收入0.00万元，占0.00%；其他收入69.06万元，占0.82%。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本年支出8,382.37万元，</w:t>
      </w:r>
      <w:r>
        <w:rPr>
          <w:rFonts w:ascii="仿宋_GB2312" w:hAnsi="仿宋_GB2312" w:eastAsia="仿宋_GB2312"/>
          <w:b w:val="0"/>
          <w:sz w:val="32"/>
        </w:rPr>
        <w:t>其中：基本支出8,382.37万元，占100.00%；项目支出0.00万元，占0.00%；上缴上级支出0.00万元，占0.00%；经营支出0.00万元，占0.00%；对附属单位补助支出0.00万元，占0.00%。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2025年度财政拨款收入总计8,313.32万元，</w:t>
      </w:r>
      <w:r>
        <w:rPr>
          <w:rFonts w:ascii="仿宋_GB2312" w:hAnsi="仿宋_GB2312" w:eastAsia="仿宋_GB2312"/>
          <w:b w:val="0"/>
          <w:sz w:val="32"/>
        </w:rPr>
        <w:t>其中：年初财政拨款结转和结余0.00万元，本年财政拨款收入8,313.32万元。</w:t>
      </w:r>
      <w:r>
        <w:rPr>
          <w:rFonts w:ascii="仿宋_GB2312" w:hAnsi="仿宋_GB2312" w:eastAsia="仿宋_GB2312"/>
          <w:b/>
          <w:sz w:val="32"/>
        </w:rPr>
        <w:t>财政拨款支出总计8,313.32万元，</w:t>
      </w:r>
      <w:r>
        <w:rPr>
          <w:rFonts w:ascii="仿宋_GB2312" w:hAnsi="仿宋_GB2312" w:eastAsia="仿宋_GB2312"/>
          <w:b w:val="0"/>
          <w:sz w:val="32"/>
        </w:rPr>
        <w:t>其中：年末财政拨款结转和结余0.00万元，本年财政拨款支出8,313.32万元。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增加361.43万元，增长4.55%，主要原因是：本年在职人员工资调增，公积金基数调增，人员经费增加。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年初预算数7,286.35万元，决算数8,313.32万元，预决算差异率14.09%，主要原因是：年中追加人员工资、社保、公积金基数调增部分资金，导致预决算存在差异。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事业发展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按照支出功能分类，教育支出（类）普通教育（款）小学教育（项）的支出占本年财政拨款支出总额的比重最高，2025年度决算数为4,064.03万元，占比48.89%，主要用于人员工资福利、日常公用经费。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2025年度一般公共预算财政拨款支出8,313.32万元，</w:t>
      </w:r>
      <w:r>
        <w:rPr>
          <w:rFonts w:ascii="仿宋_GB2312" w:hAnsi="仿宋_GB2312" w:eastAsia="仿宋_GB2312"/>
          <w:b w:val="0"/>
          <w:sz w:val="32"/>
        </w:rPr>
        <w:t>占本年支出合计的99.18%。</w:t>
      </w:r>
      <w:r>
        <w:rPr>
          <w:rFonts w:ascii="仿宋_GB2312" w:hAnsi="仿宋_GB2312" w:eastAsia="仿宋_GB2312"/>
          <w:b/>
          <w:sz w:val="32"/>
        </w:rPr>
        <w:t>与上年相比，</w:t>
      </w:r>
      <w:r>
        <w:rPr>
          <w:rFonts w:ascii="仿宋_GB2312" w:hAnsi="仿宋_GB2312" w:eastAsia="仿宋_GB2312"/>
          <w:b w:val="0"/>
          <w:sz w:val="32"/>
        </w:rPr>
        <w:t>增加361.43万元，增长4.55%，主要原因是：本年在职人员工资调增，公积金基数调增，人员经费增加。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年初预算数7,286.35万元，决算数8,313.32万元，预决算差异率14.09%，主要原因是：年中追加人员工资、社保、公积金基数调增部分资金，导致预决算存在差异。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1.教育支出（类）7,293.27万元，占87.73%。</w:t>
      </w:r>
    </w:p>
    <w:p>
      <w:pPr>
        <w:spacing w:line="580" w:lineRule="exact"/>
        <w:ind w:firstLine="640"/>
        <w:jc w:val="both"/>
      </w:pPr>
      <w:r>
        <w:rPr>
          <w:rFonts w:ascii="仿宋_GB2312" w:hAnsi="仿宋_GB2312" w:eastAsia="仿宋_GB2312"/>
          <w:b w:val="0"/>
          <w:sz w:val="32"/>
        </w:rPr>
        <w:t>2.社会保障和就业支出（类）363.37万元，占4.37%。</w:t>
      </w:r>
    </w:p>
    <w:p>
      <w:pPr>
        <w:spacing w:line="580" w:lineRule="exact"/>
        <w:ind w:firstLine="640"/>
        <w:jc w:val="both"/>
      </w:pPr>
      <w:r>
        <w:rPr>
          <w:rFonts w:ascii="仿宋_GB2312" w:hAnsi="仿宋_GB2312" w:eastAsia="仿宋_GB2312"/>
          <w:b w:val="0"/>
          <w:sz w:val="32"/>
        </w:rPr>
        <w:t>3.卫生健康支出（类）53.96万元，占0.65%。</w:t>
      </w:r>
    </w:p>
    <w:p>
      <w:pPr>
        <w:spacing w:line="580" w:lineRule="exact"/>
        <w:ind w:firstLine="640"/>
        <w:jc w:val="both"/>
      </w:pPr>
      <w:r>
        <w:rPr>
          <w:rFonts w:ascii="仿宋_GB2312" w:hAnsi="仿宋_GB2312" w:eastAsia="仿宋_GB2312"/>
          <w:b w:val="0"/>
          <w:sz w:val="32"/>
        </w:rPr>
        <w:t>4.住房保障支出（类）602.72万元，占7.25%。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1.教育支出（类）普通教育（款）学前教育（项）：支出决算数为1,037.15万元，比上年决算减少214.58万元，下降17.14%，主要原因是：本年幼儿老师在职人员减少，相关人员经费减少。</w:t>
      </w:r>
    </w:p>
    <w:p>
      <w:pPr>
        <w:spacing w:line="580" w:lineRule="exact"/>
        <w:ind w:firstLine="640"/>
        <w:jc w:val="both"/>
      </w:pPr>
      <w:r>
        <w:rPr>
          <w:rFonts w:ascii="仿宋_GB2312" w:hAnsi="仿宋_GB2312" w:eastAsia="仿宋_GB2312"/>
          <w:b w:val="0"/>
          <w:sz w:val="32"/>
        </w:rPr>
        <w:t>2.教育支出（类）普通教育（款）小学教育（项）：支出决算数为4,064.03万元，比上年决算增加117.09万元，增长2.97%，主要原因是：本年教师基本工资调增，补发津贴补贴，导致人员经费较上年增加。</w:t>
      </w:r>
    </w:p>
    <w:p>
      <w:pPr>
        <w:spacing w:line="580" w:lineRule="exact"/>
        <w:ind w:firstLine="640"/>
        <w:jc w:val="both"/>
      </w:pPr>
      <w:r>
        <w:rPr>
          <w:rFonts w:ascii="仿宋_GB2312" w:hAnsi="仿宋_GB2312" w:eastAsia="仿宋_GB2312"/>
          <w:b w:val="0"/>
          <w:sz w:val="32"/>
        </w:rPr>
        <w:t>3.教育支出（类）普通教育（款）初中教育（项）：支出决算数为2,192.09万元，比上年决算增加698.47万元，增长46.76%，主要原因是：本年教师基本工资调增，补发津贴补贴，导致人员经费较上年增加。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254.50万元，比上年决算减少245.05万元，下降49.05%，主要原因是：本年幼儿老师在职人员减少，单位基本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68.83万元，比上年决算减少6.74万元，下降8.92%，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6.社会保障和就业支出（类）抚恤（款）死亡抚恤（项）：支出决算数为40.04万元，比上年决算增加4.10万元，增长11.41%，主要原因是：本年新增死亡人员，死亡抚恤支出增加。</w:t>
      </w:r>
    </w:p>
    <w:p>
      <w:pPr>
        <w:spacing w:line="580" w:lineRule="exact"/>
        <w:ind w:firstLine="640"/>
        <w:jc w:val="both"/>
      </w:pPr>
      <w:r>
        <w:rPr>
          <w:rFonts w:ascii="仿宋_GB2312" w:hAnsi="仿宋_GB2312" w:eastAsia="仿宋_GB2312"/>
          <w:b w:val="0"/>
          <w:sz w:val="32"/>
        </w:rPr>
        <w:t>7.卫生健康支出（类）行政事业单位医疗（款）事业单位医疗（项）：支出决算数为53.96万元，比上年决算减少20.56万元，下降27.59%，主要原因是：本年幼儿老师在职人员减少，事业单位医疗支出较上年减少。</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0.00万元，比上年决算减少1.34万元，下降100.00%，主要原因是：本年幼儿老师在职人员减少，大病医疗保险支出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9.住房保障支出（类）住房改革支出（款）住房公积金（项）：支出决算数为602.72万元，比上年决算增加30.04万元，增长5.25%，主要原因是：本年在职人员工资基数调增，公积金缴费基数上涨，相应支出增加。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2025年度一般公共预算财政拨款基本支出8,313.32万元，其中：</w:t>
      </w:r>
      <w:r>
        <w:rPr>
          <w:rFonts w:ascii="仿宋_GB2312" w:hAnsi="仿宋_GB2312" w:eastAsia="仿宋_GB2312"/>
          <w:b/>
          <w:sz w:val="32"/>
        </w:rPr>
        <w:t>人员经费8,031.24万元，</w:t>
      </w:r>
      <w:r>
        <w:rPr>
          <w:rFonts w:ascii="仿宋_GB2312" w:hAnsi="仿宋_GB2312" w:eastAsia="仿宋_GB2312"/>
          <w:b w:val="0"/>
          <w:sz w:val="32"/>
        </w:rPr>
        <w:t>包括：基本工资、津贴补贴、奖金、绩效工资、机关事业单位基本养老保险缴费、职业年金缴费、职工基本医疗保险缴费、其他社会保障缴费、住房公积金、退休费、抚恤金、生活补助、助学金。</w:t>
      </w:r>
    </w:p>
    <w:p>
      <w:pPr>
        <w:spacing w:line="580" w:lineRule="exact"/>
        <w:ind w:firstLine="640"/>
        <w:jc w:val="both"/>
      </w:pPr>
      <w:r>
        <w:rPr>
          <w:rFonts w:ascii="仿宋_GB2312" w:hAnsi="仿宋_GB2312" w:eastAsia="仿宋_GB2312"/>
          <w:b/>
          <w:sz w:val="32"/>
        </w:rPr>
        <w:t>公用经费282.08万元，</w:t>
      </w:r>
      <w:r>
        <w:rPr>
          <w:rFonts w:ascii="仿宋_GB2312" w:hAnsi="仿宋_GB2312" w:eastAsia="仿宋_GB2312"/>
          <w:b w:val="0"/>
          <w:sz w:val="32"/>
        </w:rPr>
        <w:t>包括：办公费、印刷费、水费、电费、邮电费、取暖费、物业管理费、差旅费、维修（护）费、培训费、专用燃料费、劳务费、工会经费、其他商品和服务支出。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2025年度特克斯县齐勒乌泽克镇寄宿制初级中学（事业单位）公用经费支出282.08万元，比上年增加18.75万元，增长7.12%，主要原因是：本年增加办公费、电费等经费增加，导致公用经费增加。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2025年度政府采购支出总额2.60万元，其中：政府采购货物支出2.60万元、政府采购工程支出0.00万元、政府采购服务支出0.00万元。</w:t>
      </w:r>
    </w:p>
    <w:p>
      <w:pPr>
        <w:spacing w:line="580" w:lineRule="exact"/>
        <w:ind w:firstLine="640"/>
        <w:jc w:val="both"/>
      </w:pPr>
      <w:r>
        <w:rPr>
          <w:rFonts w:ascii="仿宋_GB2312" w:hAnsi="仿宋_GB2312" w:eastAsia="仿宋_GB2312"/>
          <w:b w:val="0"/>
          <w:sz w:val="32"/>
        </w:rPr>
        <w:t>授予中小企业合同金额0.80万元，占政府采购支出总额的30.77%，其中：授予小微企业合同金额0.80万元，占政府采购支出总额的30.77%。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19,388.14平方米，价值2,079.76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8,382.37万元，实际执行总额8,382.37万元；预算绩效评价项目0个，全年预算数0.00万元，全年执行数0.00万元。预算绩效管理取得的成效：2025年我单位无预算绩效项目。发现的问题及原因：2025年我单位无预算绩效项目。下一步改进措施：2025年我单位无预算绩效项目。具体附整体支出绩效自评表。</w:t>
      </w:r>
    </w:p>
    <w:p>
      <w:r>
        <w:br w:type="page"/>
      </w:r>
    </w:p>
    <w:tbl>
      <w:tblPr>
        <w:tblStyle w:val="8"/>
        <w:tblW w:w="5000" w:type="pct"/>
        <w:tblInd w:w="0" w:type="dxa"/>
        <w:tblLayout w:type="fixed"/>
        <w:tblCellMar>
          <w:top w:w="36" w:type="dxa"/>
          <w:left w:w="36" w:type="dxa"/>
          <w:bottom w:w="36" w:type="dxa"/>
          <w:right w:w="36" w:type="dxa"/>
        </w:tblCellMar>
      </w:tblPr>
      <w:tblGrid>
        <w:gridCol w:w="1250"/>
        <w:gridCol w:w="941"/>
        <w:gridCol w:w="1973"/>
        <w:gridCol w:w="1250"/>
        <w:gridCol w:w="1495"/>
        <w:gridCol w:w="597"/>
        <w:gridCol w:w="702"/>
        <w:gridCol w:w="709"/>
      </w:tblGrid>
      <w:tr>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特克斯县齐勒乌泽克镇寄宿制初级中学</w:t>
            </w:r>
          </w:p>
        </w:tc>
      </w:tr>
      <w:tr>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7,288.13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8,382.37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8,382.37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7,286.34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8,313.32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8,313.32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cantSplit/>
          <w:trHeight w:val="882"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69.05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69.05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实际完成情况</w:t>
            </w:r>
          </w:p>
        </w:tc>
      </w:tr>
      <w:tr>
        <w:tblPrEx>
          <w:tblCellMar>
            <w:top w:w="36" w:type="dxa"/>
            <w:left w:w="36" w:type="dxa"/>
            <w:bottom w:w="36" w:type="dxa"/>
            <w:right w:w="36" w:type="dxa"/>
          </w:tblCellMar>
        </w:tblPrEx>
        <w:trPr>
          <w:trHeight w:val="199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hint="eastAsia" w:ascii="宋体" w:hAnsi="宋体" w:eastAsia="宋体" w:cs="宋体"/>
                <w:b w:val="0"/>
                <w:i w:val="0"/>
                <w:sz w:val="18"/>
              </w:rPr>
              <w:t>习近平新时代中国特色社会主义思想</w:t>
            </w:r>
            <w:r>
              <w:rPr>
                <w:rFonts w:ascii="宋体" w:hAnsi="宋体" w:eastAsia="宋体" w:cs="宋体"/>
                <w:b w:val="0"/>
                <w:i w:val="0"/>
                <w:sz w:val="18"/>
              </w:rPr>
              <w:t>为指导，深入贯彻党的教育方针，落实立德树人根本任务，围绕学校教育教学中心工作，加强</w:t>
            </w:r>
            <w:bookmarkStart w:id="0" w:name="_GoBack"/>
            <w:bookmarkEnd w:id="0"/>
            <w:r>
              <w:rPr>
                <w:rFonts w:ascii="宋体" w:hAnsi="宋体" w:eastAsia="宋体" w:cs="宋体"/>
                <w:b w:val="0"/>
                <w:i w:val="0"/>
                <w:sz w:val="18"/>
              </w:rPr>
              <w:t>党员队伍建设，发挥党支部的战斗堡垒作用和党员的先锋模范作用，为学校发展提供坚强的政治保障和组织保障。 
一、加强党员教育管理，提高党员政治素养，确保全体党员坚定理想信念，增强“四个意识”、坚定“四个自信”、做到“两个维护”。  
二、强化党组织建设，提升党组织的活力与战斗力，充分发挥党组织的战斗堡垒作用。 
三、推动党建工作与教育教学深度融合，以党建引领学校各项工作顺利开展，促进学校教育教学质量显著提升。 
四、加强党风廉政建设，营造风清气正的校园政治生态。</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我校党支部紧密围绕教育教学中心工作，积极发挥党组织的战斗堡垒作用和党员的先锋模范作用，为学校发展提供了坚实的政治保障与组织支持，在全体教职员工的共同努力下，我校教育教学各方面取得较好成绩，希望我们全体教师凝心聚力再创佳绩。  
一、加强师生思想道德建设，提高整体素质。  
二、以民主管理为保障，进一步加强党组织建设。  
三、加强党对群团工作的领导，推进学校精神文明建设。  
四、以推动发展为目标，全面提升教育教学质量。  
五、以落实精神文明单位为契机，强化学校精神文明建设。  
六、加强安全管理，确保校园平安和谐发展。  
七、抓好党建促校风。</w:t>
            </w:r>
          </w:p>
        </w:tc>
      </w:tr>
      <w:tr>
        <w:tblPrEx>
          <w:tblCellMar>
            <w:top w:w="36" w:type="dxa"/>
            <w:left w:w="36" w:type="dxa"/>
            <w:bottom w:w="36" w:type="dxa"/>
            <w:right w:w="36" w:type="dxa"/>
          </w:tblCellMar>
        </w:tblPrEx>
        <w:trPr>
          <w:cantSplit/>
          <w:trHeight w:val="582"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得分</w:t>
            </w:r>
          </w:p>
        </w:tc>
      </w:tr>
      <w:tr>
        <w:tblPrEx>
          <w:tblCellMar>
            <w:top w:w="36" w:type="dxa"/>
            <w:left w:w="36" w:type="dxa"/>
            <w:bottom w:w="36" w:type="dxa"/>
            <w:right w:w="36" w:type="dxa"/>
          </w:tblCellMar>
        </w:tblPrEx>
        <w:trPr>
          <w:cantSplit/>
          <w:trHeight w:val="739"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消除义务教育大班额</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伊犁哈萨克自治州国民经济和社会发展第十四个五年规划和2035年远景目标纲要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义务教育巩固率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伊犁哈萨克自治州国民经济和社会发展第十四个五年规划和2035年远景目标纲要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实现信息化教学覆盖率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伊犁哈萨克自治州国民经济和社会发展第十四个五年规划和2035年远景目标纲要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创建平安校园活动举办次数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&gt;=6次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学校工作计划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义务教育均衡验收率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伊犁哈萨克自治州国民经济和社会发展第十四个五年规划和2035年远景目标纲要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r>
        <w:tblPrEx>
          <w:tblCellMar>
            <w:top w:w="36" w:type="dxa"/>
            <w:left w:w="36" w:type="dxa"/>
            <w:bottom w:w="36" w:type="dxa"/>
            <w:right w:w="36" w:type="dxa"/>
          </w:tblCellMar>
        </w:tblPrEx>
        <w:trPr>
          <w:cantSplit/>
          <w:trHeight w:val="739"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国家通用语言文字教育教学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伊犁哈萨克自治州国民经济和社会发展第十四个五年规划和2035年远景目标纲要</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w:t>
            </w:r>
          </w:p>
        </w:tc>
      </w:tr>
      <w:tr>
        <w:tblPrEx>
          <w:tblCellMar>
            <w:top w:w="36" w:type="dxa"/>
            <w:left w:w="36" w:type="dxa"/>
            <w:bottom w:w="36" w:type="dxa"/>
            <w:right w:w="36" w:type="dxa"/>
          </w:tblCellMar>
        </w:tblPrEx>
        <w:trPr>
          <w:cantSplit/>
          <w:trHeight w:val="739"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服务对象满意度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家长满意度</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600" w:lineRule="exact"/>
        <w:jc w:val="center"/>
        <w:outlineLvl w:val="0"/>
      </w:pPr>
      <w:r>
        <w:rPr>
          <w:rFonts w:ascii="黑体" w:hAnsi="黑体" w:eastAsia="黑体"/>
          <w:sz w:val="32"/>
        </w:rPr>
        <w:t>第三部分 专业名词解释</w:t>
      </w:r>
    </w:p>
    <w:p>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autoSpaceDE w:val="0"/>
        <w:autoSpaceDN w:val="0"/>
        <w:spacing w:line="600" w:lineRule="exact"/>
        <w:ind w:firstLine="640" w:firstLineChars="200"/>
      </w:pPr>
      <w:r>
        <w:rPr>
          <w:rFonts w:ascii="仿宋_GB2312" w:hAnsi="仿宋_GB2312" w:eastAsia="仿宋_GB2312"/>
          <w:b w:val="0"/>
          <w:sz w:val="32"/>
        </w:rPr>
        <w:t>一、《收入支出决算总表》</w:t>
      </w:r>
    </w:p>
    <w:p>
      <w:pPr>
        <w:autoSpaceDE w:val="0"/>
        <w:autoSpaceDN w:val="0"/>
        <w:spacing w:line="600" w:lineRule="exact"/>
        <w:ind w:firstLine="640" w:firstLineChars="200"/>
      </w:pPr>
      <w:r>
        <w:rPr>
          <w:rFonts w:ascii="仿宋_GB2312" w:hAnsi="仿宋_GB2312" w:eastAsia="仿宋_GB2312"/>
          <w:b w:val="0"/>
          <w:sz w:val="32"/>
        </w:rPr>
        <w:t>二、《收入决算表》</w:t>
      </w:r>
    </w:p>
    <w:p>
      <w:pPr>
        <w:autoSpaceDE w:val="0"/>
        <w:autoSpaceDN w:val="0"/>
        <w:spacing w:line="600" w:lineRule="exact"/>
        <w:ind w:firstLine="640" w:firstLineChars="200"/>
      </w:pPr>
      <w:r>
        <w:rPr>
          <w:rFonts w:ascii="仿宋_GB2312" w:hAnsi="仿宋_GB2312" w:eastAsia="仿宋_GB2312"/>
          <w:b w:val="0"/>
          <w:sz w:val="32"/>
        </w:rPr>
        <w:t>三、《支出决算表》</w:t>
      </w:r>
    </w:p>
    <w:p>
      <w:pPr>
        <w:autoSpaceDE w:val="0"/>
        <w:autoSpaceDN w:val="0"/>
        <w:spacing w:line="600" w:lineRule="exact"/>
        <w:ind w:firstLine="640" w:firstLineChars="200"/>
      </w:pPr>
      <w:r>
        <w:rPr>
          <w:rFonts w:ascii="仿宋_GB2312" w:hAnsi="仿宋_GB2312" w:eastAsia="仿宋_GB2312"/>
          <w:b w:val="0"/>
          <w:sz w:val="32"/>
        </w:rPr>
        <w:t>四、《财政拨款收入支出决算总表》</w:t>
      </w:r>
    </w:p>
    <w:p>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3D4A5B-8E50-4658-AF1C-6CE6A358E0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B42FC17-42A0-4280-9C22-272B18F3F5F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82016" w:usb3="00000000" w:csb0="00040001" w:csb1="00000000"/>
    <w:embedRegular r:id="rId3" w:fontKey="{2D639A6A-3591-4EED-842B-6D33047A4A5F}"/>
  </w:font>
  <w:font w:name="楷体_GB2312">
    <w:panose1 w:val="02010609030101010101"/>
    <w:charset w:val="86"/>
    <w:family w:val="auto"/>
    <w:pitch w:val="default"/>
    <w:sig w:usb0="00000001" w:usb1="080E0000" w:usb2="00000000" w:usb3="00000000" w:csb0="00040000" w:csb1="00000000"/>
    <w:embedRegular r:id="rId4" w:fontKey="{007CED53-6649-4B3D-9AD4-2BCA01C5962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5741D7D"/>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10</TotalTime>
  <ScaleCrop>false</ScaleCrop>
  <LinksUpToDate>false</LinksUpToDate>
  <CharactersWithSpaces>543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Lenovo</cp:lastModifiedBy>
  <cp:lastPrinted>2024-07-22T11:58:00Z</cp:lastPrinted>
  <dcterms:modified xsi:type="dcterms:W3CDTF">2026-10-22T07:48:59Z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