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13E12"/>
    <w:p w14:paraId="034AEA66">
      <w:pPr>
        <w:spacing w:line="540" w:lineRule="exact"/>
        <w:jc w:val="center"/>
        <w:rPr>
          <w:rFonts w:hint="default" w:ascii="Times New Roman" w:hAnsi="Times New Roman" w:eastAsia="华文中宋" w:cs="Times New Roman"/>
          <w:b/>
          <w:kern w:val="0"/>
          <w:sz w:val="52"/>
          <w:szCs w:val="52"/>
        </w:rPr>
      </w:pPr>
    </w:p>
    <w:p w14:paraId="4D05D6B6">
      <w:pPr>
        <w:spacing w:line="540" w:lineRule="exact"/>
        <w:rPr>
          <w:rFonts w:hint="default" w:ascii="Times New Roman" w:hAnsi="Times New Roman" w:eastAsia="华文中宋" w:cs="Times New Roman"/>
          <w:b/>
          <w:kern w:val="0"/>
          <w:sz w:val="52"/>
          <w:szCs w:val="52"/>
        </w:rPr>
      </w:pPr>
    </w:p>
    <w:p w14:paraId="6325E9D8">
      <w:pPr>
        <w:spacing w:line="540" w:lineRule="exact"/>
        <w:jc w:val="center"/>
        <w:rPr>
          <w:rFonts w:hint="default" w:ascii="Times New Roman" w:hAnsi="Times New Roman" w:eastAsia="华文中宋" w:cs="Times New Roman"/>
          <w:b/>
          <w:kern w:val="0"/>
          <w:sz w:val="52"/>
          <w:szCs w:val="52"/>
        </w:rPr>
      </w:pPr>
    </w:p>
    <w:p w14:paraId="651A7AE7">
      <w:pPr>
        <w:spacing w:line="540" w:lineRule="exact"/>
        <w:jc w:val="center"/>
        <w:rPr>
          <w:rFonts w:hint="eastAsia" w:ascii="方正小标宋简体" w:hAnsi="方正小标宋简体" w:eastAsia="方正小标宋简体" w:cs="方正小标宋简体"/>
          <w:b/>
          <w:bCs w:val="0"/>
          <w:kern w:val="0"/>
          <w:sz w:val="44"/>
          <w:szCs w:val="44"/>
        </w:rPr>
      </w:pPr>
      <w:r>
        <w:rPr>
          <w:rFonts w:hint="eastAsia" w:ascii="方正小标宋简体" w:hAnsi="方正小标宋简体" w:eastAsia="方正小标宋简体" w:cs="方正小标宋简体"/>
          <w:b/>
          <w:bCs w:val="0"/>
          <w:kern w:val="0"/>
          <w:sz w:val="44"/>
          <w:szCs w:val="44"/>
        </w:rPr>
        <w:t>国有粮食购销企业土地变性确权工作（消化暂付款）项目支出绩效评价报告</w:t>
      </w:r>
    </w:p>
    <w:p w14:paraId="4BEE35EB">
      <w:pPr>
        <w:spacing w:line="540" w:lineRule="exact"/>
        <w:jc w:val="center"/>
        <w:rPr>
          <w:rFonts w:hint="default" w:ascii="Times New Roman" w:hAnsi="Times New Roman" w:eastAsia="华文中宋" w:cs="Times New Roman"/>
          <w:b/>
          <w:kern w:val="0"/>
          <w:sz w:val="52"/>
          <w:szCs w:val="52"/>
        </w:rPr>
      </w:pPr>
    </w:p>
    <w:p w14:paraId="36A7E460">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07A758F9">
      <w:pPr>
        <w:spacing w:line="540" w:lineRule="exact"/>
        <w:jc w:val="center"/>
        <w:rPr>
          <w:rFonts w:hint="default" w:ascii="Times New Roman" w:hAnsi="Times New Roman" w:eastAsia="仿宋_GB2312" w:cs="Times New Roman"/>
          <w:kern w:val="0"/>
          <w:sz w:val="30"/>
          <w:szCs w:val="30"/>
        </w:rPr>
      </w:pPr>
    </w:p>
    <w:p w14:paraId="7C778E1A">
      <w:pPr>
        <w:spacing w:line="540" w:lineRule="exact"/>
        <w:jc w:val="center"/>
        <w:rPr>
          <w:rFonts w:hint="default" w:ascii="Times New Roman" w:hAnsi="Times New Roman" w:eastAsia="仿宋_GB2312" w:cs="Times New Roman"/>
          <w:kern w:val="0"/>
          <w:sz w:val="30"/>
          <w:szCs w:val="30"/>
        </w:rPr>
      </w:pPr>
    </w:p>
    <w:p w14:paraId="3DBF4033">
      <w:pPr>
        <w:spacing w:line="540" w:lineRule="exact"/>
        <w:jc w:val="center"/>
        <w:rPr>
          <w:rFonts w:hint="default" w:ascii="Times New Roman" w:hAnsi="Times New Roman" w:eastAsia="仿宋_GB2312" w:cs="Times New Roman"/>
          <w:kern w:val="0"/>
          <w:sz w:val="30"/>
          <w:szCs w:val="30"/>
        </w:rPr>
      </w:pPr>
    </w:p>
    <w:p w14:paraId="7F92B840">
      <w:pPr>
        <w:pStyle w:val="9"/>
        <w:rPr>
          <w:rFonts w:hint="default" w:ascii="Times New Roman" w:hAnsi="Times New Roman" w:cs="Times New Roman"/>
        </w:rPr>
      </w:pPr>
    </w:p>
    <w:p w14:paraId="4C4C295F">
      <w:pPr>
        <w:spacing w:line="540" w:lineRule="exact"/>
        <w:jc w:val="center"/>
        <w:rPr>
          <w:rFonts w:hint="default" w:ascii="Times New Roman" w:hAnsi="Times New Roman" w:eastAsia="仿宋_GB2312" w:cs="Times New Roman"/>
          <w:kern w:val="0"/>
          <w:sz w:val="30"/>
          <w:szCs w:val="30"/>
        </w:rPr>
      </w:pPr>
    </w:p>
    <w:p w14:paraId="30535733">
      <w:pPr>
        <w:spacing w:line="540" w:lineRule="exact"/>
        <w:rPr>
          <w:rFonts w:hint="default" w:ascii="Times New Roman" w:hAnsi="Times New Roman" w:eastAsia="仿宋_GB2312" w:cs="Times New Roman"/>
          <w:kern w:val="0"/>
          <w:sz w:val="30"/>
          <w:szCs w:val="30"/>
        </w:rPr>
      </w:pPr>
    </w:p>
    <w:p w14:paraId="4EF80673">
      <w:pPr>
        <w:spacing w:line="700" w:lineRule="exact"/>
        <w:ind w:left="2876" w:leftChars="684" w:hanging="1440" w:hangingChars="400"/>
        <w:jc w:val="left"/>
        <w:rPr>
          <w:rFonts w:hint="eastAsia"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项目名称：</w:t>
      </w:r>
      <w:r>
        <w:rPr>
          <w:rFonts w:hint="eastAsia" w:eastAsia="仿宋_GB2312" w:cs="Times New Roman"/>
          <w:kern w:val="0"/>
          <w:sz w:val="36"/>
          <w:szCs w:val="36"/>
          <w:lang w:eastAsia="zh-CN"/>
        </w:rPr>
        <w:t>国有粮食购销企业土地变性确权工作（消化暂付款）</w:t>
      </w:r>
    </w:p>
    <w:p w14:paraId="1D817A19">
      <w:pPr>
        <w:spacing w:line="700" w:lineRule="exact"/>
        <w:ind w:firstLine="1440" w:firstLineChars="400"/>
        <w:jc w:val="left"/>
        <w:rPr>
          <w:rFonts w:hint="eastAsia"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eastAsia="zh-CN"/>
        </w:rPr>
        <w:t>特克斯县财政局</w:t>
      </w:r>
    </w:p>
    <w:p w14:paraId="69CEED3E">
      <w:pPr>
        <w:spacing w:line="700" w:lineRule="exact"/>
        <w:ind w:firstLine="1440" w:firstLineChars="400"/>
        <w:jc w:val="left"/>
        <w:rPr>
          <w:rFonts w:hint="eastAsia" w:eastAsia="仿宋_GB2312" w:cs="Times New Roman"/>
          <w:kern w:val="0"/>
          <w:sz w:val="36"/>
          <w:szCs w:val="36"/>
          <w:lang w:eastAsia="zh-CN"/>
        </w:rPr>
      </w:pPr>
      <w:r>
        <w:rPr>
          <w:rFonts w:hint="default" w:ascii="Times New Roman" w:hAnsi="Times New Roman" w:eastAsia="仿宋_GB2312" w:cs="Times New Roman"/>
          <w:kern w:val="0"/>
          <w:sz w:val="36"/>
          <w:szCs w:val="36"/>
        </w:rPr>
        <w:t>主管部门（公章）：</w:t>
      </w:r>
      <w:r>
        <w:rPr>
          <w:rFonts w:hint="eastAsia" w:eastAsia="仿宋_GB2312" w:cs="Times New Roman"/>
          <w:kern w:val="0"/>
          <w:sz w:val="36"/>
          <w:szCs w:val="36"/>
          <w:lang w:eastAsia="zh-CN"/>
        </w:rPr>
        <w:t>特克斯县财政局</w:t>
      </w:r>
    </w:p>
    <w:p w14:paraId="7ED0C3C6">
      <w:pPr>
        <w:spacing w:line="700" w:lineRule="exact"/>
        <w:ind w:firstLine="1440" w:firstLineChars="400"/>
        <w:jc w:val="left"/>
        <w:rPr>
          <w:rFonts w:hint="eastAsia"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val="en-US" w:eastAsia="zh-CN"/>
        </w:rPr>
        <w:t>李宗义</w:t>
      </w:r>
    </w:p>
    <w:p w14:paraId="25975AED">
      <w:pPr>
        <w:spacing w:line="700" w:lineRule="exact"/>
        <w:ind w:firstLine="1440" w:firstLineChars="400"/>
        <w:jc w:val="left"/>
        <w:rPr>
          <w:rStyle w:val="15"/>
          <w:rFonts w:hint="default" w:ascii="Times New Roman" w:hAnsi="Times New Roman" w:eastAsia="黑体" w:cs="Times New Roman"/>
          <w:b w:val="0"/>
          <w:spacing w:val="-4"/>
          <w:sz w:val="32"/>
          <w:szCs w:val="32"/>
        </w:rPr>
      </w:pPr>
      <w:r>
        <w:rPr>
          <w:rFonts w:hint="default" w:ascii="Times New Roman" w:hAnsi="Times New Roman" w:eastAsia="仿宋_GB2312" w:cs="Times New Roman"/>
          <w:kern w:val="0"/>
          <w:sz w:val="36"/>
          <w:szCs w:val="36"/>
        </w:rPr>
        <w:t>填报时间：</w:t>
      </w:r>
      <w:r>
        <w:rPr>
          <w:rFonts w:hint="eastAsia"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5</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13</w:t>
      </w:r>
      <w:r>
        <w:rPr>
          <w:rFonts w:hint="default" w:ascii="Times New Roman" w:hAnsi="Times New Roman" w:eastAsia="仿宋_GB2312" w:cs="Times New Roman"/>
          <w:kern w:val="0"/>
          <w:sz w:val="36"/>
          <w:szCs w:val="36"/>
        </w:rPr>
        <w:t>日</w:t>
      </w:r>
    </w:p>
    <w:p w14:paraId="5DD2CDFD">
      <w:pPr>
        <w:spacing w:line="540" w:lineRule="exact"/>
        <w:ind w:firstLine="640"/>
        <w:rPr>
          <w:rStyle w:val="15"/>
          <w:rFonts w:hint="default" w:ascii="Times New Roman" w:hAnsi="Times New Roman" w:eastAsia="黑体" w:cs="Times New Roman"/>
          <w:b w:val="0"/>
          <w:spacing w:val="-4"/>
          <w:sz w:val="32"/>
          <w:szCs w:val="32"/>
        </w:rPr>
      </w:pPr>
    </w:p>
    <w:p w14:paraId="287FF29E">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1619A300">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086ECA7B">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45A462FB">
      <w:pPr>
        <w:spacing w:line="560" w:lineRule="exact"/>
        <w:ind w:firstLine="640" w:firstLineChars="200"/>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自治州国有粮食购销企业土地变性确权工作推进会会议纪要（伊州政阅</w:t>
      </w:r>
      <w:r>
        <w:rPr>
          <w:rFonts w:hint="eastAsia" w:ascii="仿宋_GB2312" w:hAnsi="仿宋_GB2312" w:eastAsia="仿宋_GB2312" w:cs="仿宋_GB2312"/>
          <w:sz w:val="32"/>
          <w:szCs w:val="32"/>
        </w:rPr>
        <w:t>〔</w:t>
      </w:r>
      <w:r>
        <w:rPr>
          <w:rFonts w:hint="eastAsia" w:ascii="Times New Roman" w:hAnsi="Times New Roman" w:eastAsia="仿宋_GB2312" w:cs="Times New Roman"/>
          <w:sz w:val="32"/>
          <w:szCs w:val="32"/>
        </w:rPr>
        <w:t>2023</w:t>
      </w:r>
      <w:r>
        <w:rPr>
          <w:rFonts w:hint="eastAsia" w:ascii="仿宋_GB2312" w:hAnsi="仿宋_GB2312" w:eastAsia="仿宋_GB2312" w:cs="仿宋_GB2312"/>
          <w:sz w:val="32"/>
          <w:szCs w:val="32"/>
        </w:rPr>
        <w:t>〕</w:t>
      </w:r>
      <w:r>
        <w:rPr>
          <w:rFonts w:hint="eastAsia" w:ascii="Times New Roman" w:hAnsi="Times New Roman" w:eastAsia="仿宋_GB2312" w:cs="Times New Roman"/>
          <w:sz w:val="32"/>
          <w:szCs w:val="32"/>
        </w:rPr>
        <w:t>3号），会议指出：2021年9月至2022年5月，自治区党委开展涉粮问题专项巡查，国有粮食购销企业土地确权作为自治区反馈全疆各地州的一项重要的共性整改问题项，要求各地要把土地确权作为一项重要任务抓实抓好，确保如期完成</w:t>
      </w:r>
      <w:r>
        <w:rPr>
          <w:rFonts w:hint="default" w:ascii="Times New Roman" w:hAnsi="Times New Roman" w:eastAsia="仿宋_GB2312" w:cs="Times New Roman"/>
          <w:sz w:val="32"/>
          <w:szCs w:val="32"/>
          <w:lang w:eastAsia="zh-CN"/>
        </w:rPr>
        <w:t>。</w:t>
      </w:r>
    </w:p>
    <w:p w14:paraId="5689A9AF">
      <w:pPr>
        <w:pStyle w:val="9"/>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66B57D49">
      <w:pPr>
        <w:spacing w:line="560" w:lineRule="exact"/>
        <w:ind w:firstLine="60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0"/>
          <w:szCs w:val="30"/>
          <w:highlight w:val="none"/>
          <w:lang w:val="en-US" w:eastAsia="zh-CN"/>
        </w:rPr>
        <w:t>项目主要内容：</w:t>
      </w:r>
      <w:r>
        <w:rPr>
          <w:rFonts w:hint="eastAsia" w:ascii="Times New Roman" w:hAnsi="Times New Roman" w:eastAsia="仿宋_GB2312" w:cs="Times New Roman"/>
          <w:sz w:val="32"/>
          <w:szCs w:val="32"/>
        </w:rPr>
        <w:t>按照《关于加快推进伊犁州国有粮食购销企业土地变性确权工作的报告》（伊州粮</w:t>
      </w:r>
      <w:r>
        <w:rPr>
          <w:rFonts w:hint="eastAsia" w:ascii="仿宋_GB2312" w:hAnsi="仿宋_GB2312" w:eastAsia="仿宋_GB2312" w:cs="仿宋_GB2312"/>
          <w:sz w:val="32"/>
          <w:szCs w:val="32"/>
        </w:rPr>
        <w:t>〔</w:t>
      </w:r>
      <w:r>
        <w:rPr>
          <w:rFonts w:hint="eastAsia" w:ascii="Times New Roman" w:hAnsi="Times New Roman" w:eastAsia="仿宋_GB2312" w:cs="Times New Roman"/>
          <w:sz w:val="32"/>
          <w:szCs w:val="32"/>
        </w:rPr>
        <w:t>2023</w:t>
      </w:r>
      <w:r>
        <w:rPr>
          <w:rFonts w:hint="eastAsia" w:ascii="仿宋_GB2312" w:hAnsi="仿宋_GB2312" w:eastAsia="仿宋_GB2312" w:cs="仿宋_GB2312"/>
          <w:sz w:val="32"/>
          <w:szCs w:val="32"/>
        </w:rPr>
        <w:t>〕</w:t>
      </w:r>
      <w:r>
        <w:rPr>
          <w:rFonts w:hint="eastAsia" w:ascii="Times New Roman" w:hAnsi="Times New Roman" w:eastAsia="仿宋_GB2312" w:cs="Times New Roman"/>
          <w:sz w:val="32"/>
          <w:szCs w:val="32"/>
        </w:rPr>
        <w:t>7号</w:t>
      </w:r>
      <w:r>
        <w:rPr>
          <w:rFonts w:hint="eastAsia" w:eastAsia="仿宋_GB2312" w:cs="Times New Roman"/>
          <w:sz w:val="32"/>
          <w:szCs w:val="32"/>
          <w:lang w:eastAsia="zh-CN"/>
        </w:rPr>
        <w:t>）</w:t>
      </w:r>
      <w:r>
        <w:rPr>
          <w:rFonts w:hint="eastAsia" w:ascii="Times New Roman" w:hAnsi="Times New Roman" w:eastAsia="仿宋_GB2312" w:cs="Times New Roman"/>
          <w:sz w:val="32"/>
          <w:szCs w:val="32"/>
        </w:rPr>
        <w:t>要求，按时完成州政府安排的土地变性工作，特克斯县涉及13宗土地变性确权。因特克斯县天禾粮油购销有限责任公司目前属于州国投公司的下属企业，我县不宜直接将1512.07万元资金注入该公司。二是为按期完成州政府安排的土地变性工作，县财政积极筹集资金，给县本级国有企业注入资金，由本级国有企业代持天禾粮油购销公司相应股权。建议指定特克斯县易城水务集团有限责任公司代持特克斯县天禾粮油购销有限责任公司股权</w:t>
      </w:r>
      <w:r>
        <w:rPr>
          <w:rFonts w:hint="default" w:ascii="Times New Roman" w:hAnsi="Times New Roman" w:eastAsia="仿宋_GB2312" w:cs="Times New Roman"/>
          <w:sz w:val="32"/>
          <w:szCs w:val="32"/>
          <w:lang w:eastAsia="zh-CN"/>
        </w:rPr>
        <w:t>。</w:t>
      </w:r>
    </w:p>
    <w:p w14:paraId="7CDAE48D">
      <w:pPr>
        <w:spacing w:line="560" w:lineRule="exact"/>
        <w:ind w:firstLine="640" w:firstLineChars="200"/>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项目实施情况：</w:t>
      </w:r>
      <w:r>
        <w:rPr>
          <w:rFonts w:hint="default" w:ascii="Times New Roman" w:hAnsi="Times New Roman" w:eastAsia="仿宋_GB2312" w:cs="Times New Roman"/>
          <w:sz w:val="32"/>
          <w:szCs w:val="32"/>
          <w:highlight w:val="none"/>
          <w:lang w:eastAsia="zh-CN"/>
        </w:rPr>
        <w:t>由县本级国有企业特克斯县易城水务有限责任公司申请</w:t>
      </w:r>
      <w:r>
        <w:rPr>
          <w:rFonts w:hint="eastAsia" w:ascii="Times New Roman" w:hAnsi="Times New Roman" w:eastAsia="仿宋_GB2312" w:cs="Times New Roman"/>
          <w:sz w:val="32"/>
          <w:szCs w:val="32"/>
          <w:highlight w:val="none"/>
          <w:lang w:eastAsia="zh-CN"/>
        </w:rPr>
        <w:t>货币</w:t>
      </w:r>
      <w:r>
        <w:rPr>
          <w:rFonts w:hint="default" w:ascii="Times New Roman" w:hAnsi="Times New Roman" w:eastAsia="仿宋_GB2312" w:cs="Times New Roman"/>
          <w:sz w:val="32"/>
          <w:szCs w:val="32"/>
          <w:highlight w:val="none"/>
          <w:lang w:eastAsia="zh-CN"/>
        </w:rPr>
        <w:t>注资</w:t>
      </w:r>
      <w:r>
        <w:rPr>
          <w:rFonts w:hint="default" w:ascii="Times New Roman" w:hAnsi="Times New Roman" w:eastAsia="仿宋_GB2312" w:cs="Times New Roman"/>
          <w:sz w:val="32"/>
          <w:szCs w:val="32"/>
          <w:highlight w:val="none"/>
          <w:lang w:val="en-US" w:eastAsia="zh-CN"/>
        </w:rPr>
        <w:t>1563万元</w:t>
      </w:r>
      <w:r>
        <w:rPr>
          <w:rFonts w:hint="default" w:ascii="Times New Roman" w:hAnsi="Times New Roman" w:eastAsia="仿宋_GB2312" w:cs="Times New Roman"/>
          <w:sz w:val="32"/>
          <w:szCs w:val="32"/>
          <w:highlight w:val="none"/>
          <w:lang w:eastAsia="zh-CN"/>
        </w:rPr>
        <w:t>，特克斯县易城水务有限责任公司</w:t>
      </w:r>
      <w:r>
        <w:rPr>
          <w:rFonts w:hint="eastAsia" w:ascii="Times New Roman" w:hAnsi="Times New Roman" w:eastAsia="仿宋_GB2312" w:cs="Times New Roman"/>
          <w:sz w:val="32"/>
          <w:szCs w:val="32"/>
          <w:highlight w:val="none"/>
          <w:lang w:eastAsia="zh-CN"/>
        </w:rPr>
        <w:t>再将</w:t>
      </w:r>
      <w:r>
        <w:rPr>
          <w:rFonts w:hint="eastAsia" w:ascii="Times New Roman" w:hAnsi="Times New Roman" w:eastAsia="仿宋_GB2312" w:cs="Times New Roman"/>
          <w:sz w:val="32"/>
          <w:szCs w:val="32"/>
          <w:highlight w:val="none"/>
          <w:lang w:val="en-US" w:eastAsia="zh-CN"/>
        </w:rPr>
        <w:t>1563万元以资本注入的形式</w:t>
      </w:r>
      <w:r>
        <w:rPr>
          <w:rFonts w:hint="eastAsia"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注入到</w:t>
      </w:r>
      <w:r>
        <w:rPr>
          <w:rFonts w:hint="default" w:ascii="Times New Roman" w:hAnsi="Times New Roman" w:eastAsia="仿宋_GB2312" w:cs="Times New Roman"/>
          <w:sz w:val="32"/>
          <w:szCs w:val="32"/>
          <w:highlight w:val="none"/>
        </w:rPr>
        <w:t>特克斯县天禾粮油购销有限责任公司</w:t>
      </w:r>
      <w:r>
        <w:rPr>
          <w:rFonts w:hint="eastAsia" w:ascii="Times New Roman" w:hAnsi="Times New Roman" w:eastAsia="仿宋_GB2312" w:cs="Times New Roman"/>
          <w:sz w:val="32"/>
          <w:szCs w:val="32"/>
          <w:highlight w:val="none"/>
          <w:lang w:eastAsia="zh-CN"/>
        </w:rPr>
        <w:t>，协助</w:t>
      </w:r>
      <w:r>
        <w:rPr>
          <w:rFonts w:hint="default" w:ascii="Times New Roman" w:hAnsi="Times New Roman" w:eastAsia="仿宋_GB2312" w:cs="Times New Roman"/>
          <w:sz w:val="32"/>
          <w:szCs w:val="32"/>
          <w:highlight w:val="none"/>
          <w:lang w:val="en-US" w:eastAsia="zh-CN"/>
        </w:rPr>
        <w:t>特克斯县天禾粮油购销有限责任公司</w:t>
      </w:r>
      <w:r>
        <w:rPr>
          <w:rFonts w:hint="default" w:ascii="Times New Roman" w:hAnsi="Times New Roman" w:eastAsia="仿宋_GB2312" w:cs="Times New Roman"/>
          <w:sz w:val="32"/>
          <w:szCs w:val="32"/>
          <w:highlight w:val="none"/>
        </w:rPr>
        <w:t>按期</w:t>
      </w:r>
      <w:r>
        <w:rPr>
          <w:rFonts w:hint="eastAsia" w:ascii="Times New Roman" w:hAnsi="Times New Roman" w:eastAsia="仿宋_GB2312" w:cs="Times New Roman"/>
          <w:sz w:val="32"/>
          <w:szCs w:val="32"/>
          <w:highlight w:val="none"/>
          <w:lang w:eastAsia="zh-CN"/>
        </w:rPr>
        <w:t>按要求</w:t>
      </w:r>
      <w:r>
        <w:rPr>
          <w:rFonts w:hint="default" w:ascii="Times New Roman" w:hAnsi="Times New Roman" w:eastAsia="仿宋_GB2312" w:cs="Times New Roman"/>
          <w:sz w:val="32"/>
          <w:szCs w:val="32"/>
          <w:highlight w:val="none"/>
        </w:rPr>
        <w:t>完成州政府安排的土地变性工作</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特克斯县天禾粮油购销有限责任公司已经完成13宗土地确权工作。</w:t>
      </w:r>
      <w:r>
        <w:rPr>
          <w:rFonts w:hint="eastAsia" w:ascii="Times New Roman" w:hAnsi="Times New Roman" w:eastAsia="仿宋_GB2312" w:cs="Times New Roman"/>
          <w:sz w:val="32"/>
          <w:szCs w:val="32"/>
          <w:highlight w:val="none"/>
          <w:lang w:eastAsia="zh-CN"/>
        </w:rPr>
        <w:t>该项目</w:t>
      </w:r>
      <w:r>
        <w:rPr>
          <w:rFonts w:hint="eastAsia" w:ascii="Times New Roman" w:hAnsi="Times New Roman" w:eastAsia="仿宋_GB2312" w:cs="Times New Roman"/>
          <w:sz w:val="32"/>
          <w:szCs w:val="32"/>
          <w:highlight w:val="none"/>
        </w:rPr>
        <w:t>增强公司的经济实力和信用保障，加强对外承担经济责任和义务的能力，优化国有企业资本结构，增强国有企业融资能力，助力国有企业不断发展壮大</w:t>
      </w:r>
      <w:r>
        <w:rPr>
          <w:rFonts w:hint="default" w:ascii="Times New Roman" w:hAnsi="Times New Roman" w:eastAsia="仿宋_GB2312" w:cs="Times New Roman"/>
          <w:sz w:val="32"/>
          <w:szCs w:val="32"/>
          <w:highlight w:val="none"/>
          <w:lang w:eastAsia="zh-CN"/>
        </w:rPr>
        <w:t>。</w:t>
      </w:r>
    </w:p>
    <w:p w14:paraId="48A2C01B">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资金投入和使用情况</w:t>
      </w:r>
    </w:p>
    <w:p w14:paraId="59ED38E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3B667B7C">
      <w:pPr>
        <w:shd w:val="clear" w:color="auto" w:fill="auto"/>
        <w:spacing w:line="600" w:lineRule="exact"/>
        <w:ind w:firstLine="640" w:firstLineChars="200"/>
        <w:outlineLvl w:val="0"/>
        <w:rPr>
          <w:rFonts w:hint="eastAsia"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1563</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1563</w:t>
      </w:r>
      <w:r>
        <w:rPr>
          <w:rFonts w:hint="default" w:ascii="Times New Roman" w:hAnsi="Times New Roman" w:eastAsia="仿宋_GB2312" w:cs="Times New Roman"/>
          <w:sz w:val="32"/>
          <w:szCs w:val="32"/>
          <w:highlight w:val="none"/>
          <w:lang w:val="en-US" w:eastAsia="zh-CN"/>
        </w:rPr>
        <w:t>万元，该项目资金已全部落实到位，资金来</w:t>
      </w:r>
      <w:r>
        <w:rPr>
          <w:rFonts w:hint="default" w:ascii="Times New Roman" w:hAnsi="Times New Roman" w:eastAsia="仿宋_GB2312" w:cs="Times New Roman"/>
          <w:color w:val="auto"/>
          <w:sz w:val="32"/>
          <w:szCs w:val="32"/>
          <w:highlight w:val="none"/>
          <w:lang w:val="en-US" w:eastAsia="zh-CN"/>
        </w:rPr>
        <w:t>源为</w:t>
      </w:r>
      <w:r>
        <w:rPr>
          <w:rFonts w:hint="eastAsia" w:eastAsia="仿宋_GB2312" w:cs="Times New Roman"/>
          <w:color w:val="auto"/>
          <w:sz w:val="32"/>
          <w:szCs w:val="32"/>
          <w:highlight w:val="none"/>
          <w:lang w:val="en-US" w:eastAsia="zh-CN"/>
        </w:rPr>
        <w:t>财政拨款。</w:t>
      </w:r>
    </w:p>
    <w:p w14:paraId="3CFE503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3675C98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1563</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1563</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ascii="Times New Roman" w:hAnsi="Times New Roman" w:eastAsia="仿宋_GB2312" w:cs="Times New Roman"/>
          <w:sz w:val="32"/>
          <w:szCs w:val="32"/>
          <w:highlight w:val="none"/>
          <w:lang w:val="en-US" w:eastAsia="zh-CN"/>
        </w:rPr>
        <w:t>1563</w:t>
      </w:r>
      <w:r>
        <w:rPr>
          <w:rFonts w:hint="default" w:ascii="Times New Roman" w:hAnsi="Times New Roman" w:eastAsia="仿宋_GB2312" w:cs="Times New Roman"/>
          <w:sz w:val="32"/>
          <w:szCs w:val="32"/>
          <w:highlight w:val="none"/>
          <w:lang w:val="en-US" w:eastAsia="zh-CN"/>
        </w:rPr>
        <w:t>万元，预算执行率为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按照《关于加快推进伊犁州国有粮食购销企业土地变性确权工作的报告》（伊州粮</w:t>
      </w:r>
      <w:r>
        <w:rPr>
          <w:rFonts w:hint="eastAsia" w:ascii="仿宋_GB2312" w:hAnsi="仿宋_GB2312" w:eastAsia="仿宋_GB2312" w:cs="仿宋_GB2312"/>
          <w:sz w:val="32"/>
          <w:szCs w:val="32"/>
        </w:rPr>
        <w:t>〔</w:t>
      </w:r>
      <w:r>
        <w:rPr>
          <w:rFonts w:hint="eastAsia" w:ascii="Times New Roman" w:hAnsi="Times New Roman" w:eastAsia="仿宋_GB2312" w:cs="Times New Roman"/>
          <w:sz w:val="32"/>
          <w:szCs w:val="32"/>
        </w:rPr>
        <w:t>2023</w:t>
      </w:r>
      <w:r>
        <w:rPr>
          <w:rFonts w:hint="eastAsia" w:ascii="仿宋_GB2312" w:hAnsi="仿宋_GB2312" w:eastAsia="仿宋_GB2312" w:cs="仿宋_GB2312"/>
          <w:sz w:val="32"/>
          <w:szCs w:val="32"/>
        </w:rPr>
        <w:t>〕</w:t>
      </w:r>
      <w:r>
        <w:rPr>
          <w:rFonts w:hint="eastAsia" w:ascii="Times New Roman" w:hAnsi="Times New Roman" w:eastAsia="仿宋_GB2312" w:cs="Times New Roman"/>
          <w:sz w:val="32"/>
          <w:szCs w:val="32"/>
          <w:highlight w:val="none"/>
          <w:lang w:val="en-US" w:eastAsia="zh-CN"/>
        </w:rPr>
        <w:t>7号）要求，按时完成州政府安排的土地变性工作，特克斯县涉及13宗土地变性确权。确权后天禾粮油公司无形资产增加，进一步提升国有企业经济效益。</w:t>
      </w:r>
    </w:p>
    <w:p w14:paraId="61C1B1FD">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2ACB3113">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6CCF9FF4">
      <w:pPr>
        <w:spacing w:line="560" w:lineRule="exact"/>
        <w:ind w:firstLine="640" w:firstLineChars="20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lang w:val="en-US" w:eastAsia="zh-CN"/>
        </w:rPr>
        <w:t>按照《关于加快推进伊犁州国有粮食购销企业土地变性确权工作的报告》（伊州粮</w:t>
      </w:r>
      <w:r>
        <w:rPr>
          <w:rFonts w:hint="eastAsia" w:ascii="仿宋_GB2312" w:hAnsi="仿宋_GB2312" w:eastAsia="仿宋_GB2312" w:cs="仿宋_GB2312"/>
          <w:sz w:val="32"/>
          <w:szCs w:val="32"/>
        </w:rPr>
        <w:t>〔</w:t>
      </w:r>
      <w:r>
        <w:rPr>
          <w:rFonts w:hint="eastAsia" w:ascii="Times New Roman" w:hAnsi="Times New Roman" w:eastAsia="仿宋_GB2312" w:cs="Times New Roman"/>
          <w:sz w:val="32"/>
          <w:szCs w:val="32"/>
        </w:rPr>
        <w:t>2023</w:t>
      </w:r>
      <w:r>
        <w:rPr>
          <w:rFonts w:hint="eastAsia" w:ascii="仿宋_GB2312" w:hAnsi="仿宋_GB2312" w:eastAsia="仿宋_GB2312" w:cs="仿宋_GB2312"/>
          <w:sz w:val="32"/>
          <w:szCs w:val="32"/>
        </w:rPr>
        <w:t>〕</w:t>
      </w:r>
      <w:r>
        <w:rPr>
          <w:rFonts w:hint="default" w:ascii="Times New Roman" w:hAnsi="Times New Roman" w:eastAsia="仿宋_GB2312" w:cs="Times New Roman"/>
          <w:sz w:val="32"/>
          <w:szCs w:val="32"/>
          <w:lang w:val="en-US" w:eastAsia="zh-CN"/>
        </w:rPr>
        <w:t>7号相关要求，按时按要求完成13宗土地的确权工作，壮大国有企业资产规模，提升国有</w:t>
      </w:r>
      <w:r>
        <w:rPr>
          <w:rFonts w:hint="default" w:ascii="Times New Roman" w:hAnsi="Times New Roman" w:eastAsia="仿宋_GB2312" w:cs="Times New Roman"/>
          <w:sz w:val="32"/>
          <w:szCs w:val="32"/>
          <w:highlight w:val="none"/>
          <w:lang w:val="en-US" w:eastAsia="zh-CN"/>
        </w:rPr>
        <w:t>企业经济效益。</w:t>
      </w:r>
    </w:p>
    <w:p w14:paraId="031BECDA">
      <w:pPr>
        <w:numPr>
          <w:ilvl w:val="0"/>
          <w:numId w:val="0"/>
        </w:numPr>
        <w:spacing w:line="560" w:lineRule="exact"/>
        <w:ind w:firstLine="640" w:firstLineChars="20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阶段性目标</w:t>
      </w:r>
    </w:p>
    <w:p w14:paraId="5EDB9BE4">
      <w:pPr>
        <w:numPr>
          <w:ilvl w:val="0"/>
          <w:numId w:val="0"/>
        </w:numPr>
        <w:spacing w:line="560" w:lineRule="exact"/>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（1）明确资金保障，确定土地变性确权工作所需的经费，确保有足够资金支持项目开展；</w:t>
      </w:r>
    </w:p>
    <w:p w14:paraId="03215C60">
      <w:pPr>
        <w:numPr>
          <w:ilvl w:val="0"/>
          <w:numId w:val="0"/>
        </w:numPr>
        <w:spacing w:line="560" w:lineRule="exact"/>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（2）规范资金管理，对土地变性过程中涉及的资金进行严格监管，确保资金安全和规范使用。</w:t>
      </w:r>
    </w:p>
    <w:p w14:paraId="4C08A8D5">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64FE40B6">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5CF4EEC8">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38B65875">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5C02C2BB">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经济效益等维度，力求全方位反映项目的绩效状况。同时，对于每个指标的评价标准和数据来源均进行了明确说明，确保评价结果的客观性和可追溯性。</w:t>
      </w:r>
    </w:p>
    <w:p w14:paraId="24CB858F">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382D415F">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63CFA641">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2C8CBE46">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14:paraId="23B43A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1963BE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w:t>
      </w:r>
      <w:r>
        <w:rPr>
          <w:rFonts w:hint="eastAsia" w:eastAsia="仿宋_GB2312" w:cs="Times New Roman"/>
          <w:sz w:val="32"/>
          <w:szCs w:val="32"/>
          <w:highlight w:val="none"/>
          <w:lang w:eastAsia="zh-CN"/>
        </w:rPr>
        <w:t>从</w:t>
      </w:r>
      <w:r>
        <w:rPr>
          <w:rFonts w:hint="default" w:ascii="Times New Roman" w:hAnsi="Times New Roman" w:eastAsia="仿宋_GB2312" w:cs="Times New Roman"/>
          <w:sz w:val="32"/>
          <w:szCs w:val="32"/>
          <w:highlight w:val="none"/>
        </w:rPr>
        <w:t>经济效益指标，为项目后续的改进与优化提供科学依据。</w:t>
      </w:r>
    </w:p>
    <w:p w14:paraId="1C5290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208B06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5F379D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33AAEB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5A2345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6E09AD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0774DD4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3D872F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45C54F4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71000B56">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14:paraId="5AFB682B">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w:t>
      </w:r>
      <w:r>
        <w:rPr>
          <w:rFonts w:hint="eastAsia" w:ascii="Times New Roman" w:hAnsi="Times New Roman" w:eastAsia="仿宋_GB2312" w:cs="Times New Roman"/>
          <w:b w:val="0"/>
          <w:bCs w:val="0"/>
          <w:highlight w:val="none"/>
        </w:rPr>
        <w:t>国有粮食购销企业土地变性确权工作（消化暂付款）</w:t>
      </w:r>
      <w:r>
        <w:rPr>
          <w:rFonts w:hint="default" w:ascii="Times New Roman" w:hAnsi="Times New Roman" w:eastAsia="仿宋_GB2312" w:cs="Times New Roman"/>
          <w:b w:val="0"/>
          <w:bCs w:val="0"/>
          <w:highlight w:val="none"/>
        </w:rPr>
        <w:t>及其预算执行情况。该项目由</w:t>
      </w:r>
      <w:r>
        <w:rPr>
          <w:rFonts w:hint="eastAsia" w:ascii="Times New Roman" w:hAnsi="Times New Roman" w:eastAsia="仿宋_GB2312" w:cs="Times New Roman"/>
          <w:b w:val="0"/>
          <w:bCs w:val="0"/>
          <w:highlight w:val="none"/>
          <w:lang w:eastAsia="zh-CN"/>
        </w:rPr>
        <w:t>特克斯县财政局</w:t>
      </w:r>
      <w:r>
        <w:rPr>
          <w:rFonts w:hint="default" w:ascii="Times New Roman" w:hAnsi="Times New Roman" w:eastAsia="仿宋_GB2312" w:cs="Times New Roman"/>
          <w:b w:val="0"/>
          <w:bCs w:val="0"/>
          <w:highlight w:val="none"/>
        </w:rPr>
        <w:t>负责实施，旨在</w:t>
      </w:r>
      <w:r>
        <w:rPr>
          <w:rFonts w:hint="eastAsia" w:ascii="Times New Roman" w:hAnsi="Times New Roman" w:eastAsia="仿宋_GB2312" w:cs="Times New Roman"/>
          <w:b w:val="0"/>
          <w:bCs w:val="0"/>
          <w:highlight w:val="none"/>
          <w:lang w:eastAsia="zh-CN"/>
        </w:rPr>
        <w:t>通过实施该项目，</w:t>
      </w:r>
      <w:r>
        <w:rPr>
          <w:rFonts w:hint="eastAsia" w:ascii="Times New Roman" w:hAnsi="Times New Roman" w:eastAsia="仿宋_GB2312" w:cs="Times New Roman"/>
          <w:b w:val="0"/>
          <w:bCs w:val="0"/>
          <w:highlight w:val="none"/>
        </w:rPr>
        <w:t>按时按要求完成13宗土地的确权工作，壮大国有企业资产规模，提升国有企业经济效益</w:t>
      </w:r>
      <w:r>
        <w:rPr>
          <w:rFonts w:hint="default" w:ascii="Times New Roman" w:hAnsi="Times New Roman" w:eastAsia="仿宋_GB2312" w:cs="Times New Roman"/>
          <w:b w:val="0"/>
          <w:bCs w:val="0"/>
          <w:highlight w:val="none"/>
        </w:rPr>
        <w:t>。项目预算涵盖从</w:t>
      </w:r>
      <w:r>
        <w:rPr>
          <w:rFonts w:hint="eastAsia" w:ascii="Times New Roman" w:hAnsi="Times New Roman" w:eastAsia="仿宋_GB2312" w:cs="Times New Roman"/>
          <w:b w:val="0"/>
          <w:bCs w:val="0"/>
          <w:highlight w:val="none"/>
          <w:lang w:val="en-US" w:eastAsia="zh-CN"/>
        </w:rPr>
        <w:t>2024年1月1日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2024年12月31日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1563</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14:paraId="12AB2B71">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14:paraId="68C0EF93">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68568F20">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3973D0C1">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6895683C">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68117EB8">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w:t>
      </w:r>
      <w:r>
        <w:rPr>
          <w:rFonts w:hint="eastAsia" w:ascii="Times New Roman" w:hAnsi="Times New Roman" w:eastAsia="仿宋_GB2312" w:cs="Times New Roman"/>
          <w:b w:val="0"/>
          <w:bCs w:val="0"/>
          <w:highlight w:val="none"/>
          <w:lang w:eastAsia="zh-CN"/>
        </w:rPr>
        <w:t>通过实施该项目切实</w:t>
      </w:r>
      <w:r>
        <w:rPr>
          <w:rFonts w:hint="eastAsia" w:ascii="Times New Roman" w:hAnsi="Times New Roman" w:eastAsia="仿宋_GB2312" w:cs="Times New Roman"/>
          <w:b w:val="0"/>
          <w:bCs w:val="0"/>
          <w:highlight w:val="none"/>
        </w:rPr>
        <w:t>增强</w:t>
      </w:r>
      <w:r>
        <w:rPr>
          <w:rFonts w:hint="eastAsia" w:ascii="Times New Roman" w:hAnsi="Times New Roman" w:eastAsia="仿宋_GB2312" w:cs="Times New Roman"/>
          <w:b w:val="0"/>
          <w:bCs w:val="0"/>
          <w:highlight w:val="none"/>
          <w:lang w:eastAsia="zh-CN"/>
        </w:rPr>
        <w:t>了</w:t>
      </w:r>
      <w:r>
        <w:rPr>
          <w:rFonts w:hint="eastAsia" w:ascii="Times New Roman" w:hAnsi="Times New Roman" w:eastAsia="仿宋_GB2312" w:cs="Times New Roman"/>
          <w:b w:val="0"/>
          <w:bCs w:val="0"/>
          <w:highlight w:val="none"/>
        </w:rPr>
        <w:t>公司的经济实力和信用保障，加强</w:t>
      </w:r>
      <w:r>
        <w:rPr>
          <w:rFonts w:hint="eastAsia" w:ascii="Times New Roman" w:hAnsi="Times New Roman" w:eastAsia="仿宋_GB2312" w:cs="Times New Roman"/>
          <w:b w:val="0"/>
          <w:bCs w:val="0"/>
          <w:highlight w:val="none"/>
          <w:lang w:eastAsia="zh-CN"/>
        </w:rPr>
        <w:t>了</w:t>
      </w:r>
      <w:r>
        <w:rPr>
          <w:rFonts w:hint="eastAsia" w:ascii="Times New Roman" w:hAnsi="Times New Roman" w:eastAsia="仿宋_GB2312" w:cs="Times New Roman"/>
          <w:b w:val="0"/>
          <w:bCs w:val="0"/>
          <w:highlight w:val="none"/>
        </w:rPr>
        <w:t>对外承担经济责任和义务的能力，优化国有企业资本结构，增强国有企业融资能力，助力国有企业不断发展壮大。</w:t>
      </w:r>
    </w:p>
    <w:p w14:paraId="549B5837">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11E83452">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78548CD7">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340DC6B3">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4F41C076">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7C076284">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4B425F08">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086391D1">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6B77717F">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3BF71C2E">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2B297B20">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采用层次分析法，建立评价指标体系。绩效评价将指标分为项目决策指标、项目过程指标、项目产出指标、项目效益指标四个维度，最终形成一个由多个相互联系的指标组成的多层次指标体系。</w:t>
      </w:r>
    </w:p>
    <w:p w14:paraId="42D558A8">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（2）确定权重</w:t>
      </w:r>
    </w:p>
    <w:p w14:paraId="59104DD7">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确定各个指标相对于项目总体绩效的权重分值。在绩效评价指标体系中，项目决策权重为20分，项目过程权重为20分，项目产出权重为40分，项目效益权重为20分。</w:t>
      </w:r>
    </w:p>
    <w:p w14:paraId="1C136D90">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（3）确定指标标准值</w:t>
      </w:r>
    </w:p>
    <w:p w14:paraId="017AEB18">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指标标准值是绩效评价指标的尺度，既要反映同类项目的先进水平，又要符合项目的实际绩效水平。具体采用计划标准等确定此次绩效评价指标标准值。</w:t>
      </w:r>
    </w:p>
    <w:p w14:paraId="3AB35BA4">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绩效评价总分值100分，根据综合评分结果，90（含）-100分为优、80（含）-90分为良、60（含）-80分为中、60分以下为差。</w:t>
      </w:r>
    </w:p>
    <w:p w14:paraId="463FFD8E">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具体评价指标体系详情见附件1</w:t>
      </w:r>
    </w:p>
    <w:p w14:paraId="1B1F15A1">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绩效评价方法</w:t>
      </w:r>
    </w:p>
    <w:p w14:paraId="54A46ADB">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绩效评价从项目决策、项目过程、项目产出、项目效益四个维度进行评价。评价对象为项目目标实施情况，  评价核心为资金的支出完成情况和项目的产出效益。</w:t>
      </w:r>
    </w:p>
    <w:p w14:paraId="44C6C3DC">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本次评价指标中，既有定性指标又有定量指标，各类指标因考核内容不同和客观标准不同存在较大差异，因此核定具体指标时采用了不同方法，具体评价方法如下：</w:t>
      </w:r>
    </w:p>
    <w:p w14:paraId="10D4C812">
      <w:pPr>
        <w:pStyle w:val="9"/>
        <w:widowControl w:val="0"/>
        <w:spacing w:before="0" w:after="0" w:line="560" w:lineRule="exact"/>
        <w:ind w:firstLine="640" w:firstLineChars="200"/>
        <w:jc w:val="both"/>
        <w:outlineLvl w:val="9"/>
        <w:rPr>
          <w:rFonts w:hint="eastAsia"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rPr>
        <w:t>因素分析法。是指综合分析影响绩效目标实现、实施效果的内外部因素的方法。</w:t>
      </w:r>
      <w:r>
        <w:rPr>
          <w:rFonts w:hint="eastAsia" w:ascii="Times New Roman" w:hAnsi="Times New Roman" w:eastAsia="仿宋_GB2312" w:cs="Times New Roman"/>
          <w:b w:val="0"/>
          <w:bCs w:val="0"/>
          <w:highlight w:val="none"/>
          <w:lang w:val="en-US" w:eastAsia="zh-CN"/>
        </w:rPr>
        <w:t>采用因素分析法的原因是一是全面性考虑，国有粮食购销企业土地变性工作涉及多个方面，如土地性质、面积、企业经营状况、政策法规等，因素分析法能够全面考虑这些因素及其相互关系，避免只关注单一因素而忽略其他重要影响因素，从而更全面准确核定绩效指标；二是针对性分析，因素分析法可以针对企业的具体情况，分析其独特的影响因素，使核定的指标更加符合企业实际，增强指标的针对性和适用性。三是量化分析需求，因素分析法有助于将定性因素转化为定量指标，通过对各因素的量化分析，确定其对绩效的影响程度，使绩效指标更加具体、可衡量，便于对项目进行准确的评估和考核。</w:t>
      </w:r>
    </w:p>
    <w:p w14:paraId="28867E9E">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评价标准</w:t>
      </w:r>
    </w:p>
    <w:p w14:paraId="1963575D">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val="en-US" w:eastAsia="zh-CN"/>
        </w:rPr>
        <w:t>计划</w:t>
      </w:r>
      <w:r>
        <w:rPr>
          <w:rFonts w:hint="default" w:ascii="Times New Roman" w:hAnsi="Times New Roman" w:eastAsia="仿宋_GB2312" w:cs="Times New Roman"/>
          <w:b w:val="0"/>
          <w:bCs w:val="0"/>
          <w:highlight w:val="none"/>
        </w:rPr>
        <w:t>标准。</w:t>
      </w:r>
    </w:p>
    <w:p w14:paraId="3AFD375B">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lang w:val="en-US" w:eastAsia="zh-CN"/>
        </w:rPr>
        <w:t>1</w:t>
      </w: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计划标准。指以预先制定的目标、计划、预算、定额等作为评价标准。</w:t>
      </w:r>
    </w:p>
    <w:p w14:paraId="6D210770">
      <w:pPr>
        <w:pStyle w:val="9"/>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highlight w:val="none"/>
        </w:rPr>
      </w:pPr>
      <w:r>
        <w:rPr>
          <w:rFonts w:hint="default" w:ascii="Times New Roman" w:hAnsi="Times New Roman" w:eastAsia="楷体" w:cs="Times New Roman"/>
          <w:color w:val="000000"/>
          <w:spacing w:val="17"/>
          <w:highlight w:val="none"/>
        </w:rPr>
        <w:t>绩效评价工作过程</w:t>
      </w:r>
    </w:p>
    <w:p w14:paraId="527730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45F1BDD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29DAB4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028263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303853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09A749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35BC58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7BBACC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75347B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5AAEF86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1A3926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23A5C4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green"/>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0956D776">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5DBAB747">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3EC0815C">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default" w:ascii="Times New Roman" w:hAnsi="Times New Roman" w:eastAsia="仿宋_GB2312" w:cs="Times New Roman"/>
          <w:color w:val="auto"/>
          <w:sz w:val="32"/>
          <w:szCs w:val="32"/>
          <w:highlight w:val="none"/>
        </w:rPr>
        <w:t>国有粮食购销企业土地变性确权工作（消化暂付款）</w:t>
      </w:r>
      <w:r>
        <w:rPr>
          <w:rFonts w:hint="default" w:ascii="Times New Roman" w:hAnsi="Times New Roman" w:eastAsia="仿宋_GB2312" w:cs="Times New Roman"/>
          <w:sz w:val="32"/>
          <w:szCs w:val="32"/>
          <w:highlight w:val="none"/>
        </w:rPr>
        <w:t>在</w:t>
      </w:r>
      <w:r>
        <w:rPr>
          <w:rFonts w:hint="eastAsia" w:ascii="Times New Roman" w:hAnsi="Times New Roman" w:eastAsia="仿宋_GB2312" w:cs="Times New Roman"/>
          <w:sz w:val="32"/>
          <w:szCs w:val="32"/>
          <w:highlight w:val="none"/>
        </w:rPr>
        <w:t>增加了企业资产，提升企业的资产规模和价值</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rPr>
        <w:t>促进企业改革，完善法人治理结构，提升企业的市场竞争力和可持续发展能力</w:t>
      </w:r>
      <w:r>
        <w:rPr>
          <w:rFonts w:hint="default" w:ascii="Times New Roman" w:hAnsi="Times New Roman" w:eastAsia="仿宋_GB2312" w:cs="Times New Roman"/>
          <w:sz w:val="32"/>
          <w:szCs w:val="32"/>
          <w:highlight w:val="none"/>
        </w:rPr>
        <w:t>等方面表现出色，达到了预期的标准与要求。同时，项目也在</w:t>
      </w:r>
      <w:r>
        <w:rPr>
          <w:rFonts w:hint="eastAsia" w:ascii="Times New Roman" w:hAnsi="Times New Roman" w:eastAsia="仿宋_GB2312" w:cs="Times New Roman"/>
          <w:sz w:val="32"/>
          <w:szCs w:val="32"/>
          <w:highlight w:val="none"/>
          <w:lang w:eastAsia="zh-CN"/>
        </w:rPr>
        <w:t>国有</w:t>
      </w:r>
      <w:r>
        <w:rPr>
          <w:rFonts w:hint="eastAsia" w:eastAsia="仿宋_GB2312" w:cs="Times New Roman"/>
          <w:color w:val="auto"/>
          <w:sz w:val="32"/>
          <w:szCs w:val="32"/>
          <w:highlight w:val="none"/>
          <w:lang w:eastAsia="zh-CN"/>
        </w:rPr>
        <w:t>企业改革和发展方面</w:t>
      </w:r>
      <w:r>
        <w:rPr>
          <w:rFonts w:hint="default" w:ascii="Times New Roman" w:hAnsi="Times New Roman" w:eastAsia="仿宋_GB2312" w:cs="Times New Roman"/>
          <w:sz w:val="32"/>
          <w:szCs w:val="32"/>
          <w:highlight w:val="none"/>
        </w:rPr>
        <w:t>取得了显著的成效，如</w:t>
      </w:r>
      <w:r>
        <w:rPr>
          <w:rFonts w:hint="eastAsia" w:eastAsia="仿宋_GB2312" w:cs="Times New Roman"/>
          <w:sz w:val="32"/>
          <w:szCs w:val="32"/>
          <w:highlight w:val="none"/>
          <w:lang w:eastAsia="zh-CN"/>
        </w:rPr>
        <w:t>壮大了资产规模</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增加国有企业经济效益</w:t>
      </w:r>
      <w:r>
        <w:rPr>
          <w:rFonts w:hint="default" w:ascii="Times New Roman" w:hAnsi="Times New Roman" w:eastAsia="仿宋_GB2312" w:cs="Times New Roman"/>
          <w:sz w:val="32"/>
          <w:szCs w:val="32"/>
          <w:highlight w:val="none"/>
        </w:rPr>
        <w:t>等。</w:t>
      </w:r>
    </w:p>
    <w:p w14:paraId="50055E33">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eastAsia="zh-CN"/>
        </w:rPr>
        <w:t>特克斯县财政局</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208A0E59">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w:t>
      </w:r>
      <w:r>
        <w:rPr>
          <w:rFonts w:hint="eastAsia" w:eastAsia="仿宋_GB2312" w:cs="Times New Roman"/>
          <w:sz w:val="32"/>
          <w:szCs w:val="32"/>
          <w:highlight w:val="none"/>
          <w:lang w:eastAsia="zh-CN"/>
        </w:rPr>
        <w:t>在</w:t>
      </w:r>
      <w:r>
        <w:rPr>
          <w:rFonts w:hint="eastAsia" w:eastAsia="仿宋_GB2312" w:cs="Times New Roman"/>
          <w:sz w:val="32"/>
          <w:szCs w:val="32"/>
          <w:highlight w:val="none"/>
          <w:lang w:val="en-US" w:eastAsia="zh-CN"/>
        </w:rPr>
        <w:t>经济效益方面</w:t>
      </w:r>
      <w:r>
        <w:rPr>
          <w:rFonts w:hint="default" w:ascii="Times New Roman" w:hAnsi="Times New Roman" w:eastAsia="仿宋_GB2312" w:cs="Times New Roman"/>
          <w:sz w:val="32"/>
          <w:szCs w:val="32"/>
          <w:highlight w:val="none"/>
        </w:rPr>
        <w:t>实现了预期的积极影响。具体而言，</w:t>
      </w:r>
      <w:r>
        <w:rPr>
          <w:rFonts w:hint="eastAsia" w:eastAsia="仿宋_GB2312" w:cs="Times New Roman"/>
          <w:sz w:val="32"/>
          <w:szCs w:val="32"/>
          <w:highlight w:val="none"/>
          <w:lang w:eastAsia="zh-CN"/>
        </w:rPr>
        <w:t>增加国有企业经济效益</w:t>
      </w:r>
      <w:r>
        <w:rPr>
          <w:rFonts w:hint="default" w:ascii="Times New Roman" w:hAnsi="Times New Roman" w:eastAsia="仿宋_GB2312" w:cs="Times New Roman"/>
          <w:sz w:val="32"/>
          <w:szCs w:val="32"/>
          <w:highlight w:val="none"/>
        </w:rPr>
        <w:t>等方面的提升，为项目的利益相关者带来了实实在在的利益。</w:t>
      </w:r>
    </w:p>
    <w:p w14:paraId="17F9D9DA">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eastAsia" w:eastAsia="仿宋_GB2312" w:cs="Times New Roman"/>
          <w:sz w:val="32"/>
          <w:szCs w:val="32"/>
          <w:highlight w:val="none"/>
          <w:lang w:eastAsia="zh-CN"/>
        </w:rPr>
        <w:t>国有粮食购销企业土地变性确权工作（消化暂付款）</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14:paraId="096D7E39">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656483B5">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分，属于“优”。其中，项目决策类指标权重为20分，得分为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color w:val="auto"/>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46481105">
      <w:pPr>
        <w:pStyle w:val="9"/>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6C7AA45E">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268F5B51">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45E72DCC">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084C852F">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539D301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FED976A">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3E0E17B4">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A7D5F82">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3365FCD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ADF9817">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1D31EE11">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47AB02B">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51AFC42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6779F98">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7ACA901B">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2E5B18A2">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52A3BB5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05E6AC5">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362DF72A">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C6A6AB2">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12C5B63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0C746B9">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5B1B6642">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4256340A">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14:paraId="258A5D12">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4EFF7269">
      <w:pPr>
        <w:pStyle w:val="9"/>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1CA6B62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2EEDB4B0">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03746F1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6299227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0A5D845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40CFC3D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6385537E">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0817A63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631CF77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B74B51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1A7AE45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43DBA8BB">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4680A7D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0E5EC6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3378588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5724D03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3987631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24FBAD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43AA6D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5B7B507C">
      <w:pPr>
        <w:pStyle w:val="9"/>
        <w:numPr>
          <w:ilvl w:val="0"/>
          <w:numId w:val="4"/>
        </w:numPr>
        <w:spacing w:before="0" w:after="0" w:line="560" w:lineRule="exact"/>
        <w:ind w:firstLine="643" w:firstLineChars="200"/>
        <w:jc w:val="both"/>
        <w:rPr>
          <w:rFonts w:hint="default" w:ascii="Times New Roman" w:hAnsi="Times New Roman" w:eastAsia="楷体" w:cs="Times New Roman"/>
          <w:highlight w:val="none"/>
        </w:rPr>
      </w:pPr>
      <w:r>
        <w:rPr>
          <w:rFonts w:hint="default" w:ascii="Times New Roman" w:hAnsi="Times New Roman" w:eastAsia="楷体" w:cs="Times New Roman"/>
          <w:highlight w:val="none"/>
        </w:rPr>
        <w:t>项目过程情况</w:t>
      </w:r>
    </w:p>
    <w:p w14:paraId="712403E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lang w:val="en-US" w:eastAsia="zh-CN"/>
        </w:rPr>
        <w:t>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30FB7F8E">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73314BB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14:paraId="1E60865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1563</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14:paraId="0E38153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08DAE32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sz w:val="32"/>
          <w:szCs w:val="32"/>
          <w:highlight w:val="none"/>
          <w:lang w:val="en-US" w:eastAsia="zh-CN"/>
        </w:rPr>
        <w:t>1563</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282EA6B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626815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42CE3A9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4DEF11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655DF25B">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26DAE52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2527FCC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5C8EAA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066C02F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0AB03AB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505D2CC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56B6A4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7CCE910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395614F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6494B28B">
      <w:pPr>
        <w:pStyle w:val="10"/>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2E6C972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w:t>
      </w:r>
      <w:r>
        <w:rPr>
          <w:rFonts w:hint="eastAsia" w:eastAsia="仿宋_GB2312" w:cs="Times New Roman"/>
          <w:sz w:val="32"/>
          <w:szCs w:val="32"/>
          <w:lang w:val="en-US" w:eastAsia="zh-CN"/>
        </w:rPr>
        <w:t>、产出成本四</w:t>
      </w:r>
      <w:r>
        <w:rPr>
          <w:rFonts w:hint="default" w:ascii="Times New Roman" w:hAnsi="Times New Roman" w:eastAsia="仿宋_GB2312" w:cs="Times New Roman"/>
          <w:sz w:val="32"/>
          <w:szCs w:val="32"/>
          <w:lang w:val="en-US" w:eastAsia="zh-CN"/>
        </w:rPr>
        <w:t>方面的内容，由</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具体产出指标完成情况如下：</w:t>
      </w:r>
    </w:p>
    <w:p w14:paraId="6098379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0C9EE1ED">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土地变性确权宗数</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13宗</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13宗</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6A7E86F0">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土地的平方数</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198521.50平方米</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198521.50平方米</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2C5D3E0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17F178C5">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壮大资产规模</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13宗</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13宗</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78A225A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67366D9A">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按时完成土地确权工作的及时性</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367ED77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081653F0">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每平米土地确权需缴纳土地出让金</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78.73万元</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78.73万元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269C3074">
      <w:pPr>
        <w:pStyle w:val="10"/>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495C62E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两</w:t>
      </w:r>
      <w:r>
        <w:rPr>
          <w:rFonts w:hint="default" w:ascii="Times New Roman" w:hAnsi="Times New Roman" w:eastAsia="仿宋_GB2312" w:cs="Times New Roman"/>
          <w:sz w:val="32"/>
          <w:szCs w:val="32"/>
          <w:lang w:val="en-US" w:eastAsia="zh-CN"/>
        </w:rPr>
        <w:t>个三级指标构成，权重分为</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3D31FB15">
      <w:pPr>
        <w:numPr>
          <w:ilvl w:val="0"/>
          <w:numId w:val="0"/>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实施效益</w:t>
      </w:r>
    </w:p>
    <w:p w14:paraId="62F34D98">
      <w:pPr>
        <w:numPr>
          <w:ilvl w:val="0"/>
          <w:numId w:val="0"/>
        </w:numPr>
        <w:shd w:val="clear" w:color="auto" w:fill="auto"/>
        <w:spacing w:line="600" w:lineRule="exact"/>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经济效益指标：</w:t>
      </w:r>
    </w:p>
    <w:p w14:paraId="2D03E3EB">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增加国有企业经济效益</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5F58DCD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72C90F17">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天禾粮油满意度</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39F76676">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5CC308CF">
      <w:pPr>
        <w:spacing w:line="560" w:lineRule="exact"/>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国有粮食购销企业土地变性确权工作（消化暂付款）</w:t>
      </w:r>
      <w:r>
        <w:rPr>
          <w:rFonts w:hint="default" w:ascii="Times New Roman" w:hAnsi="Times New Roman" w:eastAsia="仿宋_GB2312" w:cs="Times New Roman"/>
          <w:sz w:val="32"/>
          <w:szCs w:val="32"/>
        </w:rPr>
        <w:t>项目年初预算</w:t>
      </w:r>
      <w:r>
        <w:rPr>
          <w:rFonts w:hint="eastAsia" w:ascii="Times New Roman" w:hAnsi="Times New Roman" w:eastAsia="仿宋_GB2312" w:cs="Times New Roman"/>
          <w:sz w:val="32"/>
          <w:szCs w:val="32"/>
          <w:lang w:val="en-US" w:eastAsia="zh-CN"/>
        </w:rPr>
        <w:t>1563</w:t>
      </w:r>
      <w:r>
        <w:rPr>
          <w:rFonts w:hint="default" w:ascii="Times New Roman" w:hAnsi="Times New Roman" w:eastAsia="仿宋_GB2312" w:cs="Times New Roman"/>
          <w:sz w:val="32"/>
          <w:szCs w:val="32"/>
        </w:rPr>
        <w:t>万元，全年预算</w:t>
      </w:r>
      <w:r>
        <w:rPr>
          <w:rFonts w:hint="eastAsia" w:ascii="Times New Roman" w:hAnsi="Times New Roman" w:eastAsia="仿宋_GB2312" w:cs="Times New Roman"/>
          <w:sz w:val="32"/>
          <w:szCs w:val="32"/>
          <w:lang w:val="en-US" w:eastAsia="zh-CN"/>
        </w:rPr>
        <w:t>1563</w:t>
      </w:r>
      <w:r>
        <w:rPr>
          <w:rFonts w:hint="default" w:ascii="Times New Roman" w:hAnsi="Times New Roman" w:eastAsia="仿宋_GB2312" w:cs="Times New Roman"/>
          <w:sz w:val="32"/>
          <w:szCs w:val="32"/>
        </w:rPr>
        <w:t>万元，实际支出</w:t>
      </w:r>
      <w:r>
        <w:rPr>
          <w:rFonts w:hint="eastAsia" w:ascii="Times New Roman" w:hAnsi="Times New Roman" w:eastAsia="仿宋_GB2312" w:cs="Times New Roman"/>
          <w:sz w:val="32"/>
          <w:szCs w:val="32"/>
          <w:lang w:val="en-US" w:eastAsia="zh-CN"/>
        </w:rPr>
        <w:t>1563</w:t>
      </w:r>
      <w:r>
        <w:rPr>
          <w:rFonts w:hint="default" w:ascii="Times New Roman" w:hAnsi="Times New Roman" w:eastAsia="仿宋_GB2312" w:cs="Times New Roman"/>
          <w:sz w:val="32"/>
          <w:szCs w:val="32"/>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%，项目绩效指标总体完成率为</w:t>
      </w:r>
      <w:r>
        <w:rPr>
          <w:rFonts w:hint="eastAsia" w:ascii="Times New Roman" w:hAnsi="Times New Roman" w:eastAsia="仿宋_GB2312" w:cs="Times New Roman"/>
          <w:sz w:val="32"/>
          <w:szCs w:val="32"/>
          <w:lang w:val="en-US" w:eastAsia="zh-CN"/>
        </w:rPr>
        <w:t>100.71</w:t>
      </w:r>
      <w:r>
        <w:rPr>
          <w:rFonts w:hint="default" w:ascii="Times New Roman" w:hAnsi="Times New Roman" w:eastAsia="仿宋_GB2312" w:cs="Times New Roman"/>
          <w:sz w:val="32"/>
          <w:szCs w:val="32"/>
        </w:rPr>
        <w:t>%，总体偏差率为</w:t>
      </w:r>
      <w:r>
        <w:rPr>
          <w:rFonts w:hint="eastAsia" w:ascii="Times New Roman" w:hAnsi="Times New Roman" w:eastAsia="仿宋_GB2312" w:cs="Times New Roman"/>
          <w:sz w:val="32"/>
          <w:szCs w:val="32"/>
          <w:lang w:val="en-US" w:eastAsia="zh-CN"/>
        </w:rPr>
        <w:t>0.71</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偏差</w:t>
      </w:r>
      <w:r>
        <w:rPr>
          <w:rFonts w:hint="eastAsia" w:ascii="Times New Roman" w:hAnsi="Times New Roman" w:eastAsia="仿宋_GB2312" w:cs="Times New Roman"/>
          <w:sz w:val="32"/>
          <w:szCs w:val="32"/>
          <w:lang w:val="en-US" w:eastAsia="zh-CN"/>
        </w:rPr>
        <w:t>原因是</w:t>
      </w:r>
      <w:r>
        <w:rPr>
          <w:rFonts w:hint="eastAsia" w:ascii="Times New Roman" w:hAnsi="Times New Roman" w:eastAsia="仿宋_GB2312" w:cs="Times New Roman"/>
          <w:sz w:val="32"/>
          <w:szCs w:val="32"/>
          <w:lang w:eastAsia="zh-CN"/>
        </w:rPr>
        <w:t>企业自身的努力</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县政府高度重视，各部门紧密配合等原因，使</w:t>
      </w:r>
      <w:r>
        <w:rPr>
          <w:rFonts w:hint="eastAsia" w:ascii="Times New Roman" w:hAnsi="Times New Roman" w:eastAsia="仿宋_GB2312" w:cs="Times New Roman"/>
          <w:sz w:val="32"/>
          <w:szCs w:val="32"/>
          <w:lang w:val="en-US" w:eastAsia="zh-CN"/>
        </w:rPr>
        <w:t>国有</w:t>
      </w:r>
      <w:r>
        <w:rPr>
          <w:rFonts w:hint="eastAsia" w:ascii="Times New Roman" w:hAnsi="Times New Roman" w:eastAsia="仿宋_GB2312" w:cs="Times New Roman"/>
          <w:sz w:val="32"/>
          <w:szCs w:val="32"/>
          <w:lang w:eastAsia="zh-CN"/>
        </w:rPr>
        <w:t>粮食购销企业土地变性确权工作顺利实施，实际完成情况优于预期。</w:t>
      </w:r>
      <w:r>
        <w:rPr>
          <w:rFonts w:hint="default" w:ascii="Times New Roman" w:hAnsi="Times New Roman" w:eastAsia="仿宋_GB2312" w:cs="Times New Roman"/>
          <w:sz w:val="32"/>
          <w:szCs w:val="32"/>
        </w:rPr>
        <w:t>改进措施</w:t>
      </w:r>
      <w:r>
        <w:rPr>
          <w:rFonts w:hint="eastAsia" w:ascii="Times New Roman" w:hAnsi="Times New Roman" w:eastAsia="仿宋_GB2312" w:cs="Times New Roman"/>
          <w:sz w:val="32"/>
          <w:szCs w:val="32"/>
          <w:lang w:eastAsia="zh-CN"/>
        </w:rPr>
        <w:t>：一是优化指标设定，制定更加科学、合理的绩效指标；二是总结经验和加强管理，对项目执行过程进行全面总结，分析超预期完成的原因。进一步加强项目管理，提高资源配置效益</w:t>
      </w:r>
      <w:r>
        <w:rPr>
          <w:rFonts w:hint="default" w:ascii="Times New Roman" w:hAnsi="Times New Roman" w:eastAsia="仿宋_GB2312" w:cs="Times New Roman"/>
          <w:sz w:val="32"/>
          <w:szCs w:val="32"/>
        </w:rPr>
        <w:t>。</w:t>
      </w:r>
    </w:p>
    <w:p w14:paraId="37373E10">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1F6D857F">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154EC207">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1A681E2C">
      <w:pPr>
        <w:pStyle w:val="9"/>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3C202257">
      <w:pPr>
        <w:keepNext/>
        <w:keepLines/>
        <w:numPr>
          <w:ilvl w:val="0"/>
          <w:numId w:val="5"/>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2BD103E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148F2046">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25EECAE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0C3DC75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77E7F06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5F47C007">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361CB45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7BBDA6AE">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58014B0B">
      <w:pPr>
        <w:pStyle w:val="11"/>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7368E28F">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425C77D2">
      <w:pPr>
        <w:rPr>
          <w:rFonts w:hint="default" w:ascii="Times New Roman" w:hAnsi="Times New Roman" w:cs="Times New Roman"/>
        </w:rPr>
      </w:pPr>
      <w:bookmarkStart w:id="1" w:name="_GoBack"/>
      <w:bookmarkEnd w:id="1"/>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96C14CC-691F-4118-95C3-DECFC283C54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F2EDB4DD-3C9D-4563-889A-538046A37295}"/>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3" w:fontKey="{D239523A-345A-4873-ADC7-E00CA73CB9FD}"/>
  </w:font>
  <w:font w:name="华文中宋">
    <w:panose1 w:val="02010600040101010101"/>
    <w:charset w:val="86"/>
    <w:family w:val="auto"/>
    <w:pitch w:val="default"/>
    <w:sig w:usb0="00000287" w:usb1="080F0000" w:usb2="00000000" w:usb3="00000000" w:csb0="0004009F" w:csb1="DFD70000"/>
    <w:embedRegular r:id="rId4" w:fontKey="{90EF45FF-9557-49AA-82C0-4C5E637A2403}"/>
  </w:font>
  <w:font w:name="方正小标宋简体">
    <w:panose1 w:val="02000000000000000000"/>
    <w:charset w:val="86"/>
    <w:family w:val="auto"/>
    <w:pitch w:val="default"/>
    <w:sig w:usb0="00000001" w:usb1="08000000" w:usb2="00000000" w:usb3="00000000" w:csb0="00040000" w:csb1="00000000"/>
    <w:embedRegular r:id="rId5" w:fontKey="{B61D189F-55CC-4705-83C6-DE3814569E94}"/>
  </w:font>
  <w:font w:name="楷体_GB2312">
    <w:altName w:val="楷体"/>
    <w:panose1 w:val="02010609030101010101"/>
    <w:charset w:val="86"/>
    <w:family w:val="auto"/>
    <w:pitch w:val="default"/>
    <w:sig w:usb0="00000000" w:usb1="00000000" w:usb2="00000000" w:usb3="00000000" w:csb0="00040000" w:csb1="00000000"/>
    <w:embedRegular r:id="rId6" w:fontKey="{AB65F123-CD25-44B7-8990-377090393CE2}"/>
  </w:font>
  <w:font w:name="方正仿宋_GBK">
    <w:altName w:val="微软雅黑"/>
    <w:panose1 w:val="03000509000000000000"/>
    <w:charset w:val="86"/>
    <w:family w:val="auto"/>
    <w:pitch w:val="default"/>
    <w:sig w:usb0="00000000" w:usb1="00000000" w:usb2="00000000" w:usb3="00000000" w:csb0="00040000" w:csb1="00000000"/>
    <w:embedRegular r:id="rId7" w:fontKey="{9FC48E52-61AD-461A-81EA-21E0B3A4D4FF}"/>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embedRegular r:id="rId8" w:fontKey="{42C3B424-80FB-460C-95CD-D9EE7C34E61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B3AC94">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8962"/>
                          </w:sdtPr>
                          <w:sdtContent>
                            <w:p w14:paraId="07A54D8A">
                              <w:pPr>
                                <w:pStyle w:val="6"/>
                                <w:jc w:val="center"/>
                              </w:pPr>
                              <w:r>
                                <w:fldChar w:fldCharType="begin"/>
                              </w:r>
                              <w:r>
                                <w:instrText xml:space="preserve">PAGE   \* MERGEFORMAT</w:instrText>
                              </w:r>
                              <w:r>
                                <w:fldChar w:fldCharType="separate"/>
                              </w:r>
                              <w:r>
                                <w:rPr>
                                  <w:lang w:val="zh-CN"/>
                                </w:rPr>
                                <w:t>13</w:t>
                              </w:r>
                              <w:r>
                                <w:fldChar w:fldCharType="end"/>
                              </w:r>
                            </w:p>
                          </w:sdtContent>
                        </w:sdt>
                        <w:p w14:paraId="47944408"/>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sdt>
                    <w:sdtPr>
                      <w:id w:val="147468962"/>
                    </w:sdtPr>
                    <w:sdtContent>
                      <w:p w14:paraId="07A54D8A">
                        <w:pPr>
                          <w:pStyle w:val="6"/>
                          <w:jc w:val="center"/>
                        </w:pPr>
                        <w:r>
                          <w:fldChar w:fldCharType="begin"/>
                        </w:r>
                        <w:r>
                          <w:instrText xml:space="preserve">PAGE   \* MERGEFORMAT</w:instrText>
                        </w:r>
                        <w:r>
                          <w:fldChar w:fldCharType="separate"/>
                        </w:r>
                        <w:r>
                          <w:rPr>
                            <w:lang w:val="zh-CN"/>
                          </w:rPr>
                          <w:t>13</w:t>
                        </w:r>
                        <w:r>
                          <w:fldChar w:fldCharType="end"/>
                        </w:r>
                      </w:p>
                    </w:sdtContent>
                  </w:sdt>
                  <w:p w14:paraId="47944408"/>
                </w:txbxContent>
              </v:textbox>
            </v:shape>
          </w:pict>
        </mc:Fallback>
      </mc:AlternateContent>
    </w:r>
  </w:p>
  <w:p w14:paraId="7FB81C62">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00000000"/>
    <w:rsid w:val="4AAC268B"/>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rPr>
      <w:rFonts w:ascii="Calibri" w:hAnsi="Calibri"/>
    </w:rPr>
  </w:style>
  <w:style w:type="paragraph" w:styleId="5">
    <w:name w:val="Balloon Text"/>
    <w:basedOn w:val="1"/>
    <w:link w:val="21"/>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3"/>
    <w:qFormat/>
    <w:uiPriority w:val="0"/>
    <w:pPr>
      <w:spacing w:after="0"/>
      <w:ind w:firstLine="200" w:firstLineChars="200"/>
    </w:pPr>
  </w:style>
  <w:style w:type="paragraph" w:styleId="11">
    <w:name w:val="Body Text First Indent 2"/>
    <w:basedOn w:val="4"/>
    <w:qFormat/>
    <w:uiPriority w:val="0"/>
    <w:pPr>
      <w:ind w:firstLine="420" w:firstLineChars="200"/>
    </w:pPr>
  </w:style>
  <w:style w:type="table" w:styleId="1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5"/>
    <w:qFormat/>
    <w:uiPriority w:val="0"/>
    <w:rPr>
      <w:rFonts w:ascii="Times New Roman" w:hAnsi="Times New Roman" w:eastAsia="宋体" w:cs="Times New Roman"/>
      <w:kern w:val="2"/>
      <w:sz w:val="18"/>
      <w:szCs w:val="18"/>
    </w:rPr>
  </w:style>
  <w:style w:type="character" w:customStyle="1" w:styleId="22">
    <w:name w:val="页眉 字符"/>
    <w:basedOn w:val="14"/>
    <w:link w:val="7"/>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109052B434BB40FAB0186102F37558FF_13</vt:lpwstr>
  </property>
  <property fmtid="{D5CDD505-2E9C-101B-9397-08002B2CF9AE}" pid="4" name="KSOTemplateDocerSaveRecord">
    <vt:lpwstr>eyJoZGlkIjoiOGY4ZjllZTc5NjFlZmUyNTcxNjBmMzdkOGZkNDIyZDciLCJ1c2VySWQiOiIxMTQzMDA1NzQ2In0=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25b8bc-dec9-44e4-95b7-f5fd6998ddff}">
  <ds:schemaRefs/>
</ds:datastoreItem>
</file>

<file path=docProps/app.xml><?xml version="1.0" encoding="utf-8"?>
<Properties xmlns="http://schemas.openxmlformats.org/officeDocument/2006/extended-properties" xmlns:vt="http://schemas.openxmlformats.org/officeDocument/2006/docPropsVTypes">
  <Template>Normal</Template>
  <Pages>21</Pages>
  <Words>2898</Words>
  <Characters>2978</Characters>
  <Lines>58</Lines>
  <Paragraphs>16</Paragraphs>
  <TotalTime>9</TotalTime>
  <ScaleCrop>false</ScaleCrop>
  <LinksUpToDate>false</LinksUpToDate>
  <CharactersWithSpaces>2978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忆</cp:lastModifiedBy>
  <dcterms:modified xsi:type="dcterms:W3CDTF">2025-11-13T05:17:57Z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109052B434BB40FAB0186102F37558FF_13</vt:lpwstr>
  </property>
  <property fmtid="{D5CDD505-2E9C-101B-9397-08002B2CF9AE}" pid="4" name="KSOTemplateDocerSaveRecord">
    <vt:lpwstr>eyJoZGlkIjoiZWE5M2E4OTRkNmEwYTUyNjM2Mzg3NThiMTA5NmIzZWUiLCJ1c2VySWQiOiI0OTMxMTE3MjUifQ==</vt:lpwstr>
  </property>
</Properties>
</file>