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50B98"/>
    <w:p w14:paraId="76BBD681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001BE12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B5874B3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30B762B3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05A11E5F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福利机构工作人员工资和社保金（本级）项目支出绩效评价报告</w:t>
      </w:r>
    </w:p>
    <w:p w14:paraId="7CC7C639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0CFD959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年度）</w:t>
      </w:r>
    </w:p>
    <w:p w14:paraId="7130497D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2BB928BD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303A0621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1292E07A">
      <w:pPr>
        <w:spacing w:line="540" w:lineRule="exact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6CC448B0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101200D2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项目名称：2024年福利机构工作人员工资和社保金（本级）</w:t>
      </w:r>
    </w:p>
    <w:p w14:paraId="725ED11A">
      <w:pPr>
        <w:spacing w:line="700" w:lineRule="exact"/>
        <w:ind w:firstLine="640" w:firstLineChars="200"/>
        <w:jc w:val="left"/>
        <w:rPr>
          <w:rFonts w:hint="eastAsia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特克斯县社会综合福利院</w:t>
      </w:r>
    </w:p>
    <w:p w14:paraId="7E177339">
      <w:pPr>
        <w:spacing w:line="700" w:lineRule="exact"/>
        <w:ind w:firstLine="640" w:firstLineChars="200"/>
        <w:jc w:val="left"/>
        <w:rPr>
          <w:rFonts w:hint="eastAsia" w:eastAsia="仿宋_GB2312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特克斯县民政局</w:t>
      </w:r>
    </w:p>
    <w:p w14:paraId="4AEA86B0">
      <w:pPr>
        <w:spacing w:line="700" w:lineRule="exact"/>
        <w:ind w:firstLine="640" w:firstLineChars="200"/>
        <w:jc w:val="left"/>
        <w:rPr>
          <w:rFonts w:hint="eastAsia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迪娜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·阿里木</w:t>
      </w:r>
    </w:p>
    <w:p w14:paraId="26E42184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4171AC8F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470667E9">
      <w:pPr>
        <w:spacing w:line="540" w:lineRule="exact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16D76780">
      <w:pPr>
        <w:spacing w:line="540" w:lineRule="exact"/>
        <w:ind w:firstLine="640"/>
        <w:rPr>
          <w:rStyle w:val="15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67905C09">
      <w:pPr>
        <w:spacing w:line="560" w:lineRule="exact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250258A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5A096F8E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528E3B5C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2C1784D0">
      <w:pPr>
        <w:pStyle w:val="9"/>
        <w:numPr>
          <w:ilvl w:val="0"/>
          <w:numId w:val="0"/>
        </w:numPr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国家《中华人民共和国劳动法》等法律法规明确规定，用人单位必须依法为劳动者缴纳社会保险，这是保障劳动者权益的基本要求。福利机构作为用人单位，需遵守这些规定，为工作人员按时足额缴纳社保金，以确保工作人员在养老、医疗、失业、工伤和生育等方面享有相应的保障。按时支付工作人员工资和缴纳社保金，有助于维持福利机构的正常运转。工作人员能够安心工作，为服务对象提供持续稳定的服务，保障福利机构的各项工作顺利开展。</w:t>
      </w:r>
    </w:p>
    <w:p w14:paraId="14DA381E">
      <w:pPr>
        <w:pStyle w:val="9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2A2323FF">
      <w:pPr>
        <w:spacing w:line="560" w:lineRule="exact"/>
        <w:ind w:firstLine="600" w:firstLineChars="200"/>
        <w:rPr>
          <w:rFonts w:hint="default" w:ascii="Times New Roman" w:hAnsi="Times New Roman" w:eastAsia="黑体" w:cs="Times New Roman"/>
          <w:highlight w:val="yellow"/>
          <w:lang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</w:t>
      </w:r>
      <w:r>
        <w:rPr>
          <w:rFonts w:hint="eastAsia" w:eastAsia="仿宋_GB2312" w:cs="Times New Roman"/>
          <w:sz w:val="30"/>
          <w:szCs w:val="30"/>
          <w:highlight w:val="none"/>
          <w:lang w:val="en-US" w:eastAsia="zh-CN"/>
        </w:rPr>
        <w:t>发放福利机构工作人员工资</w:t>
      </w:r>
      <w:r>
        <w:rPr>
          <w:rStyle w:val="15"/>
          <w:rFonts w:hint="default" w:ascii="Times New Roman" w:hAnsi="Times New Roman" w:eastAsia="黑体" w:cs="Times New Roman"/>
          <w:b w:val="0"/>
          <w:bCs/>
          <w:spacing w:val="-4"/>
          <w:sz w:val="32"/>
          <w:szCs w:val="32"/>
          <w:highlight w:val="none"/>
          <w:lang w:eastAsia="zh-CN"/>
        </w:rPr>
        <w:t>。</w:t>
      </w:r>
    </w:p>
    <w:p w14:paraId="512A9BF4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eastAsia" w:eastAsia="仿宋_GB2312" w:cs="Times New Roman"/>
          <w:sz w:val="32"/>
          <w:szCs w:val="32"/>
          <w:lang w:eastAsia="zh-CN"/>
        </w:rPr>
        <w:t>在全年执行过程中，每月严格按照规定完成工资发放与社保金缴纳工作，工资发放率达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100%，社保金缴纳执行率达100%</w:t>
      </w:r>
      <w:r>
        <w:rPr>
          <w:rStyle w:val="15"/>
          <w:rFonts w:hint="default" w:ascii="Times New Roman" w:hAnsi="Times New Roman" w:eastAsia="黑体" w:cs="Times New Roman"/>
          <w:b w:val="0"/>
          <w:bCs/>
          <w:spacing w:val="-4"/>
          <w:sz w:val="32"/>
          <w:szCs w:val="32"/>
          <w:highlight w:val="none"/>
          <w:lang w:eastAsia="zh-CN"/>
        </w:rPr>
        <w:t>。</w:t>
      </w:r>
    </w:p>
    <w:p w14:paraId="5C53E323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30F47EA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4713035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该项目年初预算数192.97万元，全年预算数192.97万元，该项目资金已全部落实到位，资金来源为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财政拨款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01C883A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690F075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该项目年初预算数192.97万元，全年预算数192.97万元，全年执行数192.97万元，预算执行率为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%，主要用于：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福利机构工作人员工资发放及社保金缴纳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 w14:paraId="4605399A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479FA2E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总体目标</w:t>
      </w:r>
    </w:p>
    <w:p w14:paraId="6A781A5A">
      <w:pPr>
        <w:pStyle w:val="9"/>
        <w:numPr>
          <w:ilvl w:val="0"/>
          <w:numId w:val="0"/>
        </w:numPr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根据新政发【2012】87号文件精神11条加大对社会养老服务体系建设的政策扶持力度，提升机构护理人员提高护理水平，满足特困对象、孤儿的照料、康复、护理需求，提高特困对象、孤儿的幸福感和获得感。</w:t>
      </w:r>
    </w:p>
    <w:p w14:paraId="7948993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FF0000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阶段性目标</w:t>
      </w:r>
    </w:p>
    <w:p w14:paraId="36C96B4A">
      <w:pPr>
        <w:pStyle w:val="9"/>
        <w:numPr>
          <w:ilvl w:val="0"/>
          <w:numId w:val="0"/>
        </w:numPr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上半年保障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发放福利机构人员工资及社保2024年1月-2024年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月共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次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658976DE">
      <w:pPr>
        <w:pStyle w:val="9"/>
        <w:numPr>
          <w:ilvl w:val="0"/>
          <w:numId w:val="0"/>
        </w:numPr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下半年保障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发放福利机构人员工资及社保2024年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7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月-2024年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12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月共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次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1731D23A">
      <w:pPr>
        <w:pStyle w:val="9"/>
        <w:numPr>
          <w:ilvl w:val="0"/>
          <w:numId w:val="0"/>
        </w:numPr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有效保障了劳动者的合法权益，保障机构内运转。</w:t>
      </w:r>
    </w:p>
    <w:p w14:paraId="4B3DC3A5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0E9543EC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3A77339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1.绩效评价完整性</w:t>
      </w:r>
    </w:p>
    <w:p w14:paraId="78F4439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4455382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5446024B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11D7837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1DA5A03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2C84AC1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4140E2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（1）评估项目实施效果</w:t>
      </w:r>
    </w:p>
    <w:p w14:paraId="7AC7D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通过对项目预算执行情况及各项绩效目标达成程度的系统性分析，全面、客观地评估项目在预定周期内的实施效果，包括社会效益等多维度指标，为项目后续的改进与优化提供科学依据。</w:t>
      </w:r>
    </w:p>
    <w:p w14:paraId="7E2C9A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（2）提升资源利用效率</w:t>
      </w:r>
    </w:p>
    <w:p w14:paraId="70AE8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5F9DF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（3）强化项目管理责任</w:t>
      </w:r>
    </w:p>
    <w:p w14:paraId="55CAF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426B8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（4）为决策提供支持</w:t>
      </w:r>
    </w:p>
    <w:p w14:paraId="7F811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3D714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（5）促进项目持续改进</w:t>
      </w:r>
    </w:p>
    <w:p w14:paraId="6065C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2D5D0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2B178E2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3C46515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本项目预算绩效评价报告的评价对象是2024年福利机构工作人员工资和社保金（本级）及其预算执行情况。该项目由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特克斯县社会综合福利院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负责实施，旨在发放福利机构人员工资及社保2024年1月-2024年12月共12次，有效保障了劳动者的合法权益，保障机构内运转。项目预算涵盖从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2024年12月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的全部资金投入与支出，涉及资金总额为192.97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元。</w:t>
      </w:r>
    </w:p>
    <w:p w14:paraId="6D75F70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绩效评价的范围</w:t>
      </w:r>
    </w:p>
    <w:p w14:paraId="1C2BB068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1BA57F0B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7E1BC958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53C7E5EA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07879B9D">
      <w:pPr>
        <w:pStyle w:val="9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影响：考察项目对社会方面的综合影响。</w:t>
      </w:r>
    </w:p>
    <w:p w14:paraId="233E74A5">
      <w:pPr>
        <w:pStyle w:val="9"/>
        <w:widowControl w:val="0"/>
        <w:numPr>
          <w:ilvl w:val="0"/>
          <w:numId w:val="0"/>
        </w:numPr>
        <w:spacing w:before="0" w:after="0" w:line="560" w:lineRule="exact"/>
        <w:jc w:val="both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3FECCF40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绩效评价原则</w:t>
      </w:r>
    </w:p>
    <w:p w14:paraId="4392C14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本次项目绩效评价遵循以下基本原则：</w:t>
      </w:r>
    </w:p>
    <w:p w14:paraId="04EFA3A7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4D021EFC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7B4F19F6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4CDD16DE">
      <w:pPr>
        <w:pStyle w:val="9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（4）公开透明。绩效评价结果应依法依规公开，并自觉接受社会监督。</w:t>
      </w:r>
    </w:p>
    <w:p w14:paraId="6669C089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2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评价指标体系</w:t>
      </w:r>
    </w:p>
    <w:p w14:paraId="11874A15">
      <w:pPr>
        <w:spacing w:line="560" w:lineRule="exact"/>
        <w:ind w:firstLine="708" w:firstLineChars="200"/>
        <w:rPr>
          <w:rFonts w:hint="default" w:ascii="Times New Roman" w:hAnsi="Times New Roman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57A06AB9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（1）确定评价指标</w:t>
      </w:r>
    </w:p>
    <w:p w14:paraId="16C349AA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216BDB97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（2）确定权重</w:t>
      </w:r>
    </w:p>
    <w:p w14:paraId="30A86BA0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FF0000"/>
          <w:spacing w:val="17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18FFBAD2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（3）确定指标标准值</w:t>
      </w:r>
    </w:p>
    <w:p w14:paraId="6383122D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023F1081">
      <w:pPr>
        <w:pStyle w:val="9"/>
        <w:spacing w:before="0" w:after="0" w:line="560" w:lineRule="exact"/>
        <w:ind w:firstLine="708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5094C1A1">
      <w:pPr>
        <w:pStyle w:val="9"/>
        <w:widowControl w:val="0"/>
        <w:spacing w:before="0" w:after="0" w:line="560" w:lineRule="exact"/>
        <w:ind w:firstLine="708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17"/>
        </w:rPr>
        <w:t>具体评价指标体系详情见附件1</w:t>
      </w:r>
    </w:p>
    <w:p w14:paraId="62E475DD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绩效评价方法</w:t>
      </w:r>
    </w:p>
    <w:p w14:paraId="52507576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5E1757BB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59748D0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green"/>
        </w:rPr>
      </w:pPr>
    </w:p>
    <w:p w14:paraId="4459F0DE">
      <w:pPr>
        <w:spacing w:line="560" w:lineRule="exact"/>
        <w:ind w:firstLine="708" w:firstLineChars="200"/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因素分析法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highlight w:val="none"/>
          <w:lang w:eastAsia="zh-CN"/>
        </w:rPr>
        <w:t>可以深入剖析项目决策，过程，产出和效益各维度中项目目标实施的各种因素，以及这些因素之间的相互关系准确找出关键因素，有助于全面了解项目成功和失败的原因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。</w:t>
      </w:r>
    </w:p>
    <w:p w14:paraId="003D9CFF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4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评价标准</w:t>
      </w:r>
    </w:p>
    <w:p w14:paraId="4FF8F84B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</w:rPr>
        <w:t>标准。</w:t>
      </w:r>
    </w:p>
    <w:p w14:paraId="65CD3C6A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计划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标准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eastAsia="zh-CN"/>
        </w:rPr>
        <w:t>为组织和员工提供了清晰的努力方向，是大家清楚的知道预期要达成的具体目标，为评估工作提供了统一标准，减少了工作过程中的主观性和随意性。</w:t>
      </w:r>
    </w:p>
    <w:p w14:paraId="05E51790">
      <w:pPr>
        <w:pStyle w:val="9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23A4D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前期准备与规划</w:t>
      </w:r>
    </w:p>
    <w:p w14:paraId="3F642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4BD19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）指标体系构建</w:t>
      </w:r>
    </w:p>
    <w:p w14:paraId="4F815F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743EF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）数据收集与整理</w:t>
      </w:r>
    </w:p>
    <w:p w14:paraId="109455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537F2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）数据分析与评估</w:t>
      </w:r>
    </w:p>
    <w:p w14:paraId="11A8B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1C722A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）报告撰写与反馈</w:t>
      </w:r>
    </w:p>
    <w:p w14:paraId="4FC1D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0A1662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）后续跟踪与改进</w:t>
      </w:r>
    </w:p>
    <w:p w14:paraId="080CE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green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7671EDDC">
      <w:pPr>
        <w:numPr>
          <w:ilvl w:val="0"/>
          <w:numId w:val="3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2215129C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7E8127C9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2024年福利机构工作人员工资和社保金（本级）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福利机构工作人员工资发放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社保金缴纳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等方面表现出色，达到了预期的标准与要求。</w:t>
      </w:r>
    </w:p>
    <w:p w14:paraId="119C9B23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在项目管理方面，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特克斯县社会综合福利院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155456CA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从项目效益的角度来看，本项目不仅实现了预期的社会效益等方面产生了积极的影响。具体而言，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工资的发放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、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社保金的缴纳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等方面的提升，为项目的利益相关者带来了实实在在的利益。</w:t>
      </w:r>
    </w:p>
    <w:p w14:paraId="3B651C34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综上所述，2024年福利机构工作人员工资和社保金（本级）在绩效评价中表现出色，达到了项目的预期目标，并在多个方面取得了显著的成效。</w:t>
      </w:r>
    </w:p>
    <w:p w14:paraId="49BBB61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1649E4F4">
      <w:pPr>
        <w:pStyle w:val="9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 xml:space="preserve">总得分为 </w:t>
      </w:r>
      <w:r>
        <w:rPr>
          <w:rFonts w:hint="eastAsia" w:ascii="Times New Roman" w:hAnsi="Times New Roman" w:eastAsia="仿宋_GB2312" w:cs="Times New Roman"/>
          <w:b w:val="0"/>
          <w:bCs w:val="0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highlight w:val="none"/>
        </w:rPr>
        <w:t>分，属于“优（良/中/差）”。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0D54D9C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2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2B480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B3BAB7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173E4A0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2FD49A6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32AD8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2E83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4EFF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2C0C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76615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2D32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7B1B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BE2E6A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4A12C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C4936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7C3263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4E578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</w:tr>
      <w:tr w14:paraId="7F7BD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77A0CC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F1A7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29FBD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</w:tr>
      <w:tr w14:paraId="628ADC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E0BCF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86857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544A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</w:tr>
    </w:tbl>
    <w:p w14:paraId="604C409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5767D3EC">
      <w:pPr>
        <w:pStyle w:val="9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1C42B94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yellow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553F2C2B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01F6B1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7317601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4564070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630F087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5668D145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58D2AB5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1E299EB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680ACF7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6C7EE73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6A7FB3F1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2341EFE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48795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40EDF9C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27F7E63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（2）资金分配合理性</w:t>
      </w:r>
    </w:p>
    <w:p w14:paraId="06249F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18621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7C445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4E07DA0A">
      <w:pPr>
        <w:pStyle w:val="9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7B3EBB5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三级指标构成，权重分值为20分，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3E54134E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1.资金管理</w:t>
      </w:r>
    </w:p>
    <w:p w14:paraId="5E8125F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（1）资金到位率</w:t>
      </w:r>
    </w:p>
    <w:p w14:paraId="3628DE2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总投资192.97万元，财政资金及时足额到位，到位率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预算资金按计划进度执行。</w:t>
      </w:r>
    </w:p>
    <w:p w14:paraId="612083B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（2）预算执行率</w:t>
      </w:r>
    </w:p>
    <w:p w14:paraId="2EDD3DF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预算编制较为详细，项目资金支出总体能够按照预算执行，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预算资金支出192.97万元，预算执行率为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</w:p>
    <w:p w14:paraId="6A690E8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5BFE1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34D59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791C8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6C512395">
      <w:pPr>
        <w:pStyle w:val="2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2.组织实施</w:t>
      </w:r>
    </w:p>
    <w:p w14:paraId="5E98B9F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（1）管理制度健全性</w:t>
      </w:r>
    </w:p>
    <w:p w14:paraId="7A73E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17A32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3EEF4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5A97F2F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0858500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67D1B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0CDFBF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78A74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352BB954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0C14ABB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个三级指标构成，权重分为40分，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具体产出指标完成情况如下：</w:t>
      </w:r>
    </w:p>
    <w:p w14:paraId="1E94362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4B9A7F0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福利机构职工人数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 ，指标值：&gt;=48人，实际完成值：48人，指标完成率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1BC86D7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数量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指标：</w:t>
      </w:r>
    </w:p>
    <w:p w14:paraId="4B72EB5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工资及社保发放次数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：指标值：=12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，实际完成值：12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51C1343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787C26F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福利机构职工资金发放准确率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：指标值：=100%，实际完成值：100%，指标完成率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3559C70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时效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指标：</w:t>
      </w:r>
    </w:p>
    <w:p w14:paraId="050162F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福利机构职工资金发放及时性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：指标值：=100%，实际完成值：100%，指标完成率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0037179C">
      <w:pPr>
        <w:pStyle w:val="10"/>
        <w:numPr>
          <w:ilvl w:val="0"/>
          <w:numId w:val="4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3CA349A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具体效益指标及满意度指标完成情况如下：</w:t>
      </w:r>
    </w:p>
    <w:p w14:paraId="2462D8B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FF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1.实施效益</w:t>
      </w:r>
    </w:p>
    <w:p w14:paraId="2F09284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775D81C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保障福利院工作正常有序进行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：指标值：=100%，实际完成值：100%，指标完成率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5B4C1A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03FA7F0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职工满意度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指标值：=100%，实际完成值：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4E350DA8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1E2E5220">
      <w:pPr>
        <w:pStyle w:val="20"/>
        <w:spacing w:line="560" w:lineRule="exact"/>
        <w:ind w:firstLine="64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2024年福利机构工作人员工资和社保金（本级）项目年初预算192.97万元，全年预算192.97万元，实际支出192.97万元，预算执行率为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。</w:t>
      </w:r>
    </w:p>
    <w:p w14:paraId="473BB118">
      <w:pPr>
        <w:spacing w:line="560" w:lineRule="exact"/>
        <w:ind w:firstLine="640" w:firstLineChars="200"/>
        <w:rPr>
          <w:rStyle w:val="19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主要经验及做法、存在的问题及原因分析</w:t>
      </w:r>
    </w:p>
    <w:p w14:paraId="4FACF1C0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31C13B3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6A6F35B4">
      <w:pPr>
        <w:pStyle w:val="9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4A311AD3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4C1BE85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6011036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0733D64C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08CF990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4559151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4EFEE5A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547693D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6D0A974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3173B0C6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0" w:name="page8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7F232B08">
      <w:pPr>
        <w:pStyle w:val="11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3E23D945">
      <w:pPr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531" w:right="1984" w:bottom="1531" w:left="209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9A985F0-1D84-4BDE-A76E-B8E3077C85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23456F4D-0983-4E2E-882A-235A1F08841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E146CDCF-C271-41A5-8CCD-71AF8DC8468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B9851042-4B86-4361-9289-0D36331FE794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BA4EB6EE-04B3-4FF2-96B6-B2EA5D028A6F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63060D95-856C-4F1C-A100-18687BB017BF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3B9B1DA0-0E11-471B-A15F-C5FC69D03F69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F767DF97-9F17-4885-9248-80871B9E525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7CF46B81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4ECDF359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FBE936"/>
    <w:multiLevelType w:val="singleLevel"/>
    <w:tmpl w:val="CBFBE93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770CD22"/>
    <w:multiLevelType w:val="singleLevel"/>
    <w:tmpl w:val="3770CD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B6ABD62"/>
    <w:multiLevelType w:val="singleLevel"/>
    <w:tmpl w:val="4B6ABD6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A5C561E"/>
    <w:multiLevelType w:val="singleLevel"/>
    <w:tmpl w:val="7A5C561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7FEF530D"/>
    <w:multiLevelType w:val="singleLevel"/>
    <w:tmpl w:val="7FEF530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YTY1ODhmZjRiY2MxNDhlNzhkN2RkNzk0ZmMyNjIifQ=="/>
  </w:docVars>
  <w:rsids>
    <w:rsidRoot w:val="00000000"/>
    <w:rsid w:val="1F1763D6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alloon Text"/>
    <w:basedOn w:val="1"/>
    <w:link w:val="21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7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9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0">
    <w:name w:val="Body Text First Indent"/>
    <w:basedOn w:val="3"/>
    <w:qFormat/>
    <w:uiPriority w:val="0"/>
    <w:pPr>
      <w:spacing w:after="0"/>
      <w:ind w:firstLine="200" w:firstLineChars="200"/>
    </w:pPr>
  </w:style>
  <w:style w:type="paragraph" w:styleId="11">
    <w:name w:val="Body Text First Indent 2"/>
    <w:basedOn w:val="4"/>
    <w:qFormat/>
    <w:uiPriority w:val="0"/>
    <w:pPr>
      <w:ind w:firstLine="420" w:firstLineChars="200"/>
    </w:pPr>
  </w:style>
  <w:style w:type="table" w:styleId="13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5">
    <w:name w:val="Strong"/>
    <w:basedOn w:val="14"/>
    <w:qFormat/>
    <w:uiPriority w:val="0"/>
    <w:rPr>
      <w:b/>
      <w:bCs/>
    </w:rPr>
  </w:style>
  <w:style w:type="paragraph" w:customStyle="1" w:styleId="16">
    <w:name w:val="Comment Text"/>
    <w:basedOn w:val="1"/>
    <w:link w:val="23"/>
    <w:qFormat/>
    <w:uiPriority w:val="0"/>
    <w:pPr>
      <w:jc w:val="left"/>
    </w:pPr>
  </w:style>
  <w:style w:type="paragraph" w:customStyle="1" w:styleId="17">
    <w:name w:val="Comment Subject"/>
    <w:basedOn w:val="16"/>
    <w:next w:val="16"/>
    <w:link w:val="24"/>
    <w:qFormat/>
    <w:uiPriority w:val="0"/>
    <w:rPr>
      <w:b/>
      <w:bCs/>
    </w:rPr>
  </w:style>
  <w:style w:type="character" w:customStyle="1" w:styleId="18">
    <w:name w:val="Comment Reference"/>
    <w:basedOn w:val="14"/>
    <w:qFormat/>
    <w:uiPriority w:val="0"/>
    <w:rPr>
      <w:sz w:val="21"/>
      <w:szCs w:val="21"/>
    </w:rPr>
  </w:style>
  <w:style w:type="character" w:customStyle="1" w:styleId="19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0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1">
    <w:name w:val="批注框文本 字符"/>
    <w:basedOn w:val="14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2">
    <w:name w:val="页眉 字符"/>
    <w:basedOn w:val="14"/>
    <w:link w:val="7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批注文字 字符"/>
    <w:basedOn w:val="14"/>
    <w:link w:val="16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4">
    <w:name w:val="批注主题 字符"/>
    <w:basedOn w:val="23"/>
    <w:link w:val="17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0B9ECD2F06724173A796532628BECA80_13</vt:lpwstr>
  </property>
  <property fmtid="{D5CDD505-2E9C-101B-9397-08002B2CF9AE}" pid="4" name="KSOTemplateDocerSaveRecord">
    <vt:lpwstr>eyJoZGlkIjoiNWI4Mzk5NGFmOTRiYTUyMzUzODcyNTk5NjY5ZWU0YTgiLCJ1c2VySWQiOiI0NTMxNDExMjgifQ==</vt:lpwstr>
  </property>
</Properties>
</file>

<file path=customXml/itemProps1.xml><?xml version="1.0" encoding="utf-8"?>
<ds:datastoreItem xmlns:ds="http://schemas.openxmlformats.org/officeDocument/2006/customXml" ds:itemID="{aafa947b-2226-492e-9507-f7e961d368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11827</Words>
  <Characters>12243</Characters>
  <Lines>58</Lines>
  <Paragraphs>16</Paragraphs>
  <TotalTime>197</TotalTime>
  <ScaleCrop>false</ScaleCrop>
  <LinksUpToDate>false</LinksUpToDate>
  <CharactersWithSpaces>12257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2025-11-13T05:35:55Z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0B9ECD2F06724173A796532628BECA80_13</vt:lpwstr>
  </property>
  <property fmtid="{D5CDD505-2E9C-101B-9397-08002B2CF9AE}" pid="4" name="KSOTemplateDocerSaveRecord">
    <vt:lpwstr>eyJoZGlkIjoiNWI4Mzk5NGFmOTRiYTUyMzUzODcyNTk5NjY5ZWU0YTgiLCJ1c2VySWQiOiI0NTMxNDExMjgifQ_x003D__x003D_</vt:lpwstr>
  </property>
</Properties>
</file>