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F7AAABD">
      <w:r>
        <w:br w:type="page"/>
      </w:r>
    </w:p>
    <w:p w14:paraId="1590C11D">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410518BA">
      <w:pPr>
        <w:spacing w:line="640" w:lineRule="exact"/>
        <w:ind w:firstLine="640"/>
        <w:jc w:val="both"/>
        <w:outlineLvl w:val="2"/>
      </w:pPr>
      <w:r>
        <w:rPr>
          <w:rFonts w:ascii="黑体" w:hAnsi="黑体" w:eastAsia="黑体"/>
          <w:sz w:val="32"/>
        </w:rPr>
        <w:t>一、主要职能</w:t>
      </w:r>
    </w:p>
    <w:p w14:paraId="7D75E3D6">
      <w:pPr>
        <w:spacing w:line="580" w:lineRule="exact"/>
        <w:ind w:firstLine="640"/>
        <w:jc w:val="both"/>
      </w:pPr>
      <w:r>
        <w:rPr>
          <w:rFonts w:ascii="仿宋_GB2312" w:hAnsi="仿宋_GB2312" w:eastAsia="仿宋_GB2312"/>
          <w:sz w:val="32"/>
        </w:rPr>
        <w:t>（1）认真贯彻执行《幼儿园工作规程》，结合本园的特点和个体差异及时制定好各类保育教育工作计划，并认真实施，有计划有步骤地开展班级保教工作。</w:t>
      </w:r>
    </w:p>
    <w:p w14:paraId="0D54266C">
      <w:pPr>
        <w:spacing w:line="580" w:lineRule="exact"/>
        <w:ind w:firstLine="640"/>
        <w:jc w:val="both"/>
      </w:pPr>
      <w:r>
        <w:rPr>
          <w:rFonts w:ascii="仿宋_GB2312" w:hAnsi="仿宋_GB2312" w:eastAsia="仿宋_GB2312"/>
          <w:sz w:val="32"/>
        </w:rPr>
        <w:t>（2）树立正确的儿童观、教育观，热爱儿童、尊重儿童，对儿童做到关心、细心、耐心，不偏爱，坚持正面教育，严禁体罚和变相体罚。</w:t>
      </w:r>
    </w:p>
    <w:p w14:paraId="5C4EBBAC">
      <w:pPr>
        <w:spacing w:line="580" w:lineRule="exact"/>
        <w:ind w:firstLine="640"/>
        <w:jc w:val="both"/>
      </w:pPr>
      <w:r>
        <w:rPr>
          <w:rFonts w:ascii="仿宋_GB2312" w:hAnsi="仿宋_GB2312" w:eastAsia="仿宋_GB2312"/>
          <w:sz w:val="32"/>
        </w:rPr>
        <w:t>（3）认真及时制定教育活动计划，钻研教材，研究教法，引导幼儿主动学习。观察、分析并记录学前儿童发展情况，因材施教。</w:t>
      </w:r>
    </w:p>
    <w:p w14:paraId="13B45B9E">
      <w:pPr>
        <w:spacing w:line="580" w:lineRule="exact"/>
        <w:ind w:firstLine="640"/>
        <w:jc w:val="both"/>
      </w:pPr>
      <w:r>
        <w:rPr>
          <w:rFonts w:ascii="仿宋_GB2312" w:hAnsi="仿宋_GB2312" w:eastAsia="仿宋_GB2312"/>
          <w:sz w:val="32"/>
        </w:rPr>
        <w:t>（4）科学、合理地安排幼儿的日常活动，认真执行学校的各项教育常规及学校的安全、卫生保健制度。定期进行总结，不断提高工作质量。</w:t>
      </w:r>
    </w:p>
    <w:p w14:paraId="6D3381EA">
      <w:pPr>
        <w:spacing w:line="640" w:lineRule="exact"/>
        <w:ind w:firstLine="640"/>
        <w:jc w:val="both"/>
        <w:outlineLvl w:val="2"/>
      </w:pPr>
      <w:r>
        <w:rPr>
          <w:rFonts w:ascii="黑体" w:hAnsi="黑体" w:eastAsia="黑体"/>
          <w:sz w:val="32"/>
        </w:rPr>
        <w:t>二、机构设置及人员情况</w:t>
      </w:r>
    </w:p>
    <w:p w14:paraId="53FB18F5">
      <w:pPr>
        <w:spacing w:line="580" w:lineRule="exact"/>
        <w:ind w:firstLine="640"/>
        <w:jc w:val="both"/>
      </w:pPr>
      <w:r>
        <w:rPr>
          <w:rFonts w:ascii="仿宋_GB2312" w:hAnsi="仿宋_GB2312" w:eastAsia="仿宋_GB2312"/>
          <w:sz w:val="32"/>
        </w:rPr>
        <w:t>特克斯县幼儿园2024年度，实有人数149人，其中：在职人员117人，减少5人；离休人员0人，增加0人；退休人员32人,增加0人。</w:t>
      </w:r>
    </w:p>
    <w:p w14:paraId="0CD110DC">
      <w:pPr>
        <w:spacing w:line="580" w:lineRule="exact"/>
        <w:ind w:firstLine="640"/>
        <w:jc w:val="both"/>
      </w:pPr>
      <w:r>
        <w:rPr>
          <w:rFonts w:ascii="仿宋_GB2312" w:hAnsi="仿宋_GB2312" w:eastAsia="仿宋_GB2312"/>
          <w:sz w:val="32"/>
        </w:rPr>
        <w:t>特克斯县幼儿园无下属预算</w:t>
      </w:r>
      <w:r>
        <w:rPr>
          <w:rFonts w:hint="eastAsia" w:ascii="仿宋_GB2312" w:hAnsi="仿宋_GB2312" w:eastAsia="仿宋_GB2312"/>
          <w:sz w:val="32"/>
          <w:lang w:eastAsia="zh-CN"/>
        </w:rPr>
        <w:t>单位</w:t>
      </w:r>
      <w:r>
        <w:rPr>
          <w:rFonts w:ascii="仿宋_GB2312" w:hAnsi="仿宋_GB2312" w:eastAsia="仿宋_GB2312"/>
          <w:sz w:val="32"/>
        </w:rPr>
        <w:t>，下设5个科室，分别是：党建室、办公室、财务室、教务处、保健室。</w:t>
      </w:r>
    </w:p>
    <w:p w14:paraId="2DBD8C8B">
      <w:r>
        <w:br w:type="page"/>
      </w:r>
    </w:p>
    <w:p w14:paraId="21B7AC00">
      <w:pPr>
        <w:spacing w:line="240" w:lineRule="auto"/>
        <w:jc w:val="center"/>
        <w:outlineLvl w:val="1"/>
      </w:pPr>
      <w:r>
        <w:rPr>
          <w:rFonts w:ascii="黑体" w:hAnsi="黑体" w:eastAsia="黑体"/>
          <w:sz w:val="32"/>
        </w:rPr>
        <w:t>第二部分 部门决算情况说明</w:t>
      </w:r>
    </w:p>
    <w:p w14:paraId="36E619DF">
      <w:pPr>
        <w:spacing w:line="640" w:lineRule="exact"/>
        <w:ind w:firstLine="640"/>
        <w:jc w:val="both"/>
        <w:outlineLvl w:val="2"/>
      </w:pPr>
      <w:r>
        <w:rPr>
          <w:rFonts w:ascii="黑体" w:hAnsi="黑体" w:eastAsia="黑体"/>
          <w:sz w:val="32"/>
        </w:rPr>
        <w:t>一、收入支出决算总体情况说明</w:t>
      </w:r>
    </w:p>
    <w:p w14:paraId="5A67294A">
      <w:pPr>
        <w:spacing w:line="580" w:lineRule="exact"/>
        <w:ind w:firstLine="640"/>
        <w:jc w:val="both"/>
      </w:pPr>
      <w:r>
        <w:rPr>
          <w:rFonts w:ascii="仿宋_GB2312" w:hAnsi="仿宋_GB2312" w:eastAsia="仿宋_GB2312"/>
          <w:b/>
          <w:sz w:val="32"/>
        </w:rPr>
        <w:t>2024年度收入总计2,308.20万元，</w:t>
      </w:r>
      <w:r>
        <w:rPr>
          <w:rFonts w:ascii="仿宋_GB2312" w:hAnsi="仿宋_GB2312" w:eastAsia="仿宋_GB2312"/>
          <w:b w:val="0"/>
          <w:sz w:val="32"/>
        </w:rPr>
        <w:t>其中：本年收入合计2,308.20万元，使用非财政拨款结余（含专用结余）0.00万元，年初结转和结余0.00万元。</w:t>
      </w:r>
    </w:p>
    <w:p w14:paraId="327BD2C9">
      <w:pPr>
        <w:spacing w:line="580" w:lineRule="exact"/>
        <w:ind w:firstLine="640"/>
        <w:jc w:val="both"/>
      </w:pPr>
      <w:r>
        <w:rPr>
          <w:rFonts w:ascii="仿宋_GB2312" w:hAnsi="仿宋_GB2312" w:eastAsia="仿宋_GB2312"/>
          <w:b/>
          <w:sz w:val="32"/>
        </w:rPr>
        <w:t>2024年度支出总计2,308.20万元，</w:t>
      </w:r>
      <w:r>
        <w:rPr>
          <w:rFonts w:ascii="仿宋_GB2312" w:hAnsi="仿宋_GB2312" w:eastAsia="仿宋_GB2312"/>
          <w:b w:val="0"/>
          <w:sz w:val="32"/>
        </w:rPr>
        <w:t>其中：本年支出合计2,308.20万元，结余分配0.00万元，年末结转和结余0.00万元。</w:t>
      </w:r>
    </w:p>
    <w:p w14:paraId="6E4C8F13">
      <w:pPr>
        <w:spacing w:line="580" w:lineRule="exact"/>
        <w:ind w:firstLine="640"/>
        <w:jc w:val="both"/>
      </w:pPr>
      <w:r>
        <w:rPr>
          <w:rFonts w:ascii="仿宋_GB2312" w:hAnsi="仿宋_GB2312" w:eastAsia="仿宋_GB2312"/>
          <w:b w:val="0"/>
          <w:sz w:val="32"/>
        </w:rPr>
        <w:t>收入支出总体与上年相比，减少41.36万元，下降1.76%，主要原因是：本年在职人员减少，相关人员经费较上年减少，幼儿人数减少，相关的公用经费较上年减少。</w:t>
      </w:r>
    </w:p>
    <w:p w14:paraId="367820B3">
      <w:pPr>
        <w:spacing w:line="640" w:lineRule="exact"/>
        <w:ind w:firstLine="640"/>
        <w:jc w:val="both"/>
        <w:outlineLvl w:val="2"/>
      </w:pPr>
      <w:r>
        <w:rPr>
          <w:rFonts w:ascii="黑体" w:hAnsi="黑体" w:eastAsia="黑体"/>
          <w:sz w:val="32"/>
        </w:rPr>
        <w:t>二、收入决算情况说明</w:t>
      </w:r>
    </w:p>
    <w:p w14:paraId="5C9C7CCA">
      <w:pPr>
        <w:spacing w:line="580" w:lineRule="exact"/>
        <w:ind w:firstLine="640"/>
        <w:jc w:val="both"/>
      </w:pPr>
      <w:r>
        <w:rPr>
          <w:rFonts w:ascii="仿宋_GB2312" w:hAnsi="仿宋_GB2312" w:eastAsia="仿宋_GB2312"/>
          <w:b/>
          <w:sz w:val="32"/>
        </w:rPr>
        <w:t>本年收入2,308.20万元，</w:t>
      </w:r>
      <w:r>
        <w:rPr>
          <w:rFonts w:ascii="仿宋_GB2312" w:hAnsi="仿宋_GB2312" w:eastAsia="仿宋_GB2312"/>
          <w:b w:val="0"/>
          <w:sz w:val="32"/>
        </w:rPr>
        <w:t>其中：财政拨款收入2,301.20万元，占99.70%；上级补助收入0.00万元，占0.00%；事业收入0.00万元，占0.00%；经营收入0.00万元，占0.00%；附属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上缴收入0.00万元，占0.00%；其他收入7.00万元，占0.30%。</w:t>
      </w:r>
    </w:p>
    <w:p w14:paraId="3FAC9FD0">
      <w:pPr>
        <w:spacing w:line="640" w:lineRule="exact"/>
        <w:ind w:firstLine="640"/>
        <w:jc w:val="both"/>
        <w:outlineLvl w:val="2"/>
      </w:pPr>
      <w:r>
        <w:rPr>
          <w:rFonts w:ascii="黑体" w:hAnsi="黑体" w:eastAsia="黑体"/>
          <w:sz w:val="32"/>
        </w:rPr>
        <w:t>三、支出决算情况说明</w:t>
      </w:r>
    </w:p>
    <w:p w14:paraId="37D9B93C">
      <w:pPr>
        <w:spacing w:line="580" w:lineRule="exact"/>
        <w:ind w:firstLine="640"/>
        <w:jc w:val="both"/>
      </w:pPr>
      <w:r>
        <w:rPr>
          <w:rFonts w:ascii="仿宋_GB2312" w:hAnsi="仿宋_GB2312" w:eastAsia="仿宋_GB2312"/>
          <w:b/>
          <w:sz w:val="32"/>
        </w:rPr>
        <w:t>本年支出2,308.20万元，</w:t>
      </w:r>
      <w:r>
        <w:rPr>
          <w:rFonts w:ascii="仿宋_GB2312" w:hAnsi="仿宋_GB2312" w:eastAsia="仿宋_GB2312"/>
          <w:b w:val="0"/>
          <w:sz w:val="32"/>
        </w:rPr>
        <w:t>其中：基本支出2,308.20万元，占100.00%；项目支出0.00万元，占0.00%；上缴上级支出0.00万元，占0.00%；经营支出0.00万元，占0.00%；对附属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451E52AC">
      <w:pPr>
        <w:spacing w:line="640" w:lineRule="exact"/>
        <w:ind w:firstLine="640"/>
        <w:jc w:val="both"/>
        <w:outlineLvl w:val="2"/>
      </w:pPr>
      <w:r>
        <w:rPr>
          <w:rFonts w:ascii="黑体" w:hAnsi="黑体" w:eastAsia="黑体"/>
          <w:sz w:val="32"/>
        </w:rPr>
        <w:t>四、财政拨款收入支出决算总体情况说明</w:t>
      </w:r>
    </w:p>
    <w:p w14:paraId="0A071675">
      <w:pPr>
        <w:spacing w:line="580" w:lineRule="exact"/>
        <w:ind w:firstLine="640"/>
        <w:jc w:val="both"/>
      </w:pPr>
      <w:r>
        <w:rPr>
          <w:rFonts w:ascii="仿宋_GB2312" w:hAnsi="仿宋_GB2312" w:eastAsia="仿宋_GB2312"/>
          <w:b/>
          <w:sz w:val="32"/>
        </w:rPr>
        <w:t>2024年度财政拨款收入总计2,301.20万元，</w:t>
      </w:r>
      <w:r>
        <w:rPr>
          <w:rFonts w:ascii="仿宋_GB2312" w:hAnsi="仿宋_GB2312" w:eastAsia="仿宋_GB2312"/>
          <w:b w:val="0"/>
          <w:sz w:val="32"/>
        </w:rPr>
        <w:t>其中：年初财政拨款结转和结余0.00万元，本年财政拨款收入2,301.20万元。</w:t>
      </w:r>
      <w:r>
        <w:rPr>
          <w:rFonts w:ascii="仿宋_GB2312" w:hAnsi="仿宋_GB2312" w:eastAsia="仿宋_GB2312"/>
          <w:b/>
          <w:sz w:val="32"/>
        </w:rPr>
        <w:t>财政拨款支出总计2,301.20万元，</w:t>
      </w:r>
      <w:r>
        <w:rPr>
          <w:rFonts w:ascii="仿宋_GB2312" w:hAnsi="仿宋_GB2312" w:eastAsia="仿宋_GB2312"/>
          <w:b w:val="0"/>
          <w:sz w:val="32"/>
        </w:rPr>
        <w:t>其中：年末财政拨款结转和结余0.00万元，本年财政拨款支出2,301.20万元。</w:t>
      </w:r>
    </w:p>
    <w:p w14:paraId="559A219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减少44.86万元，下降1.91%，主要原因是：本年在职人员减少，相关人员经费较上年减少，幼儿人数减少，相关的公用经费较上年减少。</w:t>
      </w:r>
      <w:r>
        <w:rPr>
          <w:rFonts w:ascii="仿宋_GB2312" w:hAnsi="仿宋_GB2312" w:eastAsia="仿宋_GB2312"/>
          <w:b/>
          <w:sz w:val="32"/>
        </w:rPr>
        <w:t>与年初预算相比，</w:t>
      </w:r>
      <w:r>
        <w:rPr>
          <w:rFonts w:ascii="仿宋_GB2312" w:hAnsi="仿宋_GB2312" w:eastAsia="仿宋_GB2312"/>
          <w:b w:val="0"/>
          <w:sz w:val="32"/>
        </w:rPr>
        <w:t>年初预算数1,861.23万元，决算数2,301.20万元，预决算差异率23.64%，主要原因是：年中追加人员工资调增部分资金、机关事业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医疗支出，导致预决算存在差异。</w:t>
      </w:r>
    </w:p>
    <w:p w14:paraId="47A84EB8">
      <w:pPr>
        <w:spacing w:line="640" w:lineRule="exact"/>
        <w:ind w:firstLine="640"/>
        <w:jc w:val="both"/>
        <w:outlineLvl w:val="2"/>
      </w:pPr>
      <w:r>
        <w:rPr>
          <w:rFonts w:ascii="黑体" w:hAnsi="黑体" w:eastAsia="黑体"/>
          <w:sz w:val="32"/>
        </w:rPr>
        <w:t>五、一般公共预算财政拨款支出决算情况说明</w:t>
      </w:r>
    </w:p>
    <w:p w14:paraId="00372DE3">
      <w:pPr>
        <w:spacing w:line="640" w:lineRule="exact"/>
        <w:ind w:firstLine="640"/>
        <w:jc w:val="both"/>
        <w:outlineLvl w:val="3"/>
      </w:pPr>
      <w:r>
        <w:rPr>
          <w:rFonts w:ascii="楷体_GB2312" w:hAnsi="楷体_GB2312" w:eastAsia="楷体_GB2312"/>
          <w:b/>
          <w:sz w:val="32"/>
        </w:rPr>
        <w:t>（一）一般公共预算财政拨款支出决算总体情况</w:t>
      </w:r>
    </w:p>
    <w:p w14:paraId="6FDE2DB2">
      <w:pPr>
        <w:spacing w:line="580" w:lineRule="exact"/>
        <w:ind w:firstLine="640"/>
        <w:jc w:val="both"/>
      </w:pPr>
      <w:r>
        <w:rPr>
          <w:rFonts w:ascii="仿宋_GB2312" w:hAnsi="仿宋_GB2312" w:eastAsia="仿宋_GB2312"/>
          <w:b/>
          <w:sz w:val="32"/>
        </w:rPr>
        <w:t>2024年度一般公共预算财政拨款支出2,301.20万元，</w:t>
      </w:r>
      <w:r>
        <w:rPr>
          <w:rFonts w:ascii="仿宋_GB2312" w:hAnsi="仿宋_GB2312" w:eastAsia="仿宋_GB2312"/>
          <w:b w:val="0"/>
          <w:sz w:val="32"/>
        </w:rPr>
        <w:t>占本年支出合计的99.70%。</w:t>
      </w:r>
      <w:r>
        <w:rPr>
          <w:rFonts w:ascii="仿宋_GB2312" w:hAnsi="仿宋_GB2312" w:eastAsia="仿宋_GB2312"/>
          <w:b/>
          <w:sz w:val="32"/>
        </w:rPr>
        <w:t>与上年相比，</w:t>
      </w:r>
      <w:r>
        <w:rPr>
          <w:rFonts w:ascii="仿宋_GB2312" w:hAnsi="仿宋_GB2312" w:eastAsia="仿宋_GB2312"/>
          <w:b w:val="0"/>
          <w:sz w:val="32"/>
        </w:rPr>
        <w:t>减少44.86万元，下降1.91%，主要原因是：本年在职人员减少，相关人员经费较上年减少，幼儿人数减少，相关的公用经费较上年减少。</w:t>
      </w:r>
      <w:r>
        <w:rPr>
          <w:rFonts w:ascii="仿宋_GB2312" w:hAnsi="仿宋_GB2312" w:eastAsia="仿宋_GB2312"/>
          <w:b/>
          <w:sz w:val="32"/>
        </w:rPr>
        <w:t>与年初预算相比,</w:t>
      </w:r>
      <w:r>
        <w:rPr>
          <w:rFonts w:ascii="仿宋_GB2312" w:hAnsi="仿宋_GB2312" w:eastAsia="仿宋_GB2312"/>
          <w:b w:val="0"/>
          <w:sz w:val="32"/>
        </w:rPr>
        <w:t>年初预算数1,861.23万元，决算数2,301.20万元，预决算差异率23.64%，主要原因是：年中追加人员工资调增部分资金、机关事业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医疗支出，导致预决算存在差异。</w:t>
      </w:r>
    </w:p>
    <w:p w14:paraId="7D76172F">
      <w:pPr>
        <w:spacing w:line="640" w:lineRule="exact"/>
        <w:ind w:firstLine="640"/>
        <w:jc w:val="both"/>
        <w:outlineLvl w:val="3"/>
      </w:pPr>
      <w:r>
        <w:rPr>
          <w:rFonts w:ascii="楷体_GB2312" w:hAnsi="楷体_GB2312" w:eastAsia="楷体_GB2312"/>
          <w:b/>
          <w:sz w:val="32"/>
        </w:rPr>
        <w:t>（二）一般公共预算财政拨款支出决算结构情况</w:t>
      </w:r>
    </w:p>
    <w:p w14:paraId="26494252">
      <w:pPr>
        <w:spacing w:line="580" w:lineRule="exact"/>
        <w:ind w:firstLine="640"/>
        <w:jc w:val="both"/>
      </w:pPr>
      <w:r>
        <w:rPr>
          <w:rFonts w:ascii="仿宋_GB2312" w:hAnsi="仿宋_GB2312" w:eastAsia="仿宋_GB2312"/>
          <w:b w:val="0"/>
          <w:sz w:val="32"/>
        </w:rPr>
        <w:t>1.教育支出(类)2,015.96万元,占87.60%。</w:t>
      </w:r>
    </w:p>
    <w:p w14:paraId="2B24A430">
      <w:pPr>
        <w:spacing w:line="580" w:lineRule="exact"/>
        <w:ind w:firstLine="640"/>
        <w:jc w:val="both"/>
      </w:pPr>
      <w:r>
        <w:rPr>
          <w:rFonts w:ascii="仿宋_GB2312" w:hAnsi="仿宋_GB2312" w:eastAsia="仿宋_GB2312"/>
          <w:b w:val="0"/>
          <w:sz w:val="32"/>
        </w:rPr>
        <w:t>2.社会保障和就业支出(类)123.60万元,占5.37%。</w:t>
      </w:r>
    </w:p>
    <w:p w14:paraId="5749B0C6">
      <w:pPr>
        <w:spacing w:line="580" w:lineRule="exact"/>
        <w:ind w:firstLine="640"/>
        <w:jc w:val="both"/>
      </w:pPr>
      <w:r>
        <w:rPr>
          <w:rFonts w:ascii="仿宋_GB2312" w:hAnsi="仿宋_GB2312" w:eastAsia="仿宋_GB2312"/>
          <w:b w:val="0"/>
          <w:sz w:val="32"/>
        </w:rPr>
        <w:t>3.卫生健康支出(类)18.69万元,占0.81%。</w:t>
      </w:r>
    </w:p>
    <w:p w14:paraId="0DD030B7">
      <w:pPr>
        <w:spacing w:line="580" w:lineRule="exact"/>
        <w:ind w:firstLine="640"/>
        <w:jc w:val="both"/>
      </w:pPr>
      <w:r>
        <w:rPr>
          <w:rFonts w:ascii="仿宋_GB2312" w:hAnsi="仿宋_GB2312" w:eastAsia="仿宋_GB2312"/>
          <w:b w:val="0"/>
          <w:sz w:val="32"/>
        </w:rPr>
        <w:t>4.住房保障支出(类)142.95万元,占6.21%。</w:t>
      </w:r>
    </w:p>
    <w:p w14:paraId="2393DF56">
      <w:pPr>
        <w:spacing w:line="640" w:lineRule="exact"/>
        <w:ind w:firstLine="640"/>
        <w:jc w:val="both"/>
        <w:outlineLvl w:val="3"/>
      </w:pPr>
      <w:r>
        <w:rPr>
          <w:rFonts w:ascii="楷体_GB2312" w:hAnsi="楷体_GB2312" w:eastAsia="楷体_GB2312"/>
          <w:b/>
          <w:sz w:val="32"/>
        </w:rPr>
        <w:t>（三）一般公共预算财政拨款支出决算具体情况</w:t>
      </w:r>
    </w:p>
    <w:p w14:paraId="4D27928F">
      <w:pPr>
        <w:spacing w:line="580" w:lineRule="exact"/>
        <w:ind w:firstLine="640"/>
        <w:jc w:val="both"/>
      </w:pPr>
      <w:r>
        <w:rPr>
          <w:rFonts w:ascii="仿宋_GB2312" w:hAnsi="仿宋_GB2312" w:eastAsia="仿宋_GB2312"/>
          <w:b w:val="0"/>
          <w:sz w:val="32"/>
        </w:rPr>
        <w:t>1.教育支出(类)普通教育(款)学前教育(项):支出决算数为2,015.96万元，比上年决算减少40.00万元，下降1.95%,主要原因是：本年在职人员减少，相关人员经费较上年减少，幼儿人数减少，相关的公用经费较上年减少；本年功能科目调整，部分住房公积金、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医疗支出上年度在主科目列支，本年单独列支，导致经费较上年减少。</w:t>
      </w:r>
    </w:p>
    <w:p w14:paraId="59C6E2B2">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基本养老保险缴费支出(项):支出决算数为123.60万元，比上年决算减少40.62万元，下降24.74%,主要原因是：本年</w:t>
      </w:r>
      <w:r>
        <w:rPr>
          <w:rFonts w:hint="eastAsia" w:ascii="仿宋_GB2312" w:hAnsi="仿宋_GB2312" w:eastAsia="仿宋_GB2312"/>
          <w:b w:val="0"/>
          <w:sz w:val="32"/>
          <w:lang w:eastAsia="zh-CN"/>
        </w:rPr>
        <w:t>本单位</w:t>
      </w:r>
      <w:r>
        <w:rPr>
          <w:rFonts w:ascii="仿宋_GB2312" w:hAnsi="仿宋_GB2312" w:eastAsia="仿宋_GB2312"/>
          <w:b w:val="0"/>
          <w:sz w:val="32"/>
        </w:rPr>
        <w:t>调出3人、辞职2人，</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基本养老保险缴费较上年减少。</w:t>
      </w:r>
    </w:p>
    <w:p w14:paraId="0AD9FD69">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职业年金缴费支出(项):支出决算数为0.00万元，比上年决算减少7.01万元，下降100.00%,主要原因是：本年无新增退休人员，职业年金缴费较上年减少。</w:t>
      </w:r>
    </w:p>
    <w:p w14:paraId="469442F5">
      <w:pPr>
        <w:spacing w:line="580" w:lineRule="exact"/>
        <w:ind w:firstLine="640"/>
        <w:jc w:val="both"/>
      </w:pPr>
      <w:r>
        <w:rPr>
          <w:rFonts w:ascii="仿宋_GB2312" w:hAnsi="仿宋_GB2312" w:eastAsia="仿宋_GB2312"/>
          <w:b w:val="0"/>
          <w:sz w:val="32"/>
        </w:rPr>
        <w:t>4.社会保障和就业支出(类)抚恤(款)死亡抚恤(项):支出决算数为0.00万元，比上年决算减少11.48万元，下降100.00%,主要原因是：本年无新增死亡人员，死亡抚恤支出较上年减少。</w:t>
      </w:r>
    </w:p>
    <w:p w14:paraId="7F8EED5D">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医疗(项):支出决算数为18.34万元，比上年决算增加18.34万元，增长100.00%,主要原因是：本年功能科目调整，事业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5C1EBC28">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医疗支出(项):支出决算数为0.35万元，比上年决算增加0.35万元，增长100.00%,主要原因是：本年功能科目调整，其他行政事业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51610B26">
      <w:pPr>
        <w:spacing w:line="580" w:lineRule="exact"/>
        <w:ind w:firstLine="640"/>
        <w:jc w:val="both"/>
      </w:pPr>
      <w:r>
        <w:rPr>
          <w:rFonts w:ascii="仿宋_GB2312" w:hAnsi="仿宋_GB2312" w:eastAsia="仿宋_GB2312"/>
          <w:b w:val="0"/>
          <w:sz w:val="32"/>
        </w:rPr>
        <w:t>7.住房保障支出(类)住房改革支出(款)住房公积金(项):支出决算数为142.95万元，比上年决算增加35.55万元，增长33.10%,主要原因是：本年在职人员工资基数调增，公积金缴费基数上涨，相应支出增加；本年功能科目调整，部分住房公积金上年度在主科目列支，本年单独列支，导致经费较上年增加。</w:t>
      </w:r>
    </w:p>
    <w:p w14:paraId="1C3A5B33">
      <w:pPr>
        <w:spacing w:line="640" w:lineRule="exact"/>
        <w:ind w:firstLine="640"/>
        <w:jc w:val="both"/>
        <w:outlineLvl w:val="2"/>
      </w:pPr>
      <w:r>
        <w:rPr>
          <w:rFonts w:ascii="黑体" w:hAnsi="黑体" w:eastAsia="黑体"/>
          <w:sz w:val="32"/>
        </w:rPr>
        <w:t>六、一般公共预算财政拨款基本支出决算情况说明</w:t>
      </w:r>
    </w:p>
    <w:p w14:paraId="60978A60">
      <w:pPr>
        <w:spacing w:line="580" w:lineRule="exact"/>
        <w:ind w:firstLine="640"/>
        <w:jc w:val="both"/>
      </w:pPr>
      <w:r>
        <w:rPr>
          <w:rFonts w:ascii="仿宋_GB2312" w:hAnsi="仿宋_GB2312" w:eastAsia="仿宋_GB2312"/>
          <w:b w:val="0"/>
          <w:sz w:val="32"/>
        </w:rPr>
        <w:t>2024年度一般公共预算财政拨款基本支出2,301.20万元，其中：</w:t>
      </w:r>
      <w:r>
        <w:rPr>
          <w:rFonts w:ascii="仿宋_GB2312" w:hAnsi="仿宋_GB2312" w:eastAsia="仿宋_GB2312"/>
          <w:b/>
          <w:sz w:val="32"/>
        </w:rPr>
        <w:t>人员经费2,136.09万元，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基本养老保险缴费、职工基本医疗保险缴费、其他社会保障缴费、住房公积金、退休费、生活补助。</w:t>
      </w:r>
    </w:p>
    <w:p w14:paraId="483C78E7">
      <w:pPr>
        <w:spacing w:line="580" w:lineRule="exact"/>
        <w:ind w:firstLine="640"/>
        <w:jc w:val="both"/>
      </w:pPr>
      <w:r>
        <w:rPr>
          <w:rFonts w:ascii="仿宋_GB2312" w:hAnsi="仿宋_GB2312" w:eastAsia="仿宋_GB2312"/>
          <w:b/>
          <w:sz w:val="32"/>
        </w:rPr>
        <w:t>公用经费165.11万元，</w:t>
      </w:r>
      <w:r>
        <w:rPr>
          <w:rFonts w:ascii="仿宋_GB2312" w:hAnsi="仿宋_GB2312" w:eastAsia="仿宋_GB2312"/>
          <w:b w:val="0"/>
          <w:sz w:val="32"/>
        </w:rPr>
        <w:t>包括：办公费、水费、电费、邮电费、取暖费、物业管理费、培训费、福利费、其他商品和服务支出。</w:t>
      </w:r>
    </w:p>
    <w:p w14:paraId="01A981DA">
      <w:pPr>
        <w:spacing w:line="640" w:lineRule="exact"/>
        <w:ind w:firstLine="640"/>
        <w:jc w:val="both"/>
        <w:outlineLvl w:val="2"/>
      </w:pPr>
      <w:r>
        <w:rPr>
          <w:rFonts w:ascii="黑体" w:hAnsi="黑体" w:eastAsia="黑体"/>
          <w:sz w:val="32"/>
        </w:rPr>
        <w:t>七、政府性基金预算财政拨款收入支出决算情况说明</w:t>
      </w:r>
    </w:p>
    <w:p w14:paraId="3B199A38">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0FC6E28B">
      <w:pPr>
        <w:spacing w:line="640" w:lineRule="exact"/>
        <w:ind w:firstLine="640"/>
        <w:jc w:val="both"/>
        <w:outlineLvl w:val="2"/>
      </w:pPr>
      <w:r>
        <w:rPr>
          <w:rFonts w:ascii="黑体" w:hAnsi="黑体" w:eastAsia="黑体"/>
          <w:sz w:val="32"/>
        </w:rPr>
        <w:t>八、国有资本经营预算财政拨款收入支出决算情况说明</w:t>
      </w:r>
    </w:p>
    <w:p w14:paraId="2EB7A48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173D2B02">
      <w:pPr>
        <w:spacing w:line="640" w:lineRule="exact"/>
        <w:ind w:firstLine="640"/>
        <w:jc w:val="both"/>
        <w:outlineLvl w:val="2"/>
      </w:pPr>
      <w:r>
        <w:rPr>
          <w:rFonts w:ascii="黑体" w:hAnsi="黑体" w:eastAsia="黑体"/>
          <w:sz w:val="32"/>
        </w:rPr>
        <w:t>九、财政拨款“三公”经费支出决算情况说明</w:t>
      </w:r>
    </w:p>
    <w:p w14:paraId="2C52BC70">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D8EAB34">
      <w:pPr>
        <w:spacing w:line="580" w:lineRule="exact"/>
        <w:ind w:firstLine="640"/>
        <w:jc w:val="both"/>
      </w:pPr>
      <w:r>
        <w:rPr>
          <w:rFonts w:ascii="仿宋_GB2312" w:hAnsi="仿宋_GB2312" w:eastAsia="仿宋_GB2312"/>
          <w:b/>
          <w:sz w:val="32"/>
        </w:rPr>
        <w:t>具体情况如下：</w:t>
      </w:r>
    </w:p>
    <w:p w14:paraId="73DFEDB9">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02A539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无公务用车运行维护费。公务用车购置数0辆，公务用车保有量0辆。国有资产占用情况中固定资产车辆0辆，与公务用车保有量差异原因是：本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无固定资产车辆。</w:t>
      </w:r>
    </w:p>
    <w:p w14:paraId="4F61B6C0">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4B18498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1E2F0E0">
      <w:pPr>
        <w:spacing w:line="640" w:lineRule="exact"/>
        <w:ind w:firstLine="640"/>
        <w:jc w:val="both"/>
        <w:outlineLvl w:val="2"/>
      </w:pPr>
      <w:r>
        <w:rPr>
          <w:rFonts w:ascii="黑体" w:hAnsi="黑体" w:eastAsia="黑体"/>
          <w:sz w:val="32"/>
        </w:rPr>
        <w:t>十、其他重要事项的情况说明</w:t>
      </w:r>
    </w:p>
    <w:p w14:paraId="72813466">
      <w:pPr>
        <w:spacing w:line="640" w:lineRule="exact"/>
        <w:ind w:firstLine="640"/>
        <w:jc w:val="both"/>
        <w:outlineLvl w:val="3"/>
      </w:pPr>
      <w:r>
        <w:rPr>
          <w:rFonts w:ascii="楷体_GB2312" w:hAnsi="楷体_GB2312" w:eastAsia="楷体_GB2312"/>
          <w:b/>
          <w:sz w:val="32"/>
        </w:rPr>
        <w:t>（一）机关运行经费及公用经费支出情况</w:t>
      </w:r>
    </w:p>
    <w:p w14:paraId="7D52849C">
      <w:pPr>
        <w:spacing w:line="580" w:lineRule="exact"/>
        <w:ind w:firstLine="640"/>
        <w:jc w:val="both"/>
      </w:pPr>
      <w:r>
        <w:rPr>
          <w:rFonts w:ascii="仿宋_GB2312" w:hAnsi="仿宋_GB2312" w:eastAsia="仿宋_GB2312"/>
          <w:b w:val="0"/>
          <w:sz w:val="32"/>
        </w:rPr>
        <w:t>2024年度特克斯县幼儿园（事业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）公用经费支出165.11万元，比上年减少53.20万元，下降24.37%，主要原因是：本年幼儿人数减少，相关的公用经费较上年减少。本年减少水费、电费、邮电费、取暖费、物业管理费、差旅费。</w:t>
      </w:r>
    </w:p>
    <w:p w14:paraId="421A849D">
      <w:pPr>
        <w:spacing w:line="640" w:lineRule="exact"/>
        <w:ind w:firstLine="640"/>
        <w:jc w:val="both"/>
        <w:outlineLvl w:val="3"/>
      </w:pPr>
      <w:r>
        <w:rPr>
          <w:rFonts w:ascii="楷体_GB2312" w:hAnsi="楷体_GB2312" w:eastAsia="楷体_GB2312"/>
          <w:b/>
          <w:sz w:val="32"/>
        </w:rPr>
        <w:t>（二）政府采购情况</w:t>
      </w:r>
    </w:p>
    <w:p w14:paraId="44555A90">
      <w:pPr>
        <w:spacing w:line="580" w:lineRule="exact"/>
        <w:ind w:firstLine="640"/>
        <w:jc w:val="both"/>
      </w:pPr>
      <w:r>
        <w:rPr>
          <w:rFonts w:ascii="仿宋_GB2312" w:hAnsi="仿宋_GB2312" w:eastAsia="仿宋_GB2312"/>
          <w:b w:val="0"/>
          <w:sz w:val="32"/>
        </w:rPr>
        <w:t>2024年度政府采购支出总额34.33万元，其中：政府采购货物支出27.67万元、政府采购工程支出0.00万元、政府采购服务支出6.65万元。</w:t>
      </w:r>
    </w:p>
    <w:p w14:paraId="36EB13EF">
      <w:pPr>
        <w:spacing w:line="580" w:lineRule="exact"/>
        <w:ind w:firstLine="640"/>
        <w:jc w:val="both"/>
      </w:pPr>
      <w:r>
        <w:rPr>
          <w:rFonts w:ascii="仿宋_GB2312" w:hAnsi="仿宋_GB2312" w:eastAsia="仿宋_GB2312"/>
          <w:b w:val="0"/>
          <w:sz w:val="32"/>
        </w:rPr>
        <w:t>授予中小企业合同金额34.33万元，占政府采购支出总额的100.00%，其中：授予小微企业合同金额34.33万元，占政府采购支出总额的100.00%。</w:t>
      </w:r>
    </w:p>
    <w:p w14:paraId="25C1450F">
      <w:pPr>
        <w:spacing w:line="640" w:lineRule="exact"/>
        <w:ind w:firstLine="640"/>
        <w:jc w:val="both"/>
        <w:outlineLvl w:val="3"/>
      </w:pPr>
      <w:r>
        <w:rPr>
          <w:rFonts w:ascii="楷体_GB2312" w:hAnsi="楷体_GB2312" w:eastAsia="楷体_GB2312"/>
          <w:b/>
          <w:sz w:val="32"/>
        </w:rPr>
        <w:t>（三）国有资产占用情况说明</w:t>
      </w:r>
    </w:p>
    <w:p w14:paraId="29744189">
      <w:pPr>
        <w:spacing w:line="580" w:lineRule="exact"/>
        <w:ind w:firstLine="640"/>
        <w:jc w:val="both"/>
      </w:pPr>
      <w:r>
        <w:rPr>
          <w:rFonts w:ascii="仿宋_GB2312" w:hAnsi="仿宋_GB2312" w:eastAsia="仿宋_GB2312"/>
          <w:b w:val="0"/>
          <w:sz w:val="32"/>
        </w:rPr>
        <w:t>截至2024年12月31日，房屋522.48平方米，价值22.33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78620C9B">
      <w:pPr>
        <w:spacing w:line="640" w:lineRule="exact"/>
        <w:ind w:firstLine="640"/>
        <w:jc w:val="both"/>
        <w:outlineLvl w:val="2"/>
      </w:pPr>
      <w:r>
        <w:rPr>
          <w:rFonts w:ascii="黑体" w:hAnsi="黑体" w:eastAsia="黑体"/>
          <w:sz w:val="32"/>
        </w:rPr>
        <w:t>十一、预算绩效的情况说明</w:t>
      </w:r>
    </w:p>
    <w:p w14:paraId="32979205">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2024年度预算绩效管理形成整体支出绩效自评表1个，全年预算总额2,308.20万元，实际执行总额2,308.20万元；预算绩效评价项目0个，全年预算数0.00万元，全年执行数0.00万元。预算绩效管理取得的成效：2024年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无预算绩效项目。发现的问题及原因：2024年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无预算绩效项目。下一步改进措施：2024年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无预算绩效项目。具体附整体支出绩效自评表。</w:t>
      </w:r>
    </w:p>
    <w:p w14:paraId="5882C25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327C49C">
        <w:tblPrEx>
          <w:tblCellMar>
            <w:top w:w="0" w:type="dxa"/>
            <w:left w:w="108" w:type="dxa"/>
            <w:bottom w:w="0" w:type="dxa"/>
            <w:right w:w="108" w:type="dxa"/>
          </w:tblCellMar>
        </w:tblPrEx>
        <w:tc>
          <w:tcPr>
            <w:tcW w:w="8840" w:type="dxa"/>
            <w:gridSpan w:val="8"/>
            <w:vAlign w:val="center"/>
          </w:tcPr>
          <w:p w14:paraId="43F0BF5E">
            <w:pPr>
              <w:jc w:val="center"/>
            </w:pPr>
            <w:r>
              <w:rPr>
                <w:rFonts w:hint="eastAsia" w:ascii="宋体" w:hAnsi="宋体"/>
                <w:sz w:val="24"/>
                <w:lang w:eastAsia="zh-CN"/>
              </w:rPr>
              <w:t>单位</w:t>
            </w:r>
            <w:r>
              <w:rPr>
                <w:rFonts w:ascii="宋体" w:hAnsi="宋体" w:eastAsia="宋体"/>
                <w:sz w:val="24"/>
              </w:rPr>
              <w:t>整体支出绩效自评表</w:t>
            </w:r>
          </w:p>
        </w:tc>
      </w:tr>
      <w:tr w14:paraId="3EBCD3F1">
        <w:tblPrEx>
          <w:tblCellMar>
            <w:top w:w="0" w:type="dxa"/>
            <w:left w:w="108" w:type="dxa"/>
            <w:bottom w:w="0" w:type="dxa"/>
            <w:right w:w="108" w:type="dxa"/>
          </w:tblCellMar>
        </w:tblPrEx>
        <w:tc>
          <w:tcPr>
            <w:tcW w:w="8840" w:type="dxa"/>
            <w:gridSpan w:val="8"/>
            <w:vAlign w:val="center"/>
          </w:tcPr>
          <w:p w14:paraId="345DD3F7">
            <w:pPr>
              <w:jc w:val="center"/>
            </w:pPr>
            <w:r>
              <w:rPr>
                <w:rFonts w:ascii="宋体" w:hAnsi="宋体" w:eastAsia="宋体"/>
                <w:sz w:val="24"/>
              </w:rPr>
              <w:t>（2024年度）</w:t>
            </w:r>
          </w:p>
        </w:tc>
      </w:tr>
      <w:tr w14:paraId="0319D02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551967">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C72942">
            <w:pPr>
              <w:jc w:val="center"/>
            </w:pPr>
            <w:r>
              <w:rPr>
                <w:rFonts w:ascii="宋体" w:hAnsi="宋体" w:eastAsia="宋体"/>
                <w:sz w:val="16"/>
              </w:rPr>
              <w:t>特克斯县幼儿园</w:t>
            </w:r>
          </w:p>
        </w:tc>
      </w:tr>
      <w:tr w14:paraId="72A0161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CEE1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B72A16">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85A73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FABCA">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3CEEA">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9BB50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19965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E3EA00">
            <w:pPr>
              <w:jc w:val="center"/>
            </w:pPr>
            <w:r>
              <w:rPr>
                <w:rFonts w:ascii="宋体" w:hAnsi="宋体" w:eastAsia="宋体"/>
                <w:sz w:val="16"/>
              </w:rPr>
              <w:t>得分</w:t>
            </w:r>
          </w:p>
        </w:tc>
      </w:tr>
      <w:tr w14:paraId="648DC04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3A3A9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C9BCB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131BE2">
            <w:pPr>
              <w:jc w:val="center"/>
            </w:pPr>
            <w:r>
              <w:rPr>
                <w:rFonts w:ascii="宋体" w:hAnsi="宋体" w:eastAsia="宋体"/>
                <w:sz w:val="16"/>
              </w:rPr>
              <w:t>1,861.23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5D2653">
            <w:pPr>
              <w:jc w:val="center"/>
            </w:pPr>
            <w:r>
              <w:rPr>
                <w:rFonts w:ascii="宋体" w:hAnsi="宋体" w:eastAsia="宋体"/>
                <w:sz w:val="16"/>
              </w:rPr>
              <w:t>2,308.20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E9B4E2">
            <w:pPr>
              <w:jc w:val="center"/>
            </w:pPr>
            <w:r>
              <w:rPr>
                <w:rFonts w:ascii="宋体" w:hAnsi="宋体" w:eastAsia="宋体"/>
                <w:sz w:val="16"/>
              </w:rPr>
              <w:t>2,308.20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5B00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6278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5C5968">
            <w:pPr>
              <w:jc w:val="center"/>
            </w:pPr>
            <w:r>
              <w:rPr>
                <w:rFonts w:ascii="宋体" w:hAnsi="宋体" w:eastAsia="宋体"/>
                <w:sz w:val="16"/>
              </w:rPr>
              <w:t>10</w:t>
            </w:r>
          </w:p>
        </w:tc>
      </w:tr>
      <w:tr w14:paraId="2DE7824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37D8A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7F6188">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8C367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FDA4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F9C1D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8EA79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23B74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9748BB">
            <w:pPr>
              <w:jc w:val="center"/>
            </w:pPr>
            <w:r>
              <w:rPr>
                <w:rFonts w:ascii="宋体" w:hAnsi="宋体" w:eastAsia="宋体"/>
                <w:sz w:val="16"/>
              </w:rPr>
              <w:t>-</w:t>
            </w:r>
          </w:p>
        </w:tc>
      </w:tr>
      <w:tr w14:paraId="1841135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06747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FE148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623615">
            <w:pPr>
              <w:jc w:val="center"/>
            </w:pPr>
            <w:r>
              <w:rPr>
                <w:rFonts w:ascii="宋体" w:hAnsi="宋体" w:eastAsia="宋体"/>
                <w:sz w:val="16"/>
              </w:rPr>
              <w:t>1,861.23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796A51">
            <w:pPr>
              <w:jc w:val="center"/>
            </w:pPr>
            <w:r>
              <w:rPr>
                <w:rFonts w:ascii="宋体" w:hAnsi="宋体" w:eastAsia="宋体"/>
                <w:sz w:val="16"/>
              </w:rPr>
              <w:t>2,301.20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E98CAD">
            <w:pPr>
              <w:jc w:val="center"/>
            </w:pPr>
            <w:r>
              <w:rPr>
                <w:rFonts w:ascii="宋体" w:hAnsi="宋体" w:eastAsia="宋体"/>
                <w:sz w:val="16"/>
              </w:rPr>
              <w:t>2,301.20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346EA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725D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8BF18">
            <w:pPr>
              <w:jc w:val="center"/>
            </w:pPr>
            <w:r>
              <w:rPr>
                <w:rFonts w:ascii="宋体" w:hAnsi="宋体" w:eastAsia="宋体"/>
                <w:sz w:val="16"/>
              </w:rPr>
              <w:t>-</w:t>
            </w:r>
          </w:p>
        </w:tc>
      </w:tr>
      <w:tr w14:paraId="7F95F60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FD391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0BCA8B">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662E7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3040CD">
            <w:pPr>
              <w:jc w:val="center"/>
            </w:pPr>
            <w:r>
              <w:rPr>
                <w:rFonts w:ascii="宋体" w:hAnsi="宋体" w:eastAsia="宋体"/>
                <w:sz w:val="16"/>
              </w:rPr>
              <w:t>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E3A215">
            <w:pPr>
              <w:jc w:val="center"/>
            </w:pPr>
            <w:r>
              <w:rPr>
                <w:rFonts w:ascii="宋体" w:hAnsi="宋体" w:eastAsia="宋体"/>
                <w:sz w:val="16"/>
              </w:rPr>
              <w:t>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60151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0A2E5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B05B9F">
            <w:pPr>
              <w:jc w:val="center"/>
            </w:pPr>
            <w:r>
              <w:rPr>
                <w:rFonts w:ascii="宋体" w:hAnsi="宋体" w:eastAsia="宋体"/>
                <w:sz w:val="16"/>
              </w:rPr>
              <w:t>-</w:t>
            </w:r>
          </w:p>
        </w:tc>
      </w:tr>
      <w:tr w14:paraId="7B12BED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2BCF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D1B12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66F38A">
            <w:pPr>
              <w:jc w:val="center"/>
            </w:pPr>
            <w:r>
              <w:rPr>
                <w:rFonts w:ascii="宋体" w:hAnsi="宋体" w:eastAsia="宋体"/>
                <w:sz w:val="16"/>
              </w:rPr>
              <w:t>实际完成情况</w:t>
            </w:r>
          </w:p>
        </w:tc>
      </w:tr>
      <w:tr w14:paraId="0A6A60A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6E9E84"/>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3BC99A">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学前教育优质均衡，有效促进优质均衡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5344C3">
            <w:pPr>
              <w:jc w:val="both"/>
            </w:pPr>
            <w:r>
              <w:rPr>
                <w:rFonts w:ascii="宋体" w:hAnsi="宋体" w:eastAsia="宋体"/>
                <w:sz w:val="16"/>
              </w:rPr>
              <w:t>一是通过学前教师开展“师徒结对”培训工作，提高了教师的教育教学水平及组织幼儿能力，达到了高质量育人效果。</w:t>
            </w:r>
            <w:r>
              <w:rPr>
                <w:rFonts w:ascii="宋体" w:hAnsi="宋体" w:eastAsia="宋体"/>
                <w:sz w:val="16"/>
              </w:rPr>
              <w:br w:type="textWrapping"/>
            </w:r>
            <w:r>
              <w:rPr>
                <w:rFonts w:ascii="宋体" w:hAnsi="宋体" w:eastAsia="宋体"/>
                <w:sz w:val="16"/>
              </w:rPr>
              <w:t>二是通过提高学前教育毛入园率工作，有效</w:t>
            </w:r>
            <w:r>
              <w:rPr>
                <w:rFonts w:hint="eastAsia" w:ascii="宋体" w:hAnsi="宋体"/>
                <w:sz w:val="16"/>
                <w:lang w:eastAsia="zh-CN"/>
              </w:rPr>
              <w:t>地</w:t>
            </w:r>
            <w:r>
              <w:rPr>
                <w:rFonts w:ascii="宋体" w:hAnsi="宋体" w:eastAsia="宋体"/>
                <w:sz w:val="16"/>
              </w:rPr>
              <w:t>提升幼儿入学率，达到了国家育人要求的目标。</w:t>
            </w:r>
            <w:r>
              <w:rPr>
                <w:rFonts w:ascii="宋体" w:hAnsi="宋体" w:eastAsia="宋体"/>
                <w:sz w:val="16"/>
              </w:rPr>
              <w:br w:type="textWrapping"/>
            </w:r>
            <w:r>
              <w:rPr>
                <w:rFonts w:ascii="宋体" w:hAnsi="宋体" w:eastAsia="宋体"/>
                <w:sz w:val="16"/>
              </w:rPr>
              <w:t>三是通过组织开展学前教育特色活动</w:t>
            </w:r>
            <w:r>
              <w:rPr>
                <w:rFonts w:hint="eastAsia" w:ascii="宋体" w:hAnsi="宋体"/>
                <w:sz w:val="16"/>
                <w:lang w:eastAsia="zh-CN"/>
              </w:rPr>
              <w:t>参加</w:t>
            </w:r>
            <w:r>
              <w:rPr>
                <w:rFonts w:ascii="宋体" w:hAnsi="宋体" w:eastAsia="宋体"/>
                <w:sz w:val="16"/>
              </w:rPr>
              <w:t>工作，有效</w:t>
            </w:r>
            <w:r>
              <w:rPr>
                <w:rFonts w:hint="eastAsia" w:ascii="宋体" w:hAnsi="宋体"/>
                <w:sz w:val="16"/>
                <w:lang w:eastAsia="zh-CN"/>
              </w:rPr>
              <w:t>地</w:t>
            </w:r>
            <w:r>
              <w:rPr>
                <w:rFonts w:ascii="宋体" w:hAnsi="宋体" w:eastAsia="宋体"/>
                <w:sz w:val="16"/>
              </w:rPr>
              <w:t>激发了幼儿的学习兴趣和主动性，并达到了国家育人要求的目标。</w:t>
            </w:r>
            <w:r>
              <w:rPr>
                <w:rFonts w:ascii="宋体" w:hAnsi="宋体" w:eastAsia="宋体"/>
                <w:sz w:val="16"/>
              </w:rPr>
              <w:br w:type="textWrapping"/>
            </w:r>
            <w:r>
              <w:rPr>
                <w:rFonts w:ascii="宋体" w:hAnsi="宋体" w:eastAsia="宋体"/>
                <w:sz w:val="16"/>
              </w:rPr>
              <w:t>四是通过全面推进国家通用语言文字教育教学工作，有效</w:t>
            </w:r>
            <w:r>
              <w:rPr>
                <w:rFonts w:hint="eastAsia" w:ascii="宋体" w:hAnsi="宋体"/>
                <w:sz w:val="16"/>
                <w:lang w:eastAsia="zh-CN"/>
              </w:rPr>
              <w:t>地</w:t>
            </w:r>
            <w:r>
              <w:rPr>
                <w:rFonts w:ascii="宋体" w:hAnsi="宋体" w:eastAsia="宋体"/>
                <w:sz w:val="16"/>
              </w:rPr>
              <w:t>改善了少数民族教职工国家通用语言水平，加强了教师队伍建设，提高了教育教学水平。</w:t>
            </w:r>
          </w:p>
        </w:tc>
      </w:tr>
      <w:tr w14:paraId="7A4FB93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24AD9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4CE1C9">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37B9A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EC1BFC">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88F22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0FE09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1EB6D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0FD3B9">
            <w:pPr>
              <w:jc w:val="center"/>
            </w:pPr>
            <w:r>
              <w:rPr>
                <w:rFonts w:ascii="宋体" w:hAnsi="宋体" w:eastAsia="宋体"/>
                <w:sz w:val="16"/>
              </w:rPr>
              <w:t>得分</w:t>
            </w:r>
          </w:p>
        </w:tc>
      </w:tr>
      <w:tr w14:paraId="518F3D5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872104">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F9236">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7FEEC7">
            <w:pPr>
              <w:jc w:val="center"/>
            </w:pPr>
            <w:r>
              <w:rPr>
                <w:rFonts w:ascii="宋体" w:hAnsi="宋体" w:eastAsia="宋体"/>
                <w:sz w:val="16"/>
              </w:rPr>
              <w:t>学前教师开展“师徒结对”培训次数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383B24">
            <w:pPr>
              <w:jc w:val="center"/>
            </w:pPr>
            <w:r>
              <w:rPr>
                <w:rFonts w:ascii="宋体" w:hAnsi="宋体" w:eastAsia="宋体"/>
                <w:sz w:val="16"/>
              </w:rPr>
              <w:t>&gt;=5次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36FC7">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663FB5">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69A026">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24F24A">
            <w:pPr>
              <w:jc w:val="center"/>
            </w:pPr>
            <w:r>
              <w:rPr>
                <w:rFonts w:ascii="宋体" w:hAnsi="宋体" w:eastAsia="宋体"/>
                <w:sz w:val="16"/>
              </w:rPr>
              <w:t>25</w:t>
            </w:r>
          </w:p>
        </w:tc>
      </w:tr>
      <w:tr w14:paraId="604473B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3FE4A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78562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5DB40D">
            <w:pPr>
              <w:jc w:val="center"/>
            </w:pPr>
            <w:r>
              <w:rPr>
                <w:rFonts w:ascii="宋体" w:hAnsi="宋体" w:eastAsia="宋体"/>
                <w:sz w:val="16"/>
              </w:rPr>
              <w:t>学前教育毛入园率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B917DF">
            <w:pPr>
              <w:jc w:val="center"/>
            </w:pPr>
            <w:r>
              <w:rPr>
                <w:rFonts w:ascii="宋体" w:hAnsi="宋体" w:eastAsia="宋体"/>
                <w:sz w:val="16"/>
              </w:rPr>
              <w:t>&gt;=99.50%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A2291E">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AB8BD">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F5D52B">
            <w:pPr>
              <w:jc w:val="center"/>
            </w:pPr>
            <w:r>
              <w:rPr>
                <w:rFonts w:ascii="宋体" w:hAnsi="宋体" w:eastAsia="宋体"/>
                <w:sz w:val="16"/>
              </w:rPr>
              <w:t>99.5%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57672F">
            <w:pPr>
              <w:jc w:val="center"/>
            </w:pPr>
            <w:r>
              <w:rPr>
                <w:rFonts w:ascii="宋体" w:hAnsi="宋体" w:eastAsia="宋体"/>
                <w:sz w:val="16"/>
              </w:rPr>
              <w:t>25</w:t>
            </w:r>
          </w:p>
        </w:tc>
      </w:tr>
      <w:tr w14:paraId="2476967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9F81C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8392B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7332E9">
            <w:pPr>
              <w:jc w:val="center"/>
            </w:pPr>
            <w:r>
              <w:rPr>
                <w:rFonts w:ascii="宋体" w:hAnsi="宋体" w:eastAsia="宋体"/>
                <w:sz w:val="16"/>
              </w:rPr>
              <w:t>学前教育特色活动举办次数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BF5143">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A40DD">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35F43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C29B10">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94CC96">
            <w:pPr>
              <w:jc w:val="center"/>
            </w:pPr>
            <w:r>
              <w:rPr>
                <w:rFonts w:ascii="宋体" w:hAnsi="宋体" w:eastAsia="宋体"/>
                <w:sz w:val="16"/>
              </w:rPr>
              <w:t>20</w:t>
            </w:r>
          </w:p>
        </w:tc>
      </w:tr>
      <w:tr w14:paraId="1E5431A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CF845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305EC8">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A80DCC">
            <w:pPr>
              <w:jc w:val="center"/>
            </w:pPr>
            <w:r>
              <w:rPr>
                <w:rFonts w:ascii="宋体" w:hAnsi="宋体" w:eastAsia="宋体"/>
                <w:sz w:val="16"/>
              </w:rPr>
              <w:t>国家通用语言文字教育教学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A203E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3389F1">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81073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4DE0C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1509BE">
            <w:pPr>
              <w:jc w:val="center"/>
            </w:pPr>
            <w:r>
              <w:rPr>
                <w:rFonts w:ascii="宋体" w:hAnsi="宋体" w:eastAsia="宋体"/>
                <w:sz w:val="16"/>
              </w:rPr>
              <w:t>20</w:t>
            </w:r>
          </w:p>
        </w:tc>
      </w:tr>
    </w:tbl>
    <w:p w14:paraId="0109F348">
      <w:r>
        <w:br w:type="page"/>
      </w:r>
    </w:p>
    <w:p w14:paraId="71541D68">
      <w:pPr>
        <w:spacing w:line="640" w:lineRule="exact"/>
        <w:ind w:firstLine="640"/>
        <w:jc w:val="both"/>
        <w:outlineLvl w:val="2"/>
      </w:pPr>
      <w:r>
        <w:rPr>
          <w:rFonts w:ascii="黑体" w:hAnsi="黑体" w:eastAsia="黑体"/>
          <w:sz w:val="32"/>
        </w:rPr>
        <w:t>十二、其他需说明的事项</w:t>
      </w:r>
    </w:p>
    <w:p w14:paraId="1AE16539">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4FE3774C">
      <w:r>
        <w:br w:type="page"/>
      </w:r>
    </w:p>
    <w:p w14:paraId="1B120F0A">
      <w:pPr>
        <w:spacing w:line="240" w:lineRule="auto"/>
        <w:jc w:val="center"/>
        <w:outlineLvl w:val="1"/>
      </w:pPr>
      <w:r>
        <w:rPr>
          <w:rFonts w:ascii="黑体" w:hAnsi="黑体" w:eastAsia="黑体"/>
          <w:sz w:val="32"/>
        </w:rPr>
        <w:t>第三部分 专业名词解释</w:t>
      </w:r>
    </w:p>
    <w:p w14:paraId="4F26C6E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6AABE1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42CF719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5238C96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63720C3">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25855D7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1C6E381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2288D1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BC756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E1B9D8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988620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53FC80A9">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5DD1E87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281F68F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0518779B">
      <w:r>
        <w:br w:type="page"/>
      </w:r>
    </w:p>
    <w:p w14:paraId="1695153E">
      <w:pPr>
        <w:spacing w:line="240" w:lineRule="auto"/>
        <w:jc w:val="center"/>
        <w:outlineLvl w:val="1"/>
      </w:pPr>
      <w:r>
        <w:rPr>
          <w:rFonts w:ascii="黑体" w:hAnsi="黑体" w:eastAsia="黑体"/>
          <w:sz w:val="32"/>
        </w:rPr>
        <w:t>第四部分 部门决算报表（见附表）</w:t>
      </w:r>
    </w:p>
    <w:p w14:paraId="33E0423B">
      <w:pPr>
        <w:spacing w:line="240" w:lineRule="auto"/>
        <w:ind w:firstLine="640"/>
        <w:jc w:val="both"/>
      </w:pPr>
      <w:r>
        <w:rPr>
          <w:rFonts w:ascii="仿宋_GB2312" w:hAnsi="仿宋_GB2312" w:eastAsia="仿宋_GB2312"/>
          <w:b w:val="0"/>
          <w:sz w:val="32"/>
        </w:rPr>
        <w:t>一、《收入支出决算总表》</w:t>
      </w:r>
    </w:p>
    <w:p w14:paraId="0183E904">
      <w:pPr>
        <w:spacing w:line="240" w:lineRule="auto"/>
        <w:ind w:firstLine="640"/>
        <w:jc w:val="both"/>
      </w:pPr>
      <w:r>
        <w:rPr>
          <w:rFonts w:ascii="仿宋_GB2312" w:hAnsi="仿宋_GB2312" w:eastAsia="仿宋_GB2312"/>
          <w:b w:val="0"/>
          <w:sz w:val="32"/>
        </w:rPr>
        <w:t>二、《收入决算表》</w:t>
      </w:r>
    </w:p>
    <w:p w14:paraId="54F5B7A0">
      <w:pPr>
        <w:spacing w:line="240" w:lineRule="auto"/>
        <w:ind w:firstLine="640"/>
        <w:jc w:val="both"/>
      </w:pPr>
      <w:r>
        <w:rPr>
          <w:rFonts w:ascii="仿宋_GB2312" w:hAnsi="仿宋_GB2312" w:eastAsia="仿宋_GB2312"/>
          <w:b w:val="0"/>
          <w:sz w:val="32"/>
        </w:rPr>
        <w:t>三、《支出决算表》</w:t>
      </w:r>
    </w:p>
    <w:p w14:paraId="0C386826">
      <w:pPr>
        <w:spacing w:line="240" w:lineRule="auto"/>
        <w:ind w:firstLine="640"/>
        <w:jc w:val="both"/>
      </w:pPr>
      <w:r>
        <w:rPr>
          <w:rFonts w:ascii="仿宋_GB2312" w:hAnsi="仿宋_GB2312" w:eastAsia="仿宋_GB2312"/>
          <w:b w:val="0"/>
          <w:sz w:val="32"/>
        </w:rPr>
        <w:t>四、《财政拨款收入支出决算总表》</w:t>
      </w:r>
    </w:p>
    <w:p w14:paraId="7D8D5669">
      <w:pPr>
        <w:spacing w:line="240" w:lineRule="auto"/>
        <w:ind w:firstLine="640"/>
        <w:jc w:val="both"/>
      </w:pPr>
      <w:r>
        <w:rPr>
          <w:rFonts w:ascii="仿宋_GB2312" w:hAnsi="仿宋_GB2312" w:eastAsia="仿宋_GB2312"/>
          <w:b w:val="0"/>
          <w:sz w:val="32"/>
        </w:rPr>
        <w:t>五、《一般公共预算财政拨款支出决算表》</w:t>
      </w:r>
    </w:p>
    <w:p w14:paraId="5A3B8442">
      <w:pPr>
        <w:spacing w:line="240" w:lineRule="auto"/>
        <w:ind w:firstLine="640"/>
        <w:jc w:val="both"/>
      </w:pPr>
      <w:r>
        <w:rPr>
          <w:rFonts w:ascii="仿宋_GB2312" w:hAnsi="仿宋_GB2312" w:eastAsia="仿宋_GB2312"/>
          <w:b w:val="0"/>
          <w:sz w:val="32"/>
        </w:rPr>
        <w:t>六、《一般公共预算财政拨款基本支出决算表》</w:t>
      </w:r>
    </w:p>
    <w:p w14:paraId="3EC32108">
      <w:pPr>
        <w:spacing w:line="240" w:lineRule="auto"/>
        <w:ind w:firstLine="640"/>
        <w:jc w:val="both"/>
      </w:pPr>
      <w:r>
        <w:rPr>
          <w:rFonts w:ascii="仿宋_GB2312" w:hAnsi="仿宋_GB2312" w:eastAsia="仿宋_GB2312"/>
          <w:b w:val="0"/>
          <w:sz w:val="32"/>
        </w:rPr>
        <w:t>七、《政府性基金预算财政拨款收入支出决算表》</w:t>
      </w:r>
    </w:p>
    <w:p w14:paraId="0250D5ED">
      <w:pPr>
        <w:spacing w:line="240" w:lineRule="auto"/>
        <w:ind w:firstLine="640"/>
        <w:jc w:val="both"/>
      </w:pPr>
      <w:r>
        <w:rPr>
          <w:rFonts w:ascii="仿宋_GB2312" w:hAnsi="仿宋_GB2312" w:eastAsia="仿宋_GB2312"/>
          <w:b w:val="0"/>
          <w:sz w:val="32"/>
        </w:rPr>
        <w:t>八、《国有资本经营预算财政拨款收入支出决算表》</w:t>
      </w:r>
    </w:p>
    <w:p w14:paraId="6FD52DC5">
      <w:pPr>
        <w:spacing w:line="240" w:lineRule="auto"/>
        <w:ind w:firstLine="640"/>
        <w:jc w:val="both"/>
      </w:pPr>
      <w:r>
        <w:rPr>
          <w:rFonts w:ascii="仿宋_GB2312" w:hAnsi="仿宋_GB2312" w:eastAsia="仿宋_GB2312"/>
          <w:b w:val="0"/>
          <w:sz w:val="32"/>
        </w:rPr>
        <w:t>九、《财政拨款“三公”经费支出决算表》</w:t>
      </w:r>
    </w:p>
    <w:p w14:paraId="1A867296">
      <w:pPr>
        <w:spacing w:line="240" w:lineRule="auto"/>
        <w:ind w:firstLine="640"/>
        <w:jc w:val="both"/>
      </w:pPr>
    </w:p>
    <w:p w14:paraId="54D78FA2">
      <w:pPr>
        <w:spacing w:line="240" w:lineRule="auto"/>
        <w:ind w:firstLine="640"/>
        <w:jc w:val="both"/>
      </w:pPr>
    </w:p>
    <w:p w14:paraId="3966686D">
      <w:pPr>
        <w:spacing w:line="240" w:lineRule="auto"/>
        <w:ind w:firstLine="640"/>
        <w:jc w:val="both"/>
      </w:pPr>
    </w:p>
    <w:p w14:paraId="69DBFF3E">
      <w:pPr>
        <w:spacing w:line="240" w:lineRule="auto"/>
        <w:ind w:firstLine="640"/>
        <w:jc w:val="both"/>
      </w:pPr>
    </w:p>
    <w:p w14:paraId="2B7200B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6A5B9B"/>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B12FB"/>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7B1D03"/>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21babb-236c-44e3-adbd-5097c7920a96}">
  <ds:schemaRefs/>
</ds:datastoreItem>
</file>

<file path=docProps/app.xml><?xml version="1.0" encoding="utf-8"?>
<Properties xmlns="http://schemas.openxmlformats.org/officeDocument/2006/extended-properties" xmlns:vt="http://schemas.openxmlformats.org/officeDocument/2006/docPropsVTypes">
  <Template>Normal.dotm</Template>
  <Pages>17</Pages>
  <Words>4365</Words>
  <Characters>5073</Characters>
  <Lines>0</Lines>
  <Paragraphs>0</Paragraphs>
  <TotalTime>1</TotalTime>
  <ScaleCrop>false</ScaleCrop>
  <LinksUpToDate>false</LinksUpToDate>
  <CharactersWithSpaces>5081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