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A7932C"/>
    <w:p w14:paraId="48AAA2A5">
      <w:pPr>
        <w:spacing w:line="540" w:lineRule="exact"/>
        <w:jc w:val="center"/>
        <w:rPr>
          <w:rFonts w:hint="default" w:ascii="Times New Roman" w:hAnsi="Times New Roman" w:eastAsia="华文中宋" w:cs="Times New Roman"/>
          <w:b/>
          <w:color w:val="auto"/>
          <w:kern w:val="0"/>
          <w:sz w:val="52"/>
          <w:szCs w:val="52"/>
          <w:highlight w:val="none"/>
        </w:rPr>
      </w:pPr>
    </w:p>
    <w:p w14:paraId="0A87290B">
      <w:pPr>
        <w:spacing w:line="540" w:lineRule="exact"/>
        <w:rPr>
          <w:rFonts w:hint="default" w:ascii="Times New Roman" w:hAnsi="Times New Roman" w:eastAsia="华文中宋" w:cs="Times New Roman"/>
          <w:b/>
          <w:color w:val="auto"/>
          <w:kern w:val="0"/>
          <w:sz w:val="52"/>
          <w:szCs w:val="52"/>
          <w:highlight w:val="none"/>
        </w:rPr>
      </w:pPr>
    </w:p>
    <w:p w14:paraId="2A3064EB">
      <w:pPr>
        <w:spacing w:line="540" w:lineRule="exact"/>
        <w:jc w:val="center"/>
        <w:rPr>
          <w:rFonts w:hint="default" w:ascii="Times New Roman" w:hAnsi="Times New Roman" w:eastAsia="华文中宋" w:cs="Times New Roman"/>
          <w:b/>
          <w:color w:val="auto"/>
          <w:kern w:val="0"/>
          <w:sz w:val="52"/>
          <w:szCs w:val="52"/>
          <w:highlight w:val="none"/>
        </w:rPr>
      </w:pPr>
    </w:p>
    <w:p w14:paraId="3FA298D7">
      <w:pPr>
        <w:spacing w:line="540" w:lineRule="exact"/>
        <w:jc w:val="center"/>
        <w:rPr>
          <w:rFonts w:hint="default" w:ascii="Times New Roman" w:hAnsi="Times New Roman" w:eastAsia="华文中宋" w:cs="Times New Roman"/>
          <w:b/>
          <w:color w:val="auto"/>
          <w:kern w:val="0"/>
          <w:sz w:val="52"/>
          <w:szCs w:val="52"/>
          <w:highlight w:val="none"/>
        </w:rPr>
      </w:pPr>
    </w:p>
    <w:p w14:paraId="71C9D584">
      <w:pPr>
        <w:spacing w:line="540" w:lineRule="exact"/>
        <w:jc w:val="center"/>
        <w:rPr>
          <w:rFonts w:hint="default" w:ascii="Times New Roman" w:hAnsi="Times New Roman" w:eastAsia="方正小标宋_GBK" w:cs="Times New Roman"/>
          <w:color w:val="auto"/>
          <w:kern w:val="0"/>
          <w:sz w:val="48"/>
          <w:szCs w:val="48"/>
          <w:highlight w:val="none"/>
        </w:rPr>
      </w:pPr>
      <w:r>
        <w:rPr>
          <w:rFonts w:hint="eastAsia" w:ascii="方正小标宋简体" w:hAnsi="方正小标宋简体" w:eastAsia="方正小标宋简体" w:cs="方正小标宋简体"/>
          <w:color w:val="auto"/>
          <w:kern w:val="0"/>
          <w:sz w:val="44"/>
          <w:szCs w:val="44"/>
          <w:highlight w:val="none"/>
          <w:lang w:eastAsia="zh-CN"/>
        </w:rPr>
        <w:t>特克斯县审计局</w:t>
      </w:r>
      <w:r>
        <w:rPr>
          <w:rFonts w:hint="eastAsia" w:ascii="方正小标宋简体" w:hAnsi="方正小标宋简体" w:eastAsia="方正小标宋简体" w:cs="方正小标宋简体"/>
          <w:color w:val="auto"/>
          <w:kern w:val="0"/>
          <w:sz w:val="44"/>
          <w:szCs w:val="44"/>
          <w:highlight w:val="none"/>
        </w:rPr>
        <w:t>项目支出绩效评价报告</w:t>
      </w:r>
    </w:p>
    <w:p w14:paraId="411F485E">
      <w:pPr>
        <w:spacing w:line="540" w:lineRule="exact"/>
        <w:jc w:val="center"/>
        <w:rPr>
          <w:rFonts w:hint="default" w:ascii="Times New Roman" w:hAnsi="Times New Roman" w:eastAsia="华文中宋" w:cs="Times New Roman"/>
          <w:b/>
          <w:color w:val="auto"/>
          <w:kern w:val="0"/>
          <w:sz w:val="52"/>
          <w:szCs w:val="52"/>
          <w:highlight w:val="none"/>
        </w:rPr>
      </w:pPr>
    </w:p>
    <w:p w14:paraId="19FA2351">
      <w:pPr>
        <w:spacing w:line="540" w:lineRule="exact"/>
        <w:jc w:val="center"/>
        <w:rPr>
          <w:rFonts w:hint="default" w:ascii="Times New Roman" w:hAnsi="Times New Roman" w:eastAsia="仿宋_GB2312" w:cs="Times New Roman"/>
          <w:color w:val="auto"/>
          <w:kern w:val="0"/>
          <w:sz w:val="36"/>
          <w:szCs w:val="36"/>
          <w:highlight w:val="none"/>
        </w:rPr>
      </w:pPr>
      <w:r>
        <w:rPr>
          <w:rFonts w:hint="default" w:ascii="Times New Roman" w:hAnsi="Times New Roman" w:eastAsia="仿宋_GB2312" w:cs="Times New Roman"/>
          <w:color w:val="auto"/>
          <w:kern w:val="0"/>
          <w:sz w:val="36"/>
          <w:szCs w:val="36"/>
          <w:highlight w:val="none"/>
        </w:rPr>
        <w:t>（202</w:t>
      </w:r>
      <w:r>
        <w:rPr>
          <w:rFonts w:hint="default" w:ascii="Times New Roman" w:hAnsi="Times New Roman" w:eastAsia="仿宋_GB2312" w:cs="Times New Roman"/>
          <w:color w:val="auto"/>
          <w:kern w:val="0"/>
          <w:sz w:val="36"/>
          <w:szCs w:val="36"/>
          <w:highlight w:val="none"/>
          <w:lang w:val="en-US" w:eastAsia="zh-CN"/>
        </w:rPr>
        <w:t>4</w:t>
      </w:r>
      <w:r>
        <w:rPr>
          <w:rFonts w:hint="default" w:ascii="Times New Roman" w:hAnsi="Times New Roman" w:eastAsia="仿宋_GB2312" w:cs="Times New Roman"/>
          <w:color w:val="auto"/>
          <w:kern w:val="0"/>
          <w:sz w:val="36"/>
          <w:szCs w:val="36"/>
          <w:highlight w:val="none"/>
        </w:rPr>
        <w:t>年度）</w:t>
      </w:r>
    </w:p>
    <w:p w14:paraId="1A4DF557">
      <w:pPr>
        <w:spacing w:line="540" w:lineRule="exact"/>
        <w:jc w:val="center"/>
        <w:rPr>
          <w:rFonts w:hint="default" w:ascii="Times New Roman" w:hAnsi="Times New Roman" w:eastAsia="仿宋_GB2312" w:cs="Times New Roman"/>
          <w:color w:val="auto"/>
          <w:kern w:val="0"/>
          <w:sz w:val="30"/>
          <w:szCs w:val="30"/>
          <w:highlight w:val="none"/>
        </w:rPr>
      </w:pPr>
    </w:p>
    <w:p w14:paraId="26596B4A">
      <w:pPr>
        <w:spacing w:line="540" w:lineRule="exact"/>
        <w:jc w:val="center"/>
        <w:rPr>
          <w:rFonts w:hint="default" w:ascii="Times New Roman" w:hAnsi="Times New Roman" w:eastAsia="仿宋_GB2312" w:cs="Times New Roman"/>
          <w:color w:val="auto"/>
          <w:kern w:val="0"/>
          <w:sz w:val="30"/>
          <w:szCs w:val="30"/>
          <w:highlight w:val="none"/>
        </w:rPr>
      </w:pPr>
    </w:p>
    <w:p w14:paraId="09A27230">
      <w:pPr>
        <w:spacing w:line="540" w:lineRule="exact"/>
        <w:jc w:val="center"/>
        <w:rPr>
          <w:rFonts w:hint="default" w:ascii="Times New Roman" w:hAnsi="Times New Roman" w:eastAsia="仿宋_GB2312" w:cs="Times New Roman"/>
          <w:color w:val="auto"/>
          <w:kern w:val="0"/>
          <w:sz w:val="30"/>
          <w:szCs w:val="30"/>
          <w:highlight w:val="none"/>
        </w:rPr>
      </w:pPr>
    </w:p>
    <w:p w14:paraId="28332A2C">
      <w:pPr>
        <w:pStyle w:val="9"/>
        <w:rPr>
          <w:rFonts w:hint="default" w:ascii="Times New Roman" w:hAnsi="Times New Roman" w:cs="Times New Roman"/>
          <w:color w:val="auto"/>
          <w:highlight w:val="none"/>
        </w:rPr>
      </w:pPr>
    </w:p>
    <w:p w14:paraId="2F193FE5">
      <w:pPr>
        <w:spacing w:line="540" w:lineRule="exact"/>
        <w:jc w:val="center"/>
        <w:rPr>
          <w:rFonts w:hint="default" w:ascii="Times New Roman" w:hAnsi="Times New Roman" w:eastAsia="仿宋_GB2312" w:cs="Times New Roman"/>
          <w:color w:val="auto"/>
          <w:kern w:val="0"/>
          <w:sz w:val="30"/>
          <w:szCs w:val="30"/>
          <w:highlight w:val="none"/>
        </w:rPr>
      </w:pPr>
    </w:p>
    <w:p w14:paraId="291AE0C1">
      <w:pPr>
        <w:spacing w:line="540" w:lineRule="exact"/>
        <w:rPr>
          <w:rFonts w:hint="default" w:ascii="Times New Roman" w:hAnsi="Times New Roman" w:eastAsia="仿宋_GB2312" w:cs="Times New Roman"/>
          <w:color w:val="auto"/>
          <w:kern w:val="0"/>
          <w:sz w:val="30"/>
          <w:szCs w:val="30"/>
          <w:highlight w:val="none"/>
        </w:rPr>
      </w:pPr>
    </w:p>
    <w:p w14:paraId="03604DCA">
      <w:pPr>
        <w:spacing w:line="700" w:lineRule="exact"/>
        <w:ind w:firstLine="1280" w:firstLineChars="400"/>
        <w:jc w:val="left"/>
        <w:rPr>
          <w:rFonts w:hint="default" w:eastAsia="仿宋_GB2312" w:cs="Times New Roman"/>
          <w:color w:val="auto"/>
          <w:kern w:val="0"/>
          <w:sz w:val="32"/>
          <w:szCs w:val="32"/>
          <w:highlight w:val="none"/>
          <w:lang w:eastAsia="zh-CN"/>
        </w:rPr>
      </w:pPr>
      <w:r>
        <w:rPr>
          <w:rFonts w:hint="default" w:ascii="Times New Roman" w:hAnsi="Times New Roman" w:eastAsia="仿宋_GB2312" w:cs="Times New Roman"/>
          <w:color w:val="auto"/>
          <w:kern w:val="0"/>
          <w:sz w:val="32"/>
          <w:szCs w:val="32"/>
          <w:highlight w:val="none"/>
        </w:rPr>
        <w:t>项目名称：</w:t>
      </w:r>
      <w:r>
        <w:rPr>
          <w:rFonts w:hint="default" w:eastAsia="仿宋_GB2312" w:cs="Times New Roman"/>
          <w:color w:val="auto"/>
          <w:kern w:val="0"/>
          <w:sz w:val="32"/>
          <w:szCs w:val="32"/>
          <w:highlight w:val="none"/>
          <w:lang w:eastAsia="zh-CN"/>
        </w:rPr>
        <w:t>项目结算审计费</w:t>
      </w:r>
    </w:p>
    <w:p w14:paraId="6E73BF12">
      <w:pPr>
        <w:spacing w:line="700" w:lineRule="exact"/>
        <w:ind w:firstLine="1280" w:firstLineChars="400"/>
        <w:jc w:val="left"/>
        <w:rPr>
          <w:rFonts w:hint="eastAsia" w:ascii="Times New Roman" w:hAnsi="Times New Roman" w:eastAsia="仿宋_GB2312" w:cs="Times New Roman"/>
          <w:color w:val="auto"/>
          <w:kern w:val="0"/>
          <w:sz w:val="32"/>
          <w:szCs w:val="32"/>
          <w:highlight w:val="none"/>
          <w:lang w:eastAsia="zh-CN"/>
        </w:rPr>
      </w:pPr>
      <w:r>
        <w:rPr>
          <w:rFonts w:hint="default" w:ascii="Times New Roman" w:hAnsi="Times New Roman" w:eastAsia="仿宋_GB2312" w:cs="Times New Roman"/>
          <w:color w:val="auto"/>
          <w:kern w:val="0"/>
          <w:sz w:val="32"/>
          <w:szCs w:val="32"/>
          <w:highlight w:val="none"/>
        </w:rPr>
        <w:t>实施单位（公章）：</w:t>
      </w:r>
      <w:r>
        <w:rPr>
          <w:rFonts w:hint="eastAsia" w:eastAsia="仿宋_GB2312" w:cs="Times New Roman"/>
          <w:color w:val="auto"/>
          <w:kern w:val="0"/>
          <w:sz w:val="32"/>
          <w:szCs w:val="32"/>
          <w:highlight w:val="none"/>
          <w:lang w:eastAsia="zh-CN"/>
        </w:rPr>
        <w:t>特克斯县审计局</w:t>
      </w:r>
    </w:p>
    <w:p w14:paraId="3B65AE72">
      <w:pPr>
        <w:spacing w:line="700" w:lineRule="exact"/>
        <w:ind w:firstLine="1280" w:firstLineChars="400"/>
        <w:jc w:val="left"/>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主管部门（公章）：</w:t>
      </w:r>
      <w:r>
        <w:rPr>
          <w:rFonts w:hint="eastAsia" w:eastAsia="仿宋_GB2312" w:cs="Times New Roman"/>
          <w:color w:val="auto"/>
          <w:kern w:val="0"/>
          <w:sz w:val="32"/>
          <w:szCs w:val="32"/>
          <w:highlight w:val="none"/>
          <w:lang w:eastAsia="zh-CN"/>
        </w:rPr>
        <w:t>特克斯县审计局</w:t>
      </w:r>
    </w:p>
    <w:p w14:paraId="7B2BCC38">
      <w:pPr>
        <w:spacing w:line="700" w:lineRule="exact"/>
        <w:ind w:firstLine="1280" w:firstLineChars="400"/>
        <w:jc w:val="left"/>
        <w:rPr>
          <w:rFonts w:hint="eastAsia" w:eastAsia="仿宋_GB2312" w:cs="Times New Roman"/>
          <w:color w:val="auto"/>
          <w:kern w:val="0"/>
          <w:sz w:val="32"/>
          <w:szCs w:val="32"/>
          <w:highlight w:val="none"/>
          <w:lang w:eastAsia="zh-CN"/>
        </w:rPr>
      </w:pPr>
      <w:r>
        <w:rPr>
          <w:rFonts w:hint="default" w:ascii="Times New Roman" w:hAnsi="Times New Roman" w:eastAsia="仿宋_GB2312" w:cs="Times New Roman"/>
          <w:color w:val="auto"/>
          <w:kern w:val="0"/>
          <w:sz w:val="32"/>
          <w:szCs w:val="32"/>
          <w:highlight w:val="none"/>
        </w:rPr>
        <w:t>项目负责人（签章）：</w:t>
      </w:r>
      <w:r>
        <w:rPr>
          <w:rFonts w:hint="eastAsia" w:eastAsia="仿宋_GB2312" w:cs="Times New Roman"/>
          <w:color w:val="auto"/>
          <w:kern w:val="0"/>
          <w:sz w:val="32"/>
          <w:szCs w:val="32"/>
          <w:highlight w:val="none"/>
          <w:lang w:eastAsia="zh-CN"/>
        </w:rPr>
        <w:t>张华</w:t>
      </w:r>
    </w:p>
    <w:p w14:paraId="37018277">
      <w:pPr>
        <w:spacing w:line="700" w:lineRule="exact"/>
        <w:ind w:firstLine="1280" w:firstLineChars="400"/>
        <w:jc w:val="left"/>
        <w:rPr>
          <w:rFonts w:hint="default" w:ascii="Times New Roman" w:hAnsi="Times New Roman" w:eastAsia="仿宋_GB2312" w:cs="Times New Roman"/>
          <w:color w:val="auto"/>
          <w:kern w:val="0"/>
          <w:sz w:val="36"/>
          <w:szCs w:val="36"/>
          <w:highlight w:val="none"/>
        </w:rPr>
      </w:pPr>
      <w:r>
        <w:rPr>
          <w:rFonts w:hint="default" w:ascii="Times New Roman" w:hAnsi="Times New Roman" w:eastAsia="仿宋_GB2312" w:cs="Times New Roman"/>
          <w:color w:val="auto"/>
          <w:kern w:val="0"/>
          <w:sz w:val="32"/>
          <w:szCs w:val="32"/>
          <w:highlight w:val="none"/>
        </w:rPr>
        <w:t>填报时间：</w:t>
      </w:r>
      <w:r>
        <w:rPr>
          <w:rFonts w:hint="eastAsia" w:eastAsia="仿宋_GB2312" w:cs="Times New Roman"/>
          <w:color w:val="auto"/>
          <w:kern w:val="0"/>
          <w:sz w:val="32"/>
          <w:szCs w:val="32"/>
          <w:highlight w:val="none"/>
          <w:lang w:val="en-US" w:eastAsia="zh-CN"/>
        </w:rPr>
        <w:t>2025</w:t>
      </w:r>
      <w:r>
        <w:rPr>
          <w:rFonts w:hint="default" w:ascii="Times New Roman" w:hAnsi="Times New Roman" w:eastAsia="仿宋_GB2312" w:cs="Times New Roman"/>
          <w:color w:val="auto"/>
          <w:kern w:val="0"/>
          <w:sz w:val="32"/>
          <w:szCs w:val="32"/>
          <w:highlight w:val="none"/>
        </w:rPr>
        <w:t>年</w:t>
      </w:r>
      <w:r>
        <w:rPr>
          <w:rFonts w:hint="eastAsia" w:eastAsia="仿宋_GB2312" w:cs="Times New Roman"/>
          <w:color w:val="auto"/>
          <w:kern w:val="0"/>
          <w:sz w:val="32"/>
          <w:szCs w:val="32"/>
          <w:highlight w:val="none"/>
          <w:lang w:val="en-US" w:eastAsia="zh-CN"/>
        </w:rPr>
        <w:t>5</w:t>
      </w:r>
      <w:r>
        <w:rPr>
          <w:rFonts w:hint="default" w:ascii="Times New Roman" w:hAnsi="Times New Roman" w:eastAsia="仿宋_GB2312" w:cs="Times New Roman"/>
          <w:color w:val="auto"/>
          <w:kern w:val="0"/>
          <w:sz w:val="32"/>
          <w:szCs w:val="32"/>
          <w:highlight w:val="none"/>
        </w:rPr>
        <w:t>月</w:t>
      </w:r>
      <w:r>
        <w:rPr>
          <w:rFonts w:hint="eastAsia" w:eastAsia="仿宋_GB2312" w:cs="Times New Roman"/>
          <w:color w:val="auto"/>
          <w:kern w:val="0"/>
          <w:sz w:val="32"/>
          <w:szCs w:val="32"/>
          <w:highlight w:val="none"/>
          <w:lang w:val="en-US" w:eastAsia="zh-CN"/>
        </w:rPr>
        <w:t>21</w:t>
      </w:r>
      <w:r>
        <w:rPr>
          <w:rFonts w:hint="default" w:ascii="Times New Roman" w:hAnsi="Times New Roman" w:eastAsia="仿宋_GB2312" w:cs="Times New Roman"/>
          <w:color w:val="auto"/>
          <w:kern w:val="0"/>
          <w:sz w:val="32"/>
          <w:szCs w:val="32"/>
          <w:highlight w:val="none"/>
        </w:rPr>
        <w:t>日</w:t>
      </w:r>
    </w:p>
    <w:p w14:paraId="4CEFDF2B">
      <w:pPr>
        <w:spacing w:line="540" w:lineRule="exact"/>
        <w:jc w:val="center"/>
        <w:rPr>
          <w:rFonts w:hint="default" w:ascii="Times New Roman" w:hAnsi="Times New Roman" w:eastAsia="仿宋_GB2312" w:cs="Times New Roman"/>
          <w:color w:val="auto"/>
          <w:kern w:val="0"/>
          <w:sz w:val="30"/>
          <w:szCs w:val="30"/>
          <w:highlight w:val="none"/>
        </w:rPr>
      </w:pPr>
    </w:p>
    <w:p w14:paraId="783EEF4F">
      <w:pPr>
        <w:spacing w:line="540" w:lineRule="exact"/>
        <w:rPr>
          <w:rStyle w:val="15"/>
          <w:rFonts w:hint="default" w:ascii="Times New Roman" w:hAnsi="Times New Roman" w:eastAsia="黑体" w:cs="Times New Roman"/>
          <w:b w:val="0"/>
          <w:color w:val="auto"/>
          <w:spacing w:val="-4"/>
          <w:sz w:val="32"/>
          <w:szCs w:val="32"/>
          <w:highlight w:val="none"/>
        </w:rPr>
      </w:pPr>
    </w:p>
    <w:p w14:paraId="236637BE">
      <w:pPr>
        <w:spacing w:line="540" w:lineRule="exact"/>
        <w:rPr>
          <w:rStyle w:val="15"/>
          <w:rFonts w:hint="default" w:ascii="Times New Roman" w:hAnsi="Times New Roman" w:eastAsia="黑体" w:cs="Times New Roman"/>
          <w:b w:val="0"/>
          <w:color w:val="auto"/>
          <w:spacing w:val="-4"/>
          <w:sz w:val="32"/>
          <w:szCs w:val="32"/>
          <w:highlight w:val="none"/>
        </w:rPr>
      </w:pPr>
    </w:p>
    <w:p w14:paraId="7BBE81D1">
      <w:pPr>
        <w:spacing w:line="560" w:lineRule="exact"/>
        <w:ind w:firstLine="640" w:firstLineChars="200"/>
        <w:rPr>
          <w:rFonts w:hint="default" w:ascii="Times New Roman" w:hAnsi="Times New Roman" w:eastAsia="黑体" w:cs="Times New Roman"/>
          <w:bCs/>
          <w:color w:val="auto"/>
          <w:sz w:val="32"/>
          <w:szCs w:val="32"/>
          <w:highlight w:val="none"/>
        </w:rPr>
        <w:sectPr>
          <w:pgSz w:w="11906" w:h="16838"/>
          <w:pgMar w:top="2098" w:right="1531" w:bottom="1984" w:left="1531" w:header="851" w:footer="992" w:gutter="0"/>
          <w:cols w:space="425" w:num="1"/>
          <w:docGrid w:type="lines" w:linePitch="312" w:charSpace="0"/>
        </w:sectPr>
      </w:pPr>
    </w:p>
    <w:p w14:paraId="29582126">
      <w:pPr>
        <w:spacing w:line="560" w:lineRule="exact"/>
        <w:ind w:firstLine="640" w:firstLineChars="200"/>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一、基本情况</w:t>
      </w:r>
    </w:p>
    <w:p w14:paraId="6FF1B8B9">
      <w:pPr>
        <w:spacing w:line="560" w:lineRule="exact"/>
        <w:ind w:firstLine="643" w:firstLineChars="200"/>
        <w:rPr>
          <w:rFonts w:hint="default" w:ascii="Times New Roman" w:hAnsi="Times New Roman" w:eastAsia="楷体_GB2312" w:cs="Times New Roman"/>
          <w:b/>
          <w:bCs/>
          <w:color w:val="auto"/>
          <w:sz w:val="32"/>
          <w:szCs w:val="32"/>
          <w:highlight w:val="none"/>
        </w:rPr>
      </w:pPr>
      <w:r>
        <w:rPr>
          <w:rFonts w:hint="default" w:ascii="Times New Roman" w:hAnsi="Times New Roman" w:eastAsia="楷体_GB2312" w:cs="Times New Roman"/>
          <w:b/>
          <w:bCs/>
          <w:color w:val="auto"/>
          <w:sz w:val="32"/>
          <w:szCs w:val="32"/>
          <w:highlight w:val="none"/>
        </w:rPr>
        <w:t>（一）项目概况</w:t>
      </w:r>
    </w:p>
    <w:p w14:paraId="767C8806">
      <w:pPr>
        <w:spacing w:line="560" w:lineRule="exact"/>
        <w:ind w:firstLine="643" w:firstLineChars="200"/>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t>1</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b/>
          <w:bCs/>
          <w:color w:val="auto"/>
          <w:sz w:val="32"/>
          <w:szCs w:val="32"/>
          <w:highlight w:val="none"/>
        </w:rPr>
        <w:t>项目背景</w:t>
      </w:r>
    </w:p>
    <w:p w14:paraId="2FC68DF1">
      <w:pPr>
        <w:pStyle w:val="9"/>
        <w:numPr>
          <w:ilvl w:val="0"/>
          <w:numId w:val="0"/>
        </w:numPr>
        <w:spacing w:before="0" w:after="0" w:line="560" w:lineRule="exact"/>
        <w:ind w:firstLine="600" w:firstLineChars="200"/>
        <w:jc w:val="both"/>
        <w:rPr>
          <w:rFonts w:hint="eastAsia" w:ascii="Times New Roman" w:hAnsi="Times New Roman" w:eastAsia="仿宋_GB2312" w:cs="Times New Roman"/>
          <w:b w:val="0"/>
          <w:bCs w:val="0"/>
          <w:color w:val="auto"/>
          <w:kern w:val="2"/>
          <w:sz w:val="30"/>
          <w:szCs w:val="30"/>
          <w:highlight w:val="none"/>
          <w:lang w:val="en-US" w:eastAsia="zh-CN" w:bidi="ar-SA"/>
        </w:rPr>
      </w:pPr>
      <w:r>
        <w:rPr>
          <w:rFonts w:hint="eastAsia" w:ascii="Times New Roman" w:hAnsi="Times New Roman" w:eastAsia="仿宋_GB2312" w:cs="Times New Roman"/>
          <w:b w:val="0"/>
          <w:bCs w:val="0"/>
          <w:color w:val="auto"/>
          <w:kern w:val="2"/>
          <w:sz w:val="30"/>
          <w:szCs w:val="30"/>
          <w:highlight w:val="none"/>
          <w:lang w:val="en-US" w:eastAsia="zh-CN" w:bidi="ar-SA"/>
        </w:rPr>
        <w:t>《中华人民共和国审计法》第二十三条，特克斯县审计局项目计划安排，审计对政府投资和以政府投资为主的建设项目的预算执行情况和决算，对其他关系国家利益和公共利益的重大公共工程项目的资金管理使用和建设运营情况，进行审计监督。</w:t>
      </w:r>
    </w:p>
    <w:p w14:paraId="4D341CFC">
      <w:pPr>
        <w:pStyle w:val="9"/>
        <w:numPr>
          <w:ilvl w:val="0"/>
          <w:numId w:val="0"/>
        </w:numPr>
        <w:spacing w:before="0" w:after="0" w:line="560" w:lineRule="exact"/>
        <w:ind w:firstLine="643" w:firstLineChars="200"/>
        <w:jc w:val="both"/>
        <w:rPr>
          <w:rFonts w:hint="default" w:ascii="Times New Roman" w:hAnsi="Times New Roman" w:eastAsia="仿宋_GB2312" w:cs="Times New Roman"/>
          <w:color w:val="auto"/>
          <w:kern w:val="2"/>
          <w:highlight w:val="none"/>
        </w:rPr>
      </w:pPr>
      <w:r>
        <w:rPr>
          <w:rFonts w:hint="default" w:ascii="Times New Roman" w:hAnsi="Times New Roman" w:eastAsia="仿宋_GB2312" w:cs="Times New Roman"/>
          <w:color w:val="auto"/>
          <w:kern w:val="2"/>
          <w:highlight w:val="none"/>
          <w:lang w:val="en-US" w:eastAsia="zh-CN"/>
        </w:rPr>
        <w:t>2.</w:t>
      </w:r>
      <w:r>
        <w:rPr>
          <w:rFonts w:hint="default" w:ascii="Times New Roman" w:hAnsi="Times New Roman" w:eastAsia="仿宋_GB2312" w:cs="Times New Roman"/>
          <w:color w:val="auto"/>
          <w:kern w:val="2"/>
          <w:highlight w:val="none"/>
        </w:rPr>
        <w:t>项目主要内容：</w:t>
      </w:r>
    </w:p>
    <w:p w14:paraId="6DD47686">
      <w:pPr>
        <w:spacing w:line="560" w:lineRule="exact"/>
        <w:ind w:firstLine="600" w:firstLineChars="200"/>
        <w:rPr>
          <w:rFonts w:hint="default" w:ascii="Times New Roman" w:hAnsi="Times New Roman" w:eastAsia="仿宋_GB2312" w:cs="Times New Roman"/>
          <w:b w:val="0"/>
          <w:bCs w:val="0"/>
          <w:color w:val="auto"/>
          <w:kern w:val="2"/>
          <w:sz w:val="30"/>
          <w:szCs w:val="30"/>
          <w:highlight w:val="none"/>
          <w:lang w:val="en-US" w:eastAsia="zh-CN" w:bidi="ar-SA"/>
        </w:rPr>
      </w:pPr>
      <w:r>
        <w:rPr>
          <w:rFonts w:hint="default" w:ascii="Times New Roman" w:hAnsi="Times New Roman" w:eastAsia="仿宋_GB2312" w:cs="Times New Roman"/>
          <w:color w:val="auto"/>
          <w:sz w:val="30"/>
          <w:szCs w:val="30"/>
          <w:highlight w:val="none"/>
          <w:lang w:val="en-US" w:eastAsia="zh-CN"/>
        </w:rPr>
        <w:t>项目主要内容：</w:t>
      </w:r>
      <w:r>
        <w:rPr>
          <w:rFonts w:hint="eastAsia" w:ascii="Times New Roman" w:hAnsi="Times New Roman" w:eastAsia="仿宋_GB2312" w:cs="Times New Roman"/>
          <w:b w:val="0"/>
          <w:bCs w:val="0"/>
          <w:color w:val="auto"/>
          <w:kern w:val="2"/>
          <w:sz w:val="30"/>
          <w:szCs w:val="30"/>
          <w:highlight w:val="none"/>
          <w:lang w:val="en-US" w:eastAsia="zh-CN" w:bidi="ar-SA"/>
        </w:rPr>
        <w:t>以促进加快项目健身进度，提高投资效益为目标，重点关注政府投资项目落地、资金管理使用、工程建设管理和绩效、企业减负、拖欠农民工工资等情况。进一步规范聘请中介季机构参与投资审计工作，严格要求，规范操作，明确全责，强化审计质量控制，加强对中介机构参与审计项目的监督，确保审计质量，委托第三方对巴喀勒克水库项目</w:t>
      </w:r>
      <w:r>
        <w:rPr>
          <w:rFonts w:hint="eastAsia" w:eastAsia="仿宋_GB2312" w:cs="Times New Roman"/>
          <w:b w:val="0"/>
          <w:bCs w:val="0"/>
          <w:color w:val="auto"/>
          <w:kern w:val="2"/>
          <w:sz w:val="30"/>
          <w:szCs w:val="30"/>
          <w:highlight w:val="none"/>
          <w:lang w:val="en-US" w:eastAsia="zh-CN" w:bidi="ar-SA"/>
        </w:rPr>
        <w:t>、人居环境项目和ZYJNJYPXZX建设项目</w:t>
      </w:r>
      <w:r>
        <w:rPr>
          <w:rFonts w:hint="eastAsia" w:ascii="Times New Roman" w:hAnsi="Times New Roman" w:eastAsia="仿宋_GB2312" w:cs="Times New Roman"/>
          <w:b w:val="0"/>
          <w:bCs w:val="0"/>
          <w:color w:val="auto"/>
          <w:kern w:val="2"/>
          <w:sz w:val="30"/>
          <w:szCs w:val="30"/>
          <w:highlight w:val="none"/>
          <w:lang w:val="en-US" w:eastAsia="zh-CN" w:bidi="ar-SA"/>
        </w:rPr>
        <w:t>进行结算审核。</w:t>
      </w:r>
    </w:p>
    <w:p w14:paraId="5029EC57">
      <w:pPr>
        <w:spacing w:line="560" w:lineRule="exact"/>
        <w:ind w:firstLine="640" w:firstLineChars="200"/>
        <w:rPr>
          <w:rFonts w:hint="eastAsia" w:ascii="Times New Roman" w:hAnsi="Times New Roman" w:eastAsia="仿宋_GB2312" w:cs="Times New Roman"/>
          <w:color w:val="auto"/>
          <w:highlight w:val="none"/>
          <w:lang w:eastAsia="zh-CN"/>
        </w:rPr>
      </w:pPr>
      <w:r>
        <w:rPr>
          <w:rFonts w:hint="default" w:ascii="Times New Roman" w:hAnsi="Times New Roman" w:eastAsia="仿宋_GB2312" w:cs="Times New Roman"/>
          <w:color w:val="auto"/>
          <w:sz w:val="32"/>
          <w:szCs w:val="32"/>
          <w:highlight w:val="none"/>
        </w:rPr>
        <w:t>项目实施情况：</w:t>
      </w:r>
      <w:r>
        <w:rPr>
          <w:rFonts w:hint="eastAsia" w:eastAsia="仿宋_GB2312" w:cs="Times New Roman"/>
          <w:color w:val="auto"/>
          <w:sz w:val="32"/>
          <w:szCs w:val="32"/>
          <w:highlight w:val="none"/>
          <w:lang w:val="en-US" w:eastAsia="zh-CN"/>
        </w:rPr>
        <w:t>截至2024年12月</w:t>
      </w:r>
      <w:r>
        <w:rPr>
          <w:rFonts w:hint="eastAsia" w:ascii="Times New Roman" w:hAnsi="Times New Roman" w:eastAsia="仿宋_GB2312" w:cs="Times New Roman"/>
          <w:b w:val="0"/>
          <w:bCs w:val="0"/>
          <w:color w:val="auto"/>
          <w:kern w:val="2"/>
          <w:sz w:val="30"/>
          <w:szCs w:val="30"/>
          <w:highlight w:val="none"/>
          <w:lang w:val="en-US" w:eastAsia="zh-CN" w:bidi="ar-SA"/>
        </w:rPr>
        <w:t>巴喀勒克水库项目</w:t>
      </w:r>
      <w:r>
        <w:rPr>
          <w:rFonts w:hint="eastAsia" w:eastAsia="仿宋_GB2312" w:cs="Times New Roman"/>
          <w:b w:val="0"/>
          <w:bCs w:val="0"/>
          <w:color w:val="auto"/>
          <w:kern w:val="2"/>
          <w:sz w:val="30"/>
          <w:szCs w:val="30"/>
          <w:highlight w:val="none"/>
          <w:lang w:val="en-US" w:eastAsia="zh-CN" w:bidi="ar-SA"/>
        </w:rPr>
        <w:t>、人居环境项目和ZYJNJYPXZX建设项目三个项目已完工，已支付暂付款项目结算费100.73万元，其中：</w:t>
      </w:r>
      <w:r>
        <w:rPr>
          <w:rFonts w:hint="eastAsia" w:ascii="Times New Roman" w:hAnsi="Times New Roman" w:eastAsia="仿宋_GB2312" w:cs="Times New Roman"/>
          <w:b w:val="0"/>
          <w:bCs w:val="0"/>
          <w:color w:val="auto"/>
          <w:kern w:val="2"/>
          <w:sz w:val="30"/>
          <w:szCs w:val="30"/>
          <w:highlight w:val="none"/>
          <w:lang w:val="en-US" w:eastAsia="zh-CN" w:bidi="ar-SA"/>
        </w:rPr>
        <w:t>巴喀勒克水库项目</w:t>
      </w:r>
      <w:r>
        <w:rPr>
          <w:rFonts w:hint="eastAsia" w:eastAsia="仿宋_GB2312" w:cs="Times New Roman"/>
          <w:b w:val="0"/>
          <w:bCs w:val="0"/>
          <w:color w:val="auto"/>
          <w:kern w:val="2"/>
          <w:sz w:val="30"/>
          <w:szCs w:val="30"/>
          <w:highlight w:val="none"/>
          <w:lang w:val="en-US" w:eastAsia="zh-CN" w:bidi="ar-SA"/>
        </w:rPr>
        <w:t>审计结算费30.37万元、人居环境项目审计结算费60万元、ZYJNJYPXZX建设项目审计结算费10万元</w:t>
      </w:r>
      <w:r>
        <w:rPr>
          <w:rFonts w:hint="eastAsia" w:ascii="Times New Roman" w:hAnsi="Times New Roman" w:eastAsia="仿宋_GB2312" w:cs="Times New Roman"/>
          <w:b w:val="0"/>
          <w:bCs w:val="0"/>
          <w:color w:val="auto"/>
          <w:kern w:val="2"/>
          <w:sz w:val="30"/>
          <w:szCs w:val="30"/>
          <w:highlight w:val="none"/>
          <w:lang w:val="en-US" w:eastAsia="zh-CN" w:bidi="ar-SA"/>
        </w:rPr>
        <w:t>。</w:t>
      </w:r>
    </w:p>
    <w:p w14:paraId="081AD2DB">
      <w:pPr>
        <w:spacing w:line="560" w:lineRule="exact"/>
        <w:ind w:firstLine="643" w:firstLineChars="200"/>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t>3</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b/>
          <w:bCs/>
          <w:color w:val="auto"/>
          <w:sz w:val="32"/>
          <w:szCs w:val="32"/>
          <w:highlight w:val="none"/>
        </w:rPr>
        <w:t>资金投入和使用情况</w:t>
      </w:r>
    </w:p>
    <w:p w14:paraId="4D7379E0">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（1）资金投入情况</w:t>
      </w:r>
    </w:p>
    <w:p w14:paraId="7558BAD3">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该项目年初预算数</w:t>
      </w:r>
      <w:r>
        <w:rPr>
          <w:rFonts w:hint="eastAsia" w:eastAsia="仿宋_GB2312" w:cs="Times New Roman"/>
          <w:color w:val="auto"/>
          <w:sz w:val="32"/>
          <w:szCs w:val="32"/>
          <w:highlight w:val="none"/>
          <w:lang w:val="en-US" w:eastAsia="zh-CN"/>
        </w:rPr>
        <w:t>100.73</w:t>
      </w:r>
      <w:r>
        <w:rPr>
          <w:rFonts w:hint="default" w:ascii="Times New Roman" w:hAnsi="Times New Roman" w:eastAsia="仿宋_GB2312" w:cs="Times New Roman"/>
          <w:color w:val="auto"/>
          <w:sz w:val="32"/>
          <w:szCs w:val="32"/>
          <w:highlight w:val="none"/>
          <w:lang w:val="en-US" w:eastAsia="zh-CN"/>
        </w:rPr>
        <w:t>万元，全年预算数100.73万元，该项目资金已全部落实到位，资金来源为</w:t>
      </w:r>
      <w:r>
        <w:rPr>
          <w:rFonts w:hint="eastAsia" w:eastAsia="仿宋_GB2312" w:cs="Times New Roman"/>
          <w:color w:val="auto"/>
          <w:sz w:val="32"/>
          <w:szCs w:val="32"/>
          <w:highlight w:val="none"/>
          <w:lang w:val="en-US" w:eastAsia="zh-CN"/>
        </w:rPr>
        <w:t>财政拨款</w:t>
      </w:r>
      <w:r>
        <w:rPr>
          <w:rFonts w:hint="default" w:ascii="Times New Roman" w:hAnsi="Times New Roman" w:eastAsia="仿宋_GB2312" w:cs="Times New Roman"/>
          <w:color w:val="auto"/>
          <w:sz w:val="32"/>
          <w:szCs w:val="32"/>
          <w:highlight w:val="none"/>
          <w:lang w:val="en-US" w:eastAsia="zh-CN"/>
        </w:rPr>
        <w:t>。</w:t>
      </w:r>
    </w:p>
    <w:p w14:paraId="2120ACEB">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（2）资金使用情况</w:t>
      </w:r>
    </w:p>
    <w:p w14:paraId="4E8E5C48">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该项目年初预算数</w:t>
      </w:r>
      <w:r>
        <w:rPr>
          <w:rFonts w:hint="eastAsia" w:eastAsia="仿宋_GB2312" w:cs="Times New Roman"/>
          <w:color w:val="auto"/>
          <w:sz w:val="32"/>
          <w:szCs w:val="32"/>
          <w:highlight w:val="none"/>
          <w:lang w:val="en-US" w:eastAsia="zh-CN"/>
        </w:rPr>
        <w:t>100.73</w:t>
      </w:r>
      <w:r>
        <w:rPr>
          <w:rFonts w:hint="default" w:ascii="Times New Roman" w:hAnsi="Times New Roman" w:eastAsia="仿宋_GB2312" w:cs="Times New Roman"/>
          <w:color w:val="auto"/>
          <w:sz w:val="32"/>
          <w:szCs w:val="32"/>
          <w:highlight w:val="none"/>
          <w:lang w:val="en-US" w:eastAsia="zh-CN"/>
        </w:rPr>
        <w:t>万元，全年预算数</w:t>
      </w:r>
      <w:r>
        <w:rPr>
          <w:rFonts w:hint="eastAsia" w:eastAsia="仿宋_GB2312" w:cs="Times New Roman"/>
          <w:color w:val="auto"/>
          <w:sz w:val="32"/>
          <w:szCs w:val="32"/>
          <w:highlight w:val="none"/>
          <w:lang w:val="en-US" w:eastAsia="zh-CN"/>
        </w:rPr>
        <w:t>100.73</w:t>
      </w:r>
      <w:r>
        <w:rPr>
          <w:rFonts w:hint="default" w:ascii="Times New Roman" w:hAnsi="Times New Roman" w:eastAsia="仿宋_GB2312" w:cs="Times New Roman"/>
          <w:color w:val="auto"/>
          <w:sz w:val="32"/>
          <w:szCs w:val="32"/>
          <w:highlight w:val="none"/>
          <w:lang w:val="en-US" w:eastAsia="zh-CN"/>
        </w:rPr>
        <w:t>万元，全年执行数</w:t>
      </w:r>
      <w:r>
        <w:rPr>
          <w:rFonts w:hint="eastAsia" w:eastAsia="仿宋_GB2312" w:cs="Times New Roman"/>
          <w:color w:val="auto"/>
          <w:sz w:val="32"/>
          <w:szCs w:val="32"/>
          <w:highlight w:val="none"/>
          <w:lang w:val="en-US" w:eastAsia="zh-CN"/>
        </w:rPr>
        <w:t>100.73</w:t>
      </w:r>
      <w:r>
        <w:rPr>
          <w:rFonts w:hint="default" w:ascii="Times New Roman" w:hAnsi="Times New Roman" w:eastAsia="仿宋_GB2312" w:cs="Times New Roman"/>
          <w:color w:val="auto"/>
          <w:sz w:val="32"/>
          <w:szCs w:val="32"/>
          <w:highlight w:val="none"/>
          <w:lang w:val="en-US" w:eastAsia="zh-CN"/>
        </w:rPr>
        <w:t>万元，预算执行率为</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%，主要用于：委托第三方对巴喀勒克水库项目、人居环境项目和ZYJNJYPXZX建设项目</w:t>
      </w:r>
      <w:r>
        <w:rPr>
          <w:rFonts w:hint="eastAsia" w:eastAsia="仿宋_GB2312" w:cs="Times New Roman"/>
          <w:color w:val="auto"/>
          <w:sz w:val="32"/>
          <w:szCs w:val="32"/>
          <w:highlight w:val="none"/>
          <w:lang w:val="en-US" w:eastAsia="zh-CN"/>
        </w:rPr>
        <w:t>三个项目</w:t>
      </w:r>
      <w:r>
        <w:rPr>
          <w:rFonts w:hint="default" w:ascii="Times New Roman" w:hAnsi="Times New Roman" w:eastAsia="仿宋_GB2312" w:cs="Times New Roman"/>
          <w:color w:val="auto"/>
          <w:sz w:val="32"/>
          <w:szCs w:val="32"/>
          <w:highlight w:val="none"/>
          <w:lang w:val="en-US" w:eastAsia="zh-CN"/>
        </w:rPr>
        <w:t>进行结算审核。</w:t>
      </w:r>
    </w:p>
    <w:p w14:paraId="33667F16">
      <w:pPr>
        <w:spacing w:line="560" w:lineRule="exact"/>
        <w:ind w:firstLine="643" w:firstLineChars="200"/>
        <w:rPr>
          <w:rFonts w:hint="default" w:ascii="Times New Roman" w:hAnsi="Times New Roman" w:eastAsia="楷体_GB2312" w:cs="Times New Roman"/>
          <w:b/>
          <w:bCs/>
          <w:color w:val="auto"/>
          <w:sz w:val="32"/>
          <w:szCs w:val="32"/>
          <w:highlight w:val="none"/>
        </w:rPr>
      </w:pPr>
      <w:r>
        <w:rPr>
          <w:rFonts w:hint="default" w:ascii="Times New Roman" w:hAnsi="Times New Roman" w:eastAsia="楷体_GB2312" w:cs="Times New Roman"/>
          <w:b/>
          <w:bCs/>
          <w:color w:val="auto"/>
          <w:sz w:val="32"/>
          <w:szCs w:val="32"/>
          <w:highlight w:val="none"/>
        </w:rPr>
        <w:t>（二）项目绩效目标</w:t>
      </w:r>
    </w:p>
    <w:p w14:paraId="745F4828">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总体目标</w:t>
      </w:r>
    </w:p>
    <w:p w14:paraId="332C7DBD">
      <w:pPr>
        <w:spacing w:line="560" w:lineRule="exact"/>
        <w:ind w:firstLine="640" w:firstLineChars="200"/>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对项目成果进行审查，使财政资金发挥更大效益</w:t>
      </w:r>
      <w:r>
        <w:rPr>
          <w:rFonts w:hint="eastAsia" w:ascii="Times New Roman" w:hAnsi="Times New Roman" w:eastAsia="仿宋_GB2312" w:cs="Times New Roman"/>
          <w:color w:val="auto"/>
          <w:sz w:val="32"/>
          <w:szCs w:val="32"/>
          <w:highlight w:val="none"/>
          <w:lang w:eastAsia="zh-CN"/>
        </w:rPr>
        <w:t>。</w:t>
      </w:r>
    </w:p>
    <w:p w14:paraId="12B8F42D">
      <w:pPr>
        <w:numPr>
          <w:ilvl w:val="0"/>
          <w:numId w:val="0"/>
        </w:numPr>
        <w:spacing w:line="560" w:lineRule="exact"/>
        <w:ind w:firstLine="640" w:firstLineChars="200"/>
        <w:rPr>
          <w:rFonts w:hint="default" w:ascii="Times New Roman" w:hAnsi="Times New Roman"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阶段性目标</w:t>
      </w:r>
    </w:p>
    <w:p w14:paraId="22AFD0C9">
      <w:pPr>
        <w:spacing w:line="560" w:lineRule="exact"/>
        <w:ind w:firstLine="640" w:firstLineChars="200"/>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截止2024年12月已支付完成消化暂付款</w:t>
      </w:r>
      <w:r>
        <w:rPr>
          <w:rFonts w:hint="eastAsia" w:ascii="Times New Roman" w:hAnsi="Times New Roman" w:eastAsia="仿宋_GB2312" w:cs="Times New Roman"/>
          <w:b w:val="0"/>
          <w:bCs w:val="0"/>
          <w:color w:val="auto"/>
          <w:kern w:val="2"/>
          <w:sz w:val="30"/>
          <w:szCs w:val="30"/>
          <w:highlight w:val="none"/>
          <w:lang w:val="en-US" w:eastAsia="zh-CN" w:bidi="ar-SA"/>
        </w:rPr>
        <w:t>巴喀勒克水库项目</w:t>
      </w:r>
      <w:r>
        <w:rPr>
          <w:rFonts w:hint="eastAsia" w:eastAsia="仿宋_GB2312" w:cs="Times New Roman"/>
          <w:b w:val="0"/>
          <w:bCs w:val="0"/>
          <w:color w:val="auto"/>
          <w:kern w:val="2"/>
          <w:sz w:val="30"/>
          <w:szCs w:val="30"/>
          <w:highlight w:val="none"/>
          <w:lang w:val="en-US" w:eastAsia="zh-CN" w:bidi="ar-SA"/>
        </w:rPr>
        <w:t>、人居环境项目和ZYJNJYPXZX建设项目</w:t>
      </w:r>
      <w:r>
        <w:rPr>
          <w:rFonts w:hint="default" w:ascii="Times New Roman" w:hAnsi="Times New Roman" w:eastAsia="仿宋_GB2312" w:cs="Times New Roman"/>
          <w:color w:val="auto"/>
          <w:sz w:val="32"/>
          <w:szCs w:val="32"/>
          <w:highlight w:val="none"/>
        </w:rPr>
        <w:t>三个项目费用，</w:t>
      </w:r>
      <w:r>
        <w:rPr>
          <w:rFonts w:hint="eastAsia" w:eastAsia="仿宋_GB2312" w:cs="Times New Roman"/>
          <w:b w:val="0"/>
          <w:bCs w:val="0"/>
          <w:color w:val="auto"/>
          <w:kern w:val="2"/>
          <w:sz w:val="30"/>
          <w:szCs w:val="30"/>
          <w:highlight w:val="none"/>
          <w:lang w:val="en-US" w:eastAsia="zh-CN" w:bidi="ar-SA"/>
        </w:rPr>
        <w:t>已支付暂付款项目结算费100.73万元，其中：</w:t>
      </w:r>
      <w:r>
        <w:rPr>
          <w:rFonts w:hint="eastAsia" w:ascii="Times New Roman" w:hAnsi="Times New Roman" w:eastAsia="仿宋_GB2312" w:cs="Times New Roman"/>
          <w:b w:val="0"/>
          <w:bCs w:val="0"/>
          <w:color w:val="auto"/>
          <w:kern w:val="2"/>
          <w:sz w:val="30"/>
          <w:szCs w:val="30"/>
          <w:highlight w:val="none"/>
          <w:lang w:val="en-US" w:eastAsia="zh-CN" w:bidi="ar-SA"/>
        </w:rPr>
        <w:t>巴喀勒克水库项目</w:t>
      </w:r>
      <w:r>
        <w:rPr>
          <w:rFonts w:hint="eastAsia" w:eastAsia="仿宋_GB2312" w:cs="Times New Roman"/>
          <w:b w:val="0"/>
          <w:bCs w:val="0"/>
          <w:color w:val="auto"/>
          <w:kern w:val="2"/>
          <w:sz w:val="30"/>
          <w:szCs w:val="30"/>
          <w:highlight w:val="none"/>
          <w:lang w:val="en-US" w:eastAsia="zh-CN" w:bidi="ar-SA"/>
        </w:rPr>
        <w:t>审计结算费30.37万元、人居环境项目审计结算费60万元、ZYJNJYPXZX建设项目审计结算费10万元</w:t>
      </w:r>
      <w:r>
        <w:rPr>
          <w:rFonts w:hint="default" w:ascii="Times New Roman" w:hAnsi="Times New Roman" w:eastAsia="仿宋_GB2312" w:cs="Times New Roman"/>
          <w:color w:val="auto"/>
          <w:sz w:val="32"/>
          <w:szCs w:val="32"/>
          <w:highlight w:val="none"/>
        </w:rPr>
        <w:t>使财政资金发挥更大效益</w:t>
      </w:r>
      <w:r>
        <w:rPr>
          <w:rFonts w:hint="eastAsia" w:ascii="Times New Roman" w:hAnsi="Times New Roman" w:eastAsia="仿宋_GB2312" w:cs="Times New Roman"/>
          <w:color w:val="auto"/>
          <w:sz w:val="32"/>
          <w:szCs w:val="32"/>
          <w:highlight w:val="none"/>
          <w:lang w:eastAsia="zh-CN"/>
        </w:rPr>
        <w:t>。</w:t>
      </w:r>
    </w:p>
    <w:p w14:paraId="29E9FD86">
      <w:pPr>
        <w:spacing w:line="560" w:lineRule="exact"/>
        <w:ind w:firstLine="640" w:firstLineChars="20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二、绩效评价工作开展情况</w:t>
      </w:r>
    </w:p>
    <w:p w14:paraId="4B3D0DE5">
      <w:pPr>
        <w:spacing w:line="560" w:lineRule="exact"/>
        <w:ind w:firstLine="643" w:firstLineChars="200"/>
        <w:rPr>
          <w:rFonts w:hint="default" w:ascii="Times New Roman" w:hAnsi="Times New Roman" w:eastAsia="楷体_GB2312" w:cs="Times New Roman"/>
          <w:b/>
          <w:bCs/>
          <w:color w:val="auto"/>
          <w:sz w:val="32"/>
          <w:szCs w:val="32"/>
          <w:highlight w:val="none"/>
        </w:rPr>
      </w:pPr>
      <w:r>
        <w:rPr>
          <w:rFonts w:hint="default" w:ascii="Times New Roman" w:hAnsi="Times New Roman" w:eastAsia="楷体_GB2312" w:cs="Times New Roman"/>
          <w:b/>
          <w:bCs/>
          <w:color w:val="auto"/>
          <w:sz w:val="32"/>
          <w:szCs w:val="32"/>
          <w:highlight w:val="none"/>
        </w:rPr>
        <w:t>（一）绩效评价目的、对象和范围</w:t>
      </w:r>
    </w:p>
    <w:p w14:paraId="7DC3D013">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lang w:val="en-US" w:eastAsia="zh-CN"/>
        </w:rPr>
      </w:pPr>
      <w:r>
        <w:rPr>
          <w:rFonts w:hint="default" w:ascii="Times New Roman" w:hAnsi="Times New Roman" w:eastAsia="仿宋_GB2312" w:cs="Times New Roman"/>
          <w:b w:val="0"/>
          <w:bCs w:val="0"/>
          <w:color w:val="auto"/>
          <w:highlight w:val="none"/>
          <w:lang w:val="en-US" w:eastAsia="zh-CN"/>
        </w:rPr>
        <w:t>1.绩效评价完整性</w:t>
      </w:r>
    </w:p>
    <w:p w14:paraId="56A51337">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6BD8906C">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在评价指标体系的构建上，充分考虑了项目的性质、目标以及预期成果，选取了具有代表性和可衡量性的关键指标，涵盖了社会效益维度，力求全方位反映项目的绩效状况。同时，对于每个指标的评价标准和数据来源均进行了明确说明，确保评价结果的客观性和可追溯性。</w:t>
      </w:r>
    </w:p>
    <w:p w14:paraId="7DC08B3D">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6DDA0105">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31E6BE62">
      <w:pPr>
        <w:spacing w:line="560" w:lineRule="exact"/>
        <w:ind w:firstLine="640" w:firstLineChars="20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7671653F">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绩效评价的目的</w:t>
      </w:r>
    </w:p>
    <w:p w14:paraId="0225809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（1）评估项目实施效果</w:t>
      </w:r>
    </w:p>
    <w:p w14:paraId="49AC31C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通过对项目预算执行情况及各项绩效目标达成程度的系统性分析，全面、客观地评估项目在预定周期内的实施效果，包括社会效益维度指标，为项目后续的改进与优化提供科学依据。</w:t>
      </w:r>
    </w:p>
    <w:p w14:paraId="44F29C5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（2）提升资源利用效率</w:t>
      </w:r>
    </w:p>
    <w:p w14:paraId="33A6DDE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0CF6CA4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（3）强化项目管理责任</w:t>
      </w:r>
    </w:p>
    <w:p w14:paraId="7A180B1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63FB253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（4）为决策提供支持</w:t>
      </w:r>
    </w:p>
    <w:p w14:paraId="55EA680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474C890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（5）促进项目持续改进</w:t>
      </w:r>
    </w:p>
    <w:p w14:paraId="03537E7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59764FA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仿宋_GB2312" w:cs="Times New Roman"/>
          <w:color w:val="auto"/>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1B5587C7">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lang w:val="en-US" w:eastAsia="zh-CN"/>
        </w:rPr>
        <w:t>3</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b w:val="0"/>
          <w:bCs w:val="0"/>
          <w:color w:val="auto"/>
          <w:highlight w:val="none"/>
        </w:rPr>
        <w:t>绩效评价的对象</w:t>
      </w:r>
    </w:p>
    <w:p w14:paraId="39C560BF">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本项目预算绩效评价报告的评价对象是项目结算审计费及其预算执行情况。该项目由</w:t>
      </w:r>
      <w:r>
        <w:rPr>
          <w:rFonts w:hint="eastAsia" w:ascii="Times New Roman" w:hAnsi="Times New Roman" w:eastAsia="仿宋_GB2312" w:cs="Times New Roman"/>
          <w:b w:val="0"/>
          <w:bCs w:val="0"/>
          <w:color w:val="auto"/>
          <w:highlight w:val="none"/>
          <w:lang w:eastAsia="zh-CN"/>
        </w:rPr>
        <w:t>特克斯县审计局</w:t>
      </w:r>
      <w:r>
        <w:rPr>
          <w:rFonts w:hint="default" w:ascii="Times New Roman" w:hAnsi="Times New Roman" w:eastAsia="仿宋_GB2312" w:cs="Times New Roman"/>
          <w:b w:val="0"/>
          <w:bCs w:val="0"/>
          <w:color w:val="auto"/>
          <w:highlight w:val="none"/>
        </w:rPr>
        <w:t>负责实施，旨在对项目成果进行审查，使财政资金发挥更大效益。项目预算涵盖从</w:t>
      </w:r>
      <w:r>
        <w:rPr>
          <w:rFonts w:hint="eastAsia" w:ascii="Times New Roman" w:hAnsi="Times New Roman" w:eastAsia="仿宋_GB2312" w:cs="Times New Roman"/>
          <w:b w:val="0"/>
          <w:bCs w:val="0"/>
          <w:color w:val="auto"/>
          <w:highlight w:val="none"/>
          <w:lang w:val="en-US" w:eastAsia="zh-CN"/>
        </w:rPr>
        <w:t>2024年1月</w:t>
      </w:r>
      <w:r>
        <w:rPr>
          <w:rFonts w:hint="default" w:ascii="Times New Roman" w:hAnsi="Times New Roman" w:eastAsia="仿宋_GB2312" w:cs="Times New Roman"/>
          <w:b w:val="0"/>
          <w:bCs w:val="0"/>
          <w:color w:val="auto"/>
          <w:highlight w:val="none"/>
        </w:rPr>
        <w:t>至</w:t>
      </w:r>
      <w:r>
        <w:rPr>
          <w:rFonts w:hint="eastAsia" w:ascii="Times New Roman" w:hAnsi="Times New Roman" w:eastAsia="仿宋_GB2312" w:cs="Times New Roman"/>
          <w:b w:val="0"/>
          <w:bCs w:val="0"/>
          <w:color w:val="auto"/>
          <w:highlight w:val="none"/>
          <w:lang w:val="en-US" w:eastAsia="zh-CN"/>
        </w:rPr>
        <w:t>2024年12月</w:t>
      </w:r>
      <w:r>
        <w:rPr>
          <w:rFonts w:hint="default" w:ascii="Times New Roman" w:hAnsi="Times New Roman" w:eastAsia="仿宋_GB2312" w:cs="Times New Roman"/>
          <w:b w:val="0"/>
          <w:bCs w:val="0"/>
          <w:color w:val="auto"/>
          <w:highlight w:val="none"/>
        </w:rPr>
        <w:t>的全部资金投入与支出，涉及资金总额为</w:t>
      </w:r>
      <w:r>
        <w:rPr>
          <w:rFonts w:hint="eastAsia" w:ascii="Times New Roman" w:hAnsi="Times New Roman" w:eastAsia="仿宋_GB2312" w:cs="Times New Roman"/>
          <w:b w:val="0"/>
          <w:bCs w:val="0"/>
          <w:color w:val="auto"/>
          <w:highlight w:val="none"/>
          <w:lang w:val="en-US" w:eastAsia="zh-CN"/>
        </w:rPr>
        <w:t>100.7</w:t>
      </w:r>
      <w:r>
        <w:rPr>
          <w:rFonts w:hint="default" w:ascii="Times New Roman" w:hAnsi="Times New Roman" w:eastAsia="仿宋_GB2312" w:cs="Times New Roman"/>
          <w:b w:val="0"/>
          <w:bCs w:val="0"/>
          <w:color w:val="auto"/>
          <w:highlight w:val="none"/>
          <w:lang w:val="en-US" w:eastAsia="zh-CN"/>
        </w:rPr>
        <w:t>万</w:t>
      </w:r>
      <w:r>
        <w:rPr>
          <w:rFonts w:hint="default" w:ascii="Times New Roman" w:hAnsi="Times New Roman" w:eastAsia="仿宋_GB2312" w:cs="Times New Roman"/>
          <w:b w:val="0"/>
          <w:bCs w:val="0"/>
          <w:color w:val="auto"/>
          <w:highlight w:val="none"/>
        </w:rPr>
        <w:t>元。</w:t>
      </w:r>
    </w:p>
    <w:p w14:paraId="296918B3">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lang w:val="en-US" w:eastAsia="zh-CN"/>
        </w:rPr>
        <w:t>4.</w:t>
      </w:r>
      <w:r>
        <w:rPr>
          <w:rFonts w:hint="default" w:ascii="Times New Roman" w:hAnsi="Times New Roman" w:eastAsia="仿宋_GB2312" w:cs="Times New Roman"/>
          <w:b w:val="0"/>
          <w:bCs w:val="0"/>
          <w:color w:val="auto"/>
          <w:highlight w:val="none"/>
        </w:rPr>
        <w:t>绩效评价的范围</w:t>
      </w:r>
    </w:p>
    <w:p w14:paraId="00BDC92A">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本项目预算绩效评价报告的评价范围广泛而全面，涵盖了从项目立项至评价时点期间的所有关键预算活动和财务流程。具体而言，评价范围包括但不限于以下几个方面：</w:t>
      </w:r>
    </w:p>
    <w:p w14:paraId="34BDF122">
      <w:pPr>
        <w:pStyle w:val="9"/>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项目预算编制与执行：全面审视项目预算的编制依据、合理性、科学性以及实际执行情况，包括预算调整的原因和效果。</w:t>
      </w:r>
    </w:p>
    <w:p w14:paraId="034140BE">
      <w:pPr>
        <w:pStyle w:val="9"/>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lang w:eastAsia="zh-CN"/>
        </w:rPr>
      </w:pPr>
      <w:r>
        <w:rPr>
          <w:rFonts w:hint="default" w:ascii="Times New Roman" w:hAnsi="Times New Roman" w:eastAsia="仿宋_GB2312" w:cs="Times New Roman"/>
          <w:b w:val="0"/>
          <w:bCs w:val="0"/>
          <w:color w:val="auto"/>
          <w:highlight w:val="none"/>
        </w:rPr>
        <w:t>资金管理：深入分析项目资金的分配、使用和监管情况，确保资金使用的合规性、高效性和透明度。</w:t>
      </w:r>
    </w:p>
    <w:p w14:paraId="425C9736">
      <w:pPr>
        <w:pStyle w:val="9"/>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lang w:eastAsia="zh-CN"/>
        </w:rPr>
      </w:pPr>
      <w:r>
        <w:rPr>
          <w:rFonts w:hint="default" w:ascii="Times New Roman" w:hAnsi="Times New Roman" w:eastAsia="仿宋_GB2312" w:cs="Times New Roman"/>
          <w:b w:val="0"/>
          <w:bCs w:val="0"/>
          <w:color w:val="auto"/>
          <w:highlight w:val="none"/>
        </w:rPr>
        <w:t>项目实施进度与产出：评估项目是否按照既定计划顺利推进，各项任务是否按时完成，以及项目产出的数量、质量和时效性是否符合预期。</w:t>
      </w:r>
    </w:p>
    <w:p w14:paraId="48CD5086">
      <w:pPr>
        <w:pStyle w:val="9"/>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lang w:eastAsia="zh-CN"/>
        </w:rPr>
      </w:pPr>
      <w:r>
        <w:rPr>
          <w:rFonts w:hint="default" w:ascii="Times New Roman" w:hAnsi="Times New Roman" w:eastAsia="仿宋_GB2312" w:cs="Times New Roman"/>
          <w:b w:val="0"/>
          <w:bCs w:val="0"/>
          <w:color w:val="auto"/>
          <w:highlight w:val="none"/>
        </w:rPr>
        <w:t>社会影响：</w:t>
      </w:r>
      <w:r>
        <w:rPr>
          <w:rFonts w:hint="eastAsia" w:ascii="Times New Roman" w:hAnsi="Times New Roman" w:eastAsia="仿宋_GB2312" w:cs="Times New Roman"/>
          <w:b w:val="0"/>
          <w:bCs w:val="0"/>
          <w:color w:val="auto"/>
          <w:highlight w:val="none"/>
          <w:lang w:val="en-US" w:eastAsia="zh-CN"/>
        </w:rPr>
        <w:t>通过消化暂付款，使财政资金收支更加透明、规范、符合预算管理的要求，确保财政资的使用有明确的预算安排和合法依据，合理安排到更需要的项目和领域，提高资金使用效益，避免资金浪费。</w:t>
      </w:r>
    </w:p>
    <w:p w14:paraId="65C7C105">
      <w:pPr>
        <w:spacing w:line="560" w:lineRule="exact"/>
        <w:ind w:firstLine="643" w:firstLineChars="200"/>
        <w:rPr>
          <w:rFonts w:hint="default" w:ascii="Times New Roman" w:hAnsi="Times New Roman" w:cs="Times New Roman"/>
          <w:color w:val="auto"/>
          <w:highlight w:val="none"/>
        </w:rPr>
      </w:pPr>
      <w:r>
        <w:rPr>
          <w:rFonts w:hint="default" w:ascii="Times New Roman" w:hAnsi="Times New Roman" w:eastAsia="楷体_GB2312" w:cs="Times New Roman"/>
          <w:b/>
          <w:bCs/>
          <w:color w:val="auto"/>
          <w:sz w:val="32"/>
          <w:szCs w:val="32"/>
          <w:highlight w:val="none"/>
        </w:rPr>
        <w:t>（二）绩效评价原则、评价指标体系（详情见表1）、评价方法、评价标准。</w:t>
      </w:r>
    </w:p>
    <w:p w14:paraId="6D8D9D07">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1</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b w:val="0"/>
          <w:bCs w:val="0"/>
          <w:color w:val="auto"/>
          <w:highlight w:val="none"/>
        </w:rPr>
        <w:t>绩效评价原则</w:t>
      </w:r>
    </w:p>
    <w:p w14:paraId="16E48F7E">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本次项目绩效评价遵循以下基本原则：</w:t>
      </w:r>
    </w:p>
    <w:p w14:paraId="3F9E4494">
      <w:pPr>
        <w:pStyle w:val="9"/>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（1）科学公正。绩效评价应当运用科学合理的方法，按照规范的程序，对项目绩效进行客观、公正的反映。</w:t>
      </w:r>
    </w:p>
    <w:p w14:paraId="68FDA779">
      <w:pPr>
        <w:pStyle w:val="9"/>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（2）统筹兼顾。单位自评、部门评价和财政评价应职责明确，各有侧重，相互衔接。单位自评应由项目单位自主实施，即“谁支出、谁自评”。部门评价和财政评价应在单位自评的基础上开展。</w:t>
      </w:r>
    </w:p>
    <w:p w14:paraId="66A5E1B5">
      <w:pPr>
        <w:pStyle w:val="9"/>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（3）激励约束。绩效评价结果应与预算安排、政策调整、改进管理实质性挂钩，体现奖优罚劣和激励相容导向，有效要安排、低效要压减、无效要问责。</w:t>
      </w:r>
    </w:p>
    <w:p w14:paraId="0CE32431">
      <w:pPr>
        <w:pStyle w:val="9"/>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（4）公开透明。绩效评价结果应依法依规公开，并自觉接受社会监督。</w:t>
      </w:r>
    </w:p>
    <w:p w14:paraId="255FB3ED">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2</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b w:val="0"/>
          <w:bCs w:val="0"/>
          <w:color w:val="auto"/>
          <w:highlight w:val="none"/>
        </w:rPr>
        <w:t>评价指标体系</w:t>
      </w:r>
    </w:p>
    <w:p w14:paraId="7EFED3B2">
      <w:pPr>
        <w:spacing w:line="560" w:lineRule="exact"/>
        <w:ind w:firstLine="708" w:firstLineChars="200"/>
        <w:rPr>
          <w:rFonts w:hint="default" w:ascii="Times New Roman" w:hAnsi="Times New Roman"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绩效评价框架是开展绩效评价的核心。绩效评价框架包括评价准则、关键评价问题、评价指标、数据来源、数据收集方法等。指标体系建立过程如下：</w:t>
      </w:r>
    </w:p>
    <w:p w14:paraId="4FCF3871">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（1）确定评价指标</w:t>
      </w:r>
    </w:p>
    <w:p w14:paraId="65389FD5">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采用层次分析法，建立评价指标体系。绩效评价将指标分为项目决策指标、项目过程指标、项目产出指标、项目效益指标四个维度，最终形成一个由多个相互联系的指标组成的多层次指标体系。</w:t>
      </w:r>
    </w:p>
    <w:p w14:paraId="6C3B00CF">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（2）确定权重</w:t>
      </w:r>
    </w:p>
    <w:p w14:paraId="654F753C">
      <w:pPr>
        <w:spacing w:line="560" w:lineRule="exact"/>
        <w:ind w:firstLine="708" w:firstLineChars="200"/>
        <w:rPr>
          <w:rFonts w:hint="default" w:ascii="Times New Roman" w:hAnsi="Times New Roman" w:eastAsia="仿宋_GB2312" w:cs="Times New Roman"/>
          <w:color w:val="auto"/>
          <w:spacing w:val="17"/>
          <w:sz w:val="32"/>
          <w:szCs w:val="32"/>
          <w:highlight w:val="none"/>
          <w:lang w:eastAsia="zh-CN"/>
        </w:rPr>
      </w:pPr>
      <w:r>
        <w:rPr>
          <w:rFonts w:hint="default" w:ascii="Times New Roman" w:hAnsi="Times New Roman" w:eastAsia="仿宋_GB2312" w:cs="Times New Roman"/>
          <w:color w:val="auto"/>
          <w:spacing w:val="17"/>
          <w:sz w:val="32"/>
          <w:szCs w:val="32"/>
          <w:highlight w:val="none"/>
        </w:rPr>
        <w:t>确定各个指标相对于项目总体绩效的权重分值。在绩效评价指标体系中，项目决策权重为20分，项目过程权重为20分，项目产出权重为40分，项目效益权重为20分。</w:t>
      </w:r>
    </w:p>
    <w:p w14:paraId="56D4E710">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（3）确定指标标准值</w:t>
      </w:r>
    </w:p>
    <w:p w14:paraId="39C8A875">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指标标准值是绩效评价指标的尺度，既要反映同类项目的先进水平，又要符合项目的实际绩效水平。具体采用计划标准等确定此次绩效评价指标标准值。</w:t>
      </w:r>
    </w:p>
    <w:p w14:paraId="1EAB7130">
      <w:pPr>
        <w:pStyle w:val="9"/>
        <w:spacing w:before="0" w:after="0" w:line="560" w:lineRule="exact"/>
        <w:ind w:firstLine="708" w:firstLineChars="200"/>
        <w:jc w:val="both"/>
        <w:rPr>
          <w:rFonts w:hint="default" w:ascii="Times New Roman" w:hAnsi="Times New Roman" w:eastAsia="仿宋_GB2312" w:cs="Times New Roman"/>
          <w:b w:val="0"/>
          <w:bCs w:val="0"/>
          <w:color w:val="auto"/>
          <w:spacing w:val="17"/>
          <w:kern w:val="2"/>
          <w:highlight w:val="none"/>
        </w:rPr>
      </w:pPr>
      <w:r>
        <w:rPr>
          <w:rFonts w:hint="default" w:ascii="Times New Roman" w:hAnsi="Times New Roman" w:eastAsia="仿宋_GB2312" w:cs="Times New Roman"/>
          <w:b w:val="0"/>
          <w:bCs w:val="0"/>
          <w:color w:val="auto"/>
          <w:spacing w:val="17"/>
          <w:kern w:val="2"/>
          <w:highlight w:val="none"/>
        </w:rPr>
        <w:t>绩效评价总分值100分，根据综合评分结果，90（含）-100分为优、80（含）-90分为良、60（含）-80分为中、60分以下为差。</w:t>
      </w:r>
    </w:p>
    <w:p w14:paraId="6B2A59F0">
      <w:pPr>
        <w:pStyle w:val="9"/>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auto"/>
          <w:spacing w:val="17"/>
          <w:highlight w:val="none"/>
        </w:rPr>
      </w:pPr>
      <w:r>
        <w:rPr>
          <w:rFonts w:hint="default" w:ascii="Times New Roman" w:hAnsi="Times New Roman" w:eastAsia="仿宋_GB2312" w:cs="Times New Roman"/>
          <w:b w:val="0"/>
          <w:bCs w:val="0"/>
          <w:color w:val="auto"/>
          <w:spacing w:val="17"/>
          <w:highlight w:val="none"/>
        </w:rPr>
        <w:t>具体评价指标体系详情见附件1</w:t>
      </w:r>
    </w:p>
    <w:p w14:paraId="36109E2A">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3</w:t>
      </w:r>
      <w:r>
        <w:rPr>
          <w:rFonts w:hint="default" w:ascii="Times New Roman" w:hAnsi="Times New Roman" w:eastAsia="仿宋_GB2312" w:cs="Times New Roman"/>
          <w:b w:val="0"/>
          <w:bCs w:val="0"/>
          <w:color w:val="auto"/>
          <w:highlight w:val="none"/>
          <w:lang w:val="en-US" w:eastAsia="zh-CN"/>
        </w:rPr>
        <w:t>.</w:t>
      </w:r>
      <w:r>
        <w:rPr>
          <w:rFonts w:hint="default" w:ascii="Times New Roman" w:hAnsi="Times New Roman" w:eastAsia="仿宋_GB2312" w:cs="Times New Roman"/>
          <w:b w:val="0"/>
          <w:bCs w:val="0"/>
          <w:color w:val="auto"/>
          <w:highlight w:val="none"/>
        </w:rPr>
        <w:t>绩效评价方法</w:t>
      </w:r>
    </w:p>
    <w:p w14:paraId="23D11C4B">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绩效评价从项目决策、项目过程、项目产出、项目效益四个维度进行评价。评价对象为项目目标实施情况，  评价核心为资金的支出完成情况和项目的产出效益。</w:t>
      </w:r>
    </w:p>
    <w:p w14:paraId="222397BF">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本次评价指标中，既有定性指标又有定量指标，各类指标因考核内容不同和客观标准不同存在较大差异，因此核定具体指标时采用了</w:t>
      </w:r>
      <w:r>
        <w:rPr>
          <w:rFonts w:hint="eastAsia" w:eastAsia="仿宋_GB2312" w:cs="Times New Roman"/>
          <w:color w:val="auto"/>
          <w:spacing w:val="17"/>
          <w:sz w:val="32"/>
          <w:szCs w:val="32"/>
          <w:highlight w:val="none"/>
          <w:lang w:val="en-US" w:eastAsia="zh-CN"/>
        </w:rPr>
        <w:t>最低成本</w:t>
      </w:r>
      <w:r>
        <w:rPr>
          <w:rFonts w:hint="default" w:ascii="Times New Roman" w:hAnsi="Times New Roman" w:eastAsia="仿宋_GB2312" w:cs="Times New Roman"/>
          <w:color w:val="auto"/>
          <w:spacing w:val="17"/>
          <w:sz w:val="32"/>
          <w:szCs w:val="32"/>
          <w:highlight w:val="none"/>
        </w:rPr>
        <w:t>法，具体评价方法如下：</w:t>
      </w:r>
    </w:p>
    <w:p w14:paraId="52B4D90C">
      <w:pPr>
        <w:spacing w:line="560" w:lineRule="exact"/>
        <w:ind w:firstLine="708" w:firstLineChars="200"/>
        <w:rPr>
          <w:rFonts w:hint="eastAsia" w:ascii="Times New Roman" w:hAnsi="Times New Roman" w:eastAsia="仿宋_GB2312" w:cs="Times New Roman"/>
          <w:color w:val="auto"/>
          <w:spacing w:val="17"/>
          <w:sz w:val="32"/>
          <w:szCs w:val="32"/>
          <w:highlight w:val="none"/>
          <w:lang w:eastAsia="zh-CN"/>
        </w:rPr>
      </w:pPr>
      <w:r>
        <w:rPr>
          <w:rFonts w:hint="default" w:ascii="Times New Roman" w:hAnsi="Times New Roman" w:eastAsia="仿宋_GB2312" w:cs="Times New Roman"/>
          <w:color w:val="auto"/>
          <w:spacing w:val="17"/>
          <w:sz w:val="32"/>
          <w:szCs w:val="32"/>
          <w:highlight w:val="none"/>
        </w:rPr>
        <w:t>最低成本法。指在绩效目标确定的前提下</w:t>
      </w:r>
      <w:r>
        <w:rPr>
          <w:rFonts w:hint="eastAsia" w:eastAsia="仿宋_GB2312" w:cs="Times New Roman"/>
          <w:color w:val="auto"/>
          <w:spacing w:val="17"/>
          <w:sz w:val="32"/>
          <w:szCs w:val="32"/>
          <w:highlight w:val="none"/>
          <w:lang w:val="en-US" w:eastAsia="zh-CN"/>
        </w:rPr>
        <w:t>通过对比第三方机构提出的审计方案的成本，选择</w:t>
      </w:r>
      <w:r>
        <w:rPr>
          <w:rFonts w:hint="default" w:ascii="Times New Roman" w:hAnsi="Times New Roman" w:eastAsia="仿宋_GB2312" w:cs="Times New Roman"/>
          <w:color w:val="auto"/>
          <w:spacing w:val="17"/>
          <w:sz w:val="32"/>
          <w:szCs w:val="32"/>
          <w:highlight w:val="none"/>
        </w:rPr>
        <w:t>成本最小者为优的方法</w:t>
      </w:r>
      <w:r>
        <w:rPr>
          <w:rFonts w:hint="eastAsia" w:eastAsia="仿宋_GB2312" w:cs="Times New Roman"/>
          <w:color w:val="auto"/>
          <w:spacing w:val="17"/>
          <w:sz w:val="32"/>
          <w:szCs w:val="32"/>
          <w:highlight w:val="none"/>
          <w:lang w:eastAsia="zh-CN"/>
        </w:rPr>
        <w:t>。</w:t>
      </w:r>
    </w:p>
    <w:p w14:paraId="4D26C53C">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4</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b w:val="0"/>
          <w:bCs w:val="0"/>
          <w:color w:val="auto"/>
          <w:highlight w:val="none"/>
        </w:rPr>
        <w:t>评价标准</w:t>
      </w:r>
    </w:p>
    <w:p w14:paraId="76ECAF11">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lang w:eastAsia="zh-CN"/>
        </w:rPr>
      </w:pPr>
      <w:r>
        <w:rPr>
          <w:rFonts w:hint="default" w:ascii="Times New Roman" w:hAnsi="Times New Roman" w:eastAsia="仿宋_GB2312" w:cs="Times New Roman"/>
          <w:b w:val="0"/>
          <w:bCs w:val="0"/>
          <w:color w:val="auto"/>
          <w:highlight w:val="none"/>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color w:val="auto"/>
          <w:highlight w:val="none"/>
          <w:lang w:val="en-US" w:eastAsia="zh-CN"/>
        </w:rPr>
        <w:t>计划</w:t>
      </w:r>
      <w:r>
        <w:rPr>
          <w:rFonts w:hint="default" w:ascii="Times New Roman" w:hAnsi="Times New Roman" w:eastAsia="仿宋_GB2312" w:cs="Times New Roman"/>
          <w:b w:val="0"/>
          <w:bCs w:val="0"/>
          <w:color w:val="auto"/>
          <w:highlight w:val="none"/>
        </w:rPr>
        <w:t>标准。</w:t>
      </w:r>
    </w:p>
    <w:p w14:paraId="33461210">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lang w:val="en-US" w:eastAsia="zh-CN"/>
        </w:rPr>
      </w:pPr>
      <w:r>
        <w:rPr>
          <w:rFonts w:hint="default" w:ascii="Times New Roman" w:hAnsi="Times New Roman" w:eastAsia="仿宋_GB2312" w:cs="Times New Roman"/>
          <w:b w:val="0"/>
          <w:bCs w:val="0"/>
          <w:color w:val="auto"/>
          <w:highlight w:val="none"/>
        </w:rPr>
        <w:t>计划标准</w:t>
      </w:r>
      <w:r>
        <w:rPr>
          <w:rFonts w:hint="eastAsia" w:ascii="Times New Roman" w:hAnsi="Times New Roman" w:eastAsia="仿宋_GB2312" w:cs="Times New Roman"/>
          <w:b w:val="0"/>
          <w:bCs w:val="0"/>
          <w:color w:val="auto"/>
          <w:highlight w:val="none"/>
          <w:lang w:eastAsia="zh-CN"/>
        </w:rPr>
        <w:t>：</w:t>
      </w:r>
      <w:r>
        <w:rPr>
          <w:rFonts w:hint="eastAsia" w:ascii="Times New Roman" w:hAnsi="Times New Roman" w:eastAsia="仿宋_GB2312" w:cs="Times New Roman"/>
          <w:b w:val="0"/>
          <w:bCs w:val="0"/>
          <w:color w:val="auto"/>
          <w:highlight w:val="none"/>
          <w:lang w:val="en-US" w:eastAsia="zh-CN"/>
        </w:rPr>
        <w:t>年初通过招投标，选择第三方审计机构对巴喀勒克水库项目、人居环境项目和ZYJNJYPXZX建设项目等三个项目开展项目结算审核，计划投入资金100.73万元。</w:t>
      </w:r>
    </w:p>
    <w:p w14:paraId="3481FC8E">
      <w:pPr>
        <w:pStyle w:val="9"/>
        <w:numPr>
          <w:ilvl w:val="0"/>
          <w:numId w:val="2"/>
        </w:numPr>
        <w:spacing w:before="0" w:after="0" w:line="560" w:lineRule="exact"/>
        <w:ind w:firstLine="711" w:firstLineChars="200"/>
        <w:jc w:val="both"/>
        <w:rPr>
          <w:rFonts w:hint="default" w:ascii="Times New Roman" w:hAnsi="Times New Roman" w:eastAsia="楷体" w:cs="Times New Roman"/>
          <w:color w:val="auto"/>
          <w:spacing w:val="17"/>
          <w:highlight w:val="none"/>
        </w:rPr>
      </w:pPr>
      <w:r>
        <w:rPr>
          <w:rFonts w:hint="default" w:ascii="Times New Roman" w:hAnsi="Times New Roman" w:eastAsia="楷体" w:cs="Times New Roman"/>
          <w:color w:val="auto"/>
          <w:spacing w:val="17"/>
          <w:highlight w:val="none"/>
        </w:rPr>
        <w:t>绩效评价工作过程</w:t>
      </w:r>
    </w:p>
    <w:p w14:paraId="1284641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前期准备与规划</w:t>
      </w:r>
    </w:p>
    <w:p w14:paraId="72C5F3D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7A595BC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eastAsia="zh-CN"/>
        </w:rPr>
        <w:t>）指标体系构建</w:t>
      </w:r>
    </w:p>
    <w:p w14:paraId="269E603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auto"/>
          <w:spacing w:val="17"/>
          <w:sz w:val="32"/>
          <w:szCs w:val="32"/>
          <w:highlight w:val="none"/>
        </w:rPr>
        <w:t>项目决策、项目过程、项目产出、项目效益四个维度</w:t>
      </w:r>
      <w:r>
        <w:rPr>
          <w:rFonts w:hint="default" w:ascii="Times New Roman" w:hAnsi="Times New Roman" w:eastAsia="仿宋_GB2312" w:cs="Times New Roman"/>
          <w:color w:val="auto"/>
          <w:sz w:val="32"/>
          <w:szCs w:val="32"/>
          <w:highlight w:val="none"/>
          <w:lang w:eastAsia="zh-CN"/>
        </w:rPr>
        <w:t>，选取了具有代表性和可衡量性的关键指标，并为每个指标设定了明确的评价标准与权重，确保评价结果能够全面、准确地反映项目的绩效状况。</w:t>
      </w:r>
    </w:p>
    <w:p w14:paraId="50C3499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lang w:eastAsia="zh-CN"/>
        </w:rPr>
        <w:t>）数据收集与整理</w:t>
      </w:r>
    </w:p>
    <w:p w14:paraId="08DC5B6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305226D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lang w:eastAsia="zh-CN"/>
        </w:rPr>
        <w:t>）数据分析与评估</w:t>
      </w:r>
    </w:p>
    <w:p w14:paraId="3249BD8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5B11B95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lang w:eastAsia="zh-CN"/>
        </w:rPr>
        <w:t>）报告撰写与反馈</w:t>
      </w:r>
    </w:p>
    <w:p w14:paraId="3ED0547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40B4FB5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6</w:t>
      </w:r>
      <w:r>
        <w:rPr>
          <w:rFonts w:hint="default" w:ascii="Times New Roman" w:hAnsi="Times New Roman" w:eastAsia="仿宋_GB2312" w:cs="Times New Roman"/>
          <w:color w:val="auto"/>
          <w:sz w:val="32"/>
          <w:szCs w:val="32"/>
          <w:highlight w:val="none"/>
          <w:lang w:eastAsia="zh-CN"/>
        </w:rPr>
        <w:t>）后续跟踪与改进</w:t>
      </w:r>
    </w:p>
    <w:p w14:paraId="580DCAC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766E5709">
      <w:pPr>
        <w:numPr>
          <w:ilvl w:val="0"/>
          <w:numId w:val="3"/>
        </w:numPr>
        <w:spacing w:line="560" w:lineRule="exact"/>
        <w:ind w:firstLine="640" w:firstLineChars="20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综合评价情况及评价结论（附相关评分表）</w:t>
      </w:r>
    </w:p>
    <w:p w14:paraId="6685E2E3">
      <w:pPr>
        <w:pStyle w:val="9"/>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color w:val="auto"/>
          <w:highlight w:val="none"/>
          <w:lang w:val="en-US" w:eastAsia="zh-CN"/>
        </w:rPr>
      </w:pPr>
      <w:r>
        <w:rPr>
          <w:rFonts w:hint="default" w:ascii="Times New Roman" w:hAnsi="Times New Roman" w:eastAsia="楷体_GB2312" w:cs="Times New Roman"/>
          <w:color w:val="auto"/>
          <w:highlight w:val="none"/>
          <w:lang w:eastAsia="zh-CN"/>
        </w:rPr>
        <w:t>（</w:t>
      </w:r>
      <w:r>
        <w:rPr>
          <w:rFonts w:hint="default" w:ascii="Times New Roman" w:hAnsi="Times New Roman" w:eastAsia="楷体_GB2312" w:cs="Times New Roman"/>
          <w:color w:val="auto"/>
          <w:highlight w:val="none"/>
          <w:lang w:val="en-US" w:eastAsia="zh-CN"/>
        </w:rPr>
        <w:t>一</w:t>
      </w:r>
      <w:r>
        <w:rPr>
          <w:rFonts w:hint="default" w:ascii="Times New Roman" w:hAnsi="Times New Roman" w:eastAsia="楷体_GB2312" w:cs="Times New Roman"/>
          <w:color w:val="auto"/>
          <w:highlight w:val="none"/>
          <w:lang w:eastAsia="zh-CN"/>
        </w:rPr>
        <w:t>）</w:t>
      </w:r>
      <w:r>
        <w:rPr>
          <w:rFonts w:hint="default" w:ascii="Times New Roman" w:hAnsi="Times New Roman" w:eastAsia="楷体_GB2312" w:cs="Times New Roman"/>
          <w:color w:val="auto"/>
          <w:highlight w:val="none"/>
          <w:lang w:val="en-US" w:eastAsia="zh-CN"/>
        </w:rPr>
        <w:t>评价情况</w:t>
      </w:r>
    </w:p>
    <w:p w14:paraId="3356DD9E">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本项目的综合评价基于对项目各方面绩效的深入分析与评估。从项目目标的达成情况来看，项目结算审计费在</w:t>
      </w:r>
      <w:r>
        <w:rPr>
          <w:rFonts w:hint="eastAsia" w:eastAsia="仿宋_GB2312" w:cs="Times New Roman"/>
          <w:color w:val="auto"/>
          <w:sz w:val="32"/>
          <w:szCs w:val="32"/>
          <w:highlight w:val="none"/>
          <w:lang w:eastAsia="zh-CN"/>
        </w:rPr>
        <w:t>项目实施</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eastAsia="zh-CN"/>
        </w:rPr>
        <w:t>项目成果</w:t>
      </w:r>
      <w:r>
        <w:rPr>
          <w:rFonts w:hint="default" w:ascii="Times New Roman" w:hAnsi="Times New Roman" w:eastAsia="仿宋_GB2312" w:cs="Times New Roman"/>
          <w:color w:val="auto"/>
          <w:sz w:val="32"/>
          <w:szCs w:val="32"/>
          <w:highlight w:val="none"/>
        </w:rPr>
        <w:t>等方面表现出色，达到了预期的标准与要求。同时，项目也在使财政资金发挥更大效益</w:t>
      </w:r>
      <w:r>
        <w:rPr>
          <w:rFonts w:hint="eastAsia" w:eastAsia="仿宋_GB2312" w:cs="Times New Roman"/>
          <w:color w:val="auto"/>
          <w:sz w:val="32"/>
          <w:szCs w:val="32"/>
          <w:highlight w:val="none"/>
          <w:lang w:eastAsia="zh-CN"/>
        </w:rPr>
        <w:t>方面</w:t>
      </w:r>
      <w:r>
        <w:rPr>
          <w:rFonts w:hint="default" w:ascii="Times New Roman" w:hAnsi="Times New Roman" w:eastAsia="仿宋_GB2312" w:cs="Times New Roman"/>
          <w:color w:val="auto"/>
          <w:sz w:val="32"/>
          <w:szCs w:val="32"/>
          <w:highlight w:val="none"/>
        </w:rPr>
        <w:t>取得了显著的成效，如</w:t>
      </w:r>
      <w:r>
        <w:rPr>
          <w:rFonts w:hint="eastAsia" w:eastAsia="仿宋_GB2312" w:cs="Times New Roman"/>
          <w:color w:val="auto"/>
          <w:sz w:val="32"/>
          <w:szCs w:val="32"/>
          <w:highlight w:val="none"/>
          <w:lang w:eastAsia="zh-CN"/>
        </w:rPr>
        <w:t>杜绝财政资金浪费</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eastAsia="zh-CN"/>
        </w:rPr>
        <w:t>国有资产闲置</w:t>
      </w:r>
      <w:r>
        <w:rPr>
          <w:rFonts w:hint="default" w:ascii="Times New Roman" w:hAnsi="Times New Roman" w:eastAsia="仿宋_GB2312" w:cs="Times New Roman"/>
          <w:color w:val="auto"/>
          <w:sz w:val="32"/>
          <w:szCs w:val="32"/>
          <w:highlight w:val="none"/>
        </w:rPr>
        <w:t>等。</w:t>
      </w:r>
    </w:p>
    <w:p w14:paraId="5265D543">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在项目管理方面，</w:t>
      </w:r>
      <w:r>
        <w:rPr>
          <w:rFonts w:hint="eastAsia" w:eastAsia="仿宋_GB2312" w:cs="Times New Roman"/>
          <w:color w:val="auto"/>
          <w:sz w:val="32"/>
          <w:szCs w:val="32"/>
          <w:highlight w:val="none"/>
          <w:lang w:eastAsia="zh-CN"/>
        </w:rPr>
        <w:t>特克斯县审计局</w:t>
      </w:r>
      <w:r>
        <w:rPr>
          <w:rFonts w:hint="default" w:ascii="Times New Roman" w:hAnsi="Times New Roman" w:eastAsia="仿宋_GB2312" w:cs="Times New Roman"/>
          <w:color w:val="auto"/>
          <w:sz w:val="32"/>
          <w:szCs w:val="32"/>
          <w:highlight w:val="none"/>
        </w:rPr>
        <w:t>通过有效的规划、组织与协调，项目得以顺利实施，并在预算与时间上保持了良好的控制。</w:t>
      </w:r>
    </w:p>
    <w:p w14:paraId="003494F9">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从项目效益的角度来看，本项目不仅实现了预期的社会效益方面产生了积极的影响。具体而言，推动各项目审计工作有序顺利进行等方面的提升，为项目的利益相关者带来了实实在在的利益。</w:t>
      </w:r>
    </w:p>
    <w:p w14:paraId="07C15C09">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color w:val="auto"/>
          <w:highlight w:val="none"/>
        </w:rPr>
      </w:pPr>
      <w:r>
        <w:rPr>
          <w:rFonts w:hint="default" w:ascii="Times New Roman" w:hAnsi="Times New Roman" w:eastAsia="仿宋_GB2312" w:cs="Times New Roman"/>
          <w:color w:val="auto"/>
          <w:sz w:val="32"/>
          <w:szCs w:val="32"/>
          <w:highlight w:val="none"/>
        </w:rPr>
        <w:t>综上所述，项目结算审计费在绩效评价中表现出色，达到了项目的预期目标，并在多个方面取得了显著的成效。</w:t>
      </w:r>
    </w:p>
    <w:p w14:paraId="75C9F872">
      <w:pPr>
        <w:pStyle w:val="9"/>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color w:val="auto"/>
          <w:highlight w:val="none"/>
          <w:lang w:val="en-US" w:eastAsia="zh-CN"/>
        </w:rPr>
      </w:pPr>
      <w:r>
        <w:rPr>
          <w:rFonts w:hint="default" w:ascii="Times New Roman" w:hAnsi="Times New Roman" w:eastAsia="楷体_GB2312" w:cs="Times New Roman"/>
          <w:color w:val="auto"/>
          <w:highlight w:val="none"/>
          <w:lang w:eastAsia="zh-CN"/>
        </w:rPr>
        <w:t>（</w:t>
      </w:r>
      <w:r>
        <w:rPr>
          <w:rFonts w:hint="default" w:ascii="Times New Roman" w:hAnsi="Times New Roman" w:eastAsia="楷体_GB2312" w:cs="Times New Roman"/>
          <w:color w:val="auto"/>
          <w:highlight w:val="none"/>
          <w:lang w:val="en-US" w:eastAsia="zh-CN"/>
        </w:rPr>
        <w:t>二</w:t>
      </w:r>
      <w:r>
        <w:rPr>
          <w:rFonts w:hint="default" w:ascii="Times New Roman" w:hAnsi="Times New Roman" w:eastAsia="楷体_GB2312" w:cs="Times New Roman"/>
          <w:color w:val="auto"/>
          <w:highlight w:val="none"/>
          <w:lang w:eastAsia="zh-CN"/>
        </w:rPr>
        <w:t>）</w:t>
      </w:r>
      <w:r>
        <w:rPr>
          <w:rFonts w:hint="default" w:ascii="Times New Roman" w:hAnsi="Times New Roman" w:eastAsia="楷体_GB2312" w:cs="Times New Roman"/>
          <w:color w:val="auto"/>
          <w:highlight w:val="none"/>
          <w:lang w:val="en-US" w:eastAsia="zh-CN"/>
        </w:rPr>
        <w:t>评价结论</w:t>
      </w:r>
    </w:p>
    <w:p w14:paraId="2766E970">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lang w:eastAsia="zh-CN"/>
        </w:rPr>
      </w:pPr>
      <w:r>
        <w:rPr>
          <w:rFonts w:hint="default" w:ascii="Times New Roman" w:hAnsi="Times New Roman" w:eastAsia="仿宋_GB2312" w:cs="Times New Roman"/>
          <w:b w:val="0"/>
          <w:bCs w:val="0"/>
          <w:color w:val="auto"/>
          <w:highlight w:val="none"/>
        </w:rPr>
        <w:t>运用绩效评价组制定的评价指标体系以及财政部《项目支出绩效评价管理办法》（财预〔2020〕10号）文件的评分标准，通过数据采集、问卷调查及访谈等方式，对本项目进行客观评价，最终评分结果：总得分为</w:t>
      </w:r>
      <w:r>
        <w:rPr>
          <w:rFonts w:hint="eastAsia" w:ascii="Times New Roman" w:hAnsi="Times New Roman" w:eastAsia="仿宋_GB2312" w:cs="Times New Roman"/>
          <w:b w:val="0"/>
          <w:bCs w:val="0"/>
          <w:color w:val="auto"/>
          <w:highlight w:val="none"/>
          <w:lang w:val="en-US" w:eastAsia="zh-CN"/>
        </w:rPr>
        <w:t>100</w:t>
      </w:r>
      <w:r>
        <w:rPr>
          <w:rFonts w:hint="default" w:ascii="Times New Roman" w:hAnsi="Times New Roman" w:eastAsia="仿宋_GB2312" w:cs="Times New Roman"/>
          <w:b w:val="0"/>
          <w:bCs w:val="0"/>
          <w:color w:val="auto"/>
          <w:highlight w:val="none"/>
        </w:rPr>
        <w:t xml:space="preserve">分，属于“优”。其中，项目决策类指标权重为20分，得分为 </w:t>
      </w:r>
      <w:r>
        <w:rPr>
          <w:rFonts w:hint="eastAsia" w:ascii="Times New Roman" w:hAnsi="Times New Roman" w:eastAsia="仿宋_GB2312" w:cs="Times New Roman"/>
          <w:b w:val="0"/>
          <w:bCs w:val="0"/>
          <w:color w:val="auto"/>
          <w:highlight w:val="none"/>
          <w:lang w:val="en-US" w:eastAsia="zh-CN"/>
        </w:rPr>
        <w:t>20</w:t>
      </w:r>
      <w:r>
        <w:rPr>
          <w:rFonts w:hint="default" w:ascii="Times New Roman" w:hAnsi="Times New Roman" w:eastAsia="仿宋_GB2312" w:cs="Times New Roman"/>
          <w:b w:val="0"/>
          <w:bCs w:val="0"/>
          <w:color w:val="auto"/>
          <w:highlight w:val="none"/>
        </w:rPr>
        <w:t xml:space="preserve">分，得分率为 </w:t>
      </w:r>
      <w:r>
        <w:rPr>
          <w:rFonts w:hint="eastAsia" w:ascii="Times New Roman" w:hAnsi="Times New Roman" w:eastAsia="仿宋_GB2312" w:cs="Times New Roman"/>
          <w:b w:val="0"/>
          <w:bCs w:val="0"/>
          <w:color w:val="auto"/>
          <w:highlight w:val="none"/>
          <w:lang w:val="en-US" w:eastAsia="zh-CN"/>
        </w:rPr>
        <w:t>100</w:t>
      </w:r>
      <w:r>
        <w:rPr>
          <w:rFonts w:hint="default" w:ascii="Times New Roman" w:hAnsi="Times New Roman" w:eastAsia="仿宋_GB2312" w:cs="Times New Roman"/>
          <w:b w:val="0"/>
          <w:bCs w:val="0"/>
          <w:color w:val="auto"/>
          <w:highlight w:val="none"/>
        </w:rPr>
        <w:t>%。项目过程类指标权重为20分，得分为</w:t>
      </w:r>
      <w:r>
        <w:rPr>
          <w:rFonts w:hint="eastAsia" w:ascii="Times New Roman" w:hAnsi="Times New Roman" w:eastAsia="仿宋_GB2312" w:cs="Times New Roman"/>
          <w:b w:val="0"/>
          <w:bCs w:val="0"/>
          <w:color w:val="auto"/>
          <w:highlight w:val="none"/>
          <w:lang w:val="en-US" w:eastAsia="zh-CN"/>
        </w:rPr>
        <w:t>20</w:t>
      </w:r>
      <w:r>
        <w:rPr>
          <w:rFonts w:hint="default" w:ascii="Times New Roman" w:hAnsi="Times New Roman" w:eastAsia="仿宋_GB2312" w:cs="Times New Roman"/>
          <w:b w:val="0"/>
          <w:bCs w:val="0"/>
          <w:color w:val="auto"/>
          <w:highlight w:val="none"/>
        </w:rPr>
        <w:t xml:space="preserve">分，得分率为 </w:t>
      </w:r>
      <w:r>
        <w:rPr>
          <w:rFonts w:hint="eastAsia" w:ascii="Times New Roman" w:hAnsi="Times New Roman" w:eastAsia="仿宋_GB2312" w:cs="Times New Roman"/>
          <w:b w:val="0"/>
          <w:bCs w:val="0"/>
          <w:color w:val="auto"/>
          <w:highlight w:val="none"/>
          <w:lang w:val="en-US" w:eastAsia="zh-CN"/>
        </w:rPr>
        <w:t>100</w:t>
      </w:r>
      <w:r>
        <w:rPr>
          <w:rFonts w:hint="default" w:ascii="Times New Roman" w:hAnsi="Times New Roman" w:eastAsia="仿宋_GB2312" w:cs="Times New Roman"/>
          <w:b w:val="0"/>
          <w:bCs w:val="0"/>
          <w:color w:val="auto"/>
          <w:highlight w:val="none"/>
        </w:rPr>
        <w:t>%。项目产出类指标权重为40分，得分为</w:t>
      </w:r>
      <w:r>
        <w:rPr>
          <w:rFonts w:hint="eastAsia" w:ascii="Times New Roman" w:hAnsi="Times New Roman" w:eastAsia="仿宋_GB2312" w:cs="Times New Roman"/>
          <w:b w:val="0"/>
          <w:bCs w:val="0"/>
          <w:color w:val="auto"/>
          <w:highlight w:val="none"/>
          <w:lang w:val="en-US" w:eastAsia="zh-CN"/>
        </w:rPr>
        <w:t>40</w:t>
      </w:r>
      <w:r>
        <w:rPr>
          <w:rFonts w:hint="default" w:ascii="Times New Roman" w:hAnsi="Times New Roman" w:eastAsia="仿宋_GB2312" w:cs="Times New Roman"/>
          <w:b w:val="0"/>
          <w:bCs w:val="0"/>
          <w:color w:val="auto"/>
          <w:highlight w:val="none"/>
        </w:rPr>
        <w:t xml:space="preserve">分，得分率为 </w:t>
      </w:r>
      <w:r>
        <w:rPr>
          <w:rFonts w:hint="eastAsia" w:ascii="Times New Roman" w:hAnsi="Times New Roman" w:eastAsia="仿宋_GB2312" w:cs="Times New Roman"/>
          <w:b w:val="0"/>
          <w:bCs w:val="0"/>
          <w:color w:val="auto"/>
          <w:highlight w:val="none"/>
          <w:lang w:val="en-US" w:eastAsia="zh-CN"/>
        </w:rPr>
        <w:t>100</w:t>
      </w:r>
      <w:r>
        <w:rPr>
          <w:rFonts w:hint="default" w:ascii="Times New Roman" w:hAnsi="Times New Roman" w:eastAsia="仿宋_GB2312" w:cs="Times New Roman"/>
          <w:b w:val="0"/>
          <w:bCs w:val="0"/>
          <w:color w:val="auto"/>
          <w:highlight w:val="none"/>
        </w:rPr>
        <w:t>%。项目效益类指标权重为20分，得分为</w:t>
      </w:r>
      <w:r>
        <w:rPr>
          <w:rFonts w:hint="eastAsia" w:ascii="Times New Roman" w:hAnsi="Times New Roman" w:eastAsia="仿宋_GB2312" w:cs="Times New Roman"/>
          <w:b w:val="0"/>
          <w:bCs w:val="0"/>
          <w:color w:val="auto"/>
          <w:highlight w:val="none"/>
          <w:lang w:val="en-US" w:eastAsia="zh-CN"/>
        </w:rPr>
        <w:t>20</w:t>
      </w:r>
      <w:r>
        <w:rPr>
          <w:rFonts w:hint="default" w:ascii="Times New Roman" w:hAnsi="Times New Roman" w:eastAsia="仿宋_GB2312" w:cs="Times New Roman"/>
          <w:b w:val="0"/>
          <w:bCs w:val="0"/>
          <w:color w:val="auto"/>
          <w:highlight w:val="none"/>
        </w:rPr>
        <w:t>分，得分率为</w:t>
      </w:r>
      <w:r>
        <w:rPr>
          <w:rFonts w:hint="eastAsia" w:ascii="Times New Roman" w:hAnsi="Times New Roman" w:eastAsia="仿宋_GB2312" w:cs="Times New Roman"/>
          <w:b w:val="0"/>
          <w:bCs w:val="0"/>
          <w:color w:val="auto"/>
          <w:highlight w:val="none"/>
          <w:lang w:val="en-US" w:eastAsia="zh-CN"/>
        </w:rPr>
        <w:t>100</w:t>
      </w:r>
      <w:r>
        <w:rPr>
          <w:rFonts w:hint="default" w:ascii="Times New Roman" w:hAnsi="Times New Roman" w:eastAsia="仿宋_GB2312" w:cs="Times New Roman"/>
          <w:b w:val="0"/>
          <w:bCs w:val="0"/>
          <w:color w:val="auto"/>
          <w:highlight w:val="none"/>
        </w:rPr>
        <w:t>%。具体打分情况详见：附件1综合评分表</w:t>
      </w:r>
      <w:r>
        <w:rPr>
          <w:rFonts w:hint="default" w:ascii="Times New Roman" w:hAnsi="Times New Roman" w:eastAsia="仿宋_GB2312" w:cs="Times New Roman"/>
          <w:b w:val="0"/>
          <w:bCs w:val="0"/>
          <w:color w:val="auto"/>
          <w:highlight w:val="none"/>
          <w:lang w:eastAsia="zh-CN"/>
        </w:rPr>
        <w:t>。</w:t>
      </w:r>
    </w:p>
    <w:p w14:paraId="1159F181">
      <w:pPr>
        <w:pStyle w:val="9"/>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表1综合评分表</w:t>
      </w:r>
    </w:p>
    <w:tbl>
      <w:tblPr>
        <w:tblStyle w:val="12"/>
        <w:tblW w:w="7583" w:type="dxa"/>
        <w:jc w:val="center"/>
        <w:tblLayout w:type="fixed"/>
        <w:tblCellMar>
          <w:top w:w="0" w:type="dxa"/>
          <w:left w:w="108" w:type="dxa"/>
          <w:bottom w:w="0" w:type="dxa"/>
          <w:right w:w="108" w:type="dxa"/>
        </w:tblCellMar>
      </w:tblPr>
      <w:tblGrid>
        <w:gridCol w:w="3137"/>
        <w:gridCol w:w="2168"/>
        <w:gridCol w:w="2278"/>
      </w:tblGrid>
      <w:tr w14:paraId="3085E7CE">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4BD1ED2D">
            <w:pPr>
              <w:jc w:val="center"/>
              <w:rPr>
                <w:rFonts w:hint="default" w:ascii="Times New Roman" w:hAnsi="Times New Roman" w:eastAsia="仿宋_GB2312" w:cs="Times New Roman"/>
                <w:b/>
                <w:bCs/>
                <w:color w:val="auto"/>
                <w:sz w:val="21"/>
                <w:szCs w:val="21"/>
                <w:highlight w:val="none"/>
              </w:rPr>
            </w:pPr>
            <w:r>
              <w:rPr>
                <w:rFonts w:hint="default" w:ascii="Times New Roman" w:hAnsi="Times New Roman" w:eastAsia="仿宋_GB2312" w:cs="Times New Roman"/>
                <w:b/>
                <w:bCs/>
                <w:color w:val="auto"/>
                <w:sz w:val="21"/>
                <w:szCs w:val="21"/>
                <w:highlight w:val="none"/>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6A6A5458">
            <w:pPr>
              <w:jc w:val="center"/>
              <w:rPr>
                <w:rFonts w:hint="default" w:ascii="Times New Roman" w:hAnsi="Times New Roman" w:eastAsia="仿宋_GB2312" w:cs="Times New Roman"/>
                <w:b/>
                <w:bCs/>
                <w:color w:val="auto"/>
                <w:sz w:val="21"/>
                <w:szCs w:val="21"/>
                <w:highlight w:val="none"/>
              </w:rPr>
            </w:pPr>
            <w:r>
              <w:rPr>
                <w:rFonts w:hint="default" w:ascii="Times New Roman" w:hAnsi="Times New Roman" w:eastAsia="仿宋_GB2312" w:cs="Times New Roman"/>
                <w:b/>
                <w:bCs/>
                <w:color w:val="auto"/>
                <w:sz w:val="21"/>
                <w:szCs w:val="21"/>
                <w:highlight w:val="none"/>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7B7B5FC7">
            <w:pPr>
              <w:jc w:val="center"/>
              <w:rPr>
                <w:rFonts w:hint="default" w:ascii="Times New Roman" w:hAnsi="Times New Roman" w:eastAsia="仿宋_GB2312" w:cs="Times New Roman"/>
                <w:b/>
                <w:bCs/>
                <w:color w:val="auto"/>
                <w:sz w:val="21"/>
                <w:szCs w:val="21"/>
                <w:highlight w:val="none"/>
              </w:rPr>
            </w:pPr>
            <w:r>
              <w:rPr>
                <w:rFonts w:hint="default" w:ascii="Times New Roman" w:hAnsi="Times New Roman" w:eastAsia="仿宋_GB2312" w:cs="Times New Roman"/>
                <w:b/>
                <w:bCs/>
                <w:color w:val="auto"/>
                <w:sz w:val="21"/>
                <w:szCs w:val="21"/>
                <w:highlight w:val="none"/>
              </w:rPr>
              <w:t>得分</w:t>
            </w:r>
          </w:p>
        </w:tc>
      </w:tr>
      <w:tr w14:paraId="216765C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D2ACC0D">
            <w:pPr>
              <w:jc w:val="center"/>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项目决策</w:t>
            </w:r>
          </w:p>
        </w:tc>
        <w:tc>
          <w:tcPr>
            <w:tcW w:w="2168" w:type="dxa"/>
            <w:tcBorders>
              <w:top w:val="nil"/>
              <w:left w:val="nil"/>
              <w:bottom w:val="single" w:color="auto" w:sz="4" w:space="0"/>
              <w:right w:val="single" w:color="auto" w:sz="4" w:space="0"/>
            </w:tcBorders>
            <w:shd w:val="clear" w:color="auto" w:fill="auto"/>
            <w:vAlign w:val="center"/>
          </w:tcPr>
          <w:p w14:paraId="50E6BCE7">
            <w:pPr>
              <w:jc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51F42E35">
            <w:pPr>
              <w:jc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20</w:t>
            </w:r>
          </w:p>
        </w:tc>
      </w:tr>
      <w:tr w14:paraId="57255AE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783BC40">
            <w:pPr>
              <w:jc w:val="center"/>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项目过程</w:t>
            </w:r>
          </w:p>
        </w:tc>
        <w:tc>
          <w:tcPr>
            <w:tcW w:w="2168" w:type="dxa"/>
            <w:tcBorders>
              <w:top w:val="nil"/>
              <w:left w:val="nil"/>
              <w:bottom w:val="single" w:color="auto" w:sz="4" w:space="0"/>
              <w:right w:val="single" w:color="auto" w:sz="4" w:space="0"/>
            </w:tcBorders>
            <w:shd w:val="clear" w:color="auto" w:fill="auto"/>
            <w:vAlign w:val="center"/>
          </w:tcPr>
          <w:p w14:paraId="23A104E4">
            <w:pPr>
              <w:jc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07A469C9">
            <w:pPr>
              <w:jc w:val="center"/>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lang w:val="en-US" w:eastAsia="zh-CN"/>
              </w:rPr>
              <w:t>20</w:t>
            </w:r>
          </w:p>
        </w:tc>
      </w:tr>
      <w:tr w14:paraId="66BB5A8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C468762">
            <w:pPr>
              <w:jc w:val="center"/>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项目产出</w:t>
            </w:r>
          </w:p>
        </w:tc>
        <w:tc>
          <w:tcPr>
            <w:tcW w:w="2168" w:type="dxa"/>
            <w:tcBorders>
              <w:top w:val="nil"/>
              <w:left w:val="nil"/>
              <w:bottom w:val="single" w:color="auto" w:sz="4" w:space="0"/>
              <w:right w:val="single" w:color="auto" w:sz="4" w:space="0"/>
            </w:tcBorders>
            <w:shd w:val="clear" w:color="auto" w:fill="auto"/>
            <w:vAlign w:val="center"/>
          </w:tcPr>
          <w:p w14:paraId="5EE6FA88">
            <w:pPr>
              <w:jc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31560B7E">
            <w:pPr>
              <w:jc w:val="center"/>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lang w:val="en-US" w:eastAsia="zh-CN"/>
              </w:rPr>
              <w:t>40</w:t>
            </w:r>
          </w:p>
        </w:tc>
      </w:tr>
      <w:tr w14:paraId="46E833D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CD95904">
            <w:pPr>
              <w:jc w:val="center"/>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项目效益</w:t>
            </w:r>
          </w:p>
        </w:tc>
        <w:tc>
          <w:tcPr>
            <w:tcW w:w="2168" w:type="dxa"/>
            <w:tcBorders>
              <w:top w:val="nil"/>
              <w:left w:val="nil"/>
              <w:bottom w:val="single" w:color="auto" w:sz="4" w:space="0"/>
              <w:right w:val="single" w:color="auto" w:sz="4" w:space="0"/>
            </w:tcBorders>
            <w:shd w:val="clear" w:color="auto" w:fill="auto"/>
            <w:vAlign w:val="center"/>
          </w:tcPr>
          <w:p w14:paraId="21F2F22A">
            <w:pPr>
              <w:jc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2773FEFB">
            <w:pPr>
              <w:jc w:val="center"/>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lang w:val="en-US" w:eastAsia="zh-CN"/>
              </w:rPr>
              <w:t>20</w:t>
            </w:r>
          </w:p>
        </w:tc>
      </w:tr>
      <w:tr w14:paraId="2D26FF9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057BFA5">
            <w:pPr>
              <w:jc w:val="center"/>
              <w:rPr>
                <w:rFonts w:hint="default" w:ascii="Times New Roman" w:hAnsi="Times New Roman" w:eastAsia="仿宋_GB2312" w:cs="Times New Roman"/>
                <w:b/>
                <w:bCs/>
                <w:color w:val="auto"/>
                <w:sz w:val="21"/>
                <w:szCs w:val="21"/>
                <w:highlight w:val="none"/>
              </w:rPr>
            </w:pPr>
            <w:r>
              <w:rPr>
                <w:rFonts w:hint="default" w:ascii="Times New Roman" w:hAnsi="Times New Roman" w:eastAsia="仿宋_GB2312" w:cs="Times New Roman"/>
                <w:b/>
                <w:bCs/>
                <w:color w:val="auto"/>
                <w:sz w:val="21"/>
                <w:szCs w:val="21"/>
                <w:highlight w:val="none"/>
              </w:rPr>
              <w:t>合计</w:t>
            </w:r>
          </w:p>
        </w:tc>
        <w:tc>
          <w:tcPr>
            <w:tcW w:w="2168" w:type="dxa"/>
            <w:tcBorders>
              <w:top w:val="nil"/>
              <w:left w:val="nil"/>
              <w:bottom w:val="single" w:color="auto" w:sz="4" w:space="0"/>
              <w:right w:val="single" w:color="auto" w:sz="4" w:space="0"/>
            </w:tcBorders>
            <w:shd w:val="clear" w:color="auto" w:fill="auto"/>
            <w:vAlign w:val="center"/>
          </w:tcPr>
          <w:p w14:paraId="3B72A7F0">
            <w:pPr>
              <w:jc w:val="center"/>
              <w:rPr>
                <w:rFonts w:hint="default" w:ascii="Times New Roman" w:hAnsi="Times New Roman" w:eastAsia="仿宋_GB2312" w:cs="Times New Roman"/>
                <w:b/>
                <w:bCs/>
                <w:color w:val="auto"/>
                <w:sz w:val="21"/>
                <w:szCs w:val="21"/>
                <w:highlight w:val="none"/>
                <w:lang w:val="en-US" w:eastAsia="zh-CN"/>
              </w:rPr>
            </w:pPr>
            <w:r>
              <w:rPr>
                <w:rFonts w:hint="default" w:ascii="Times New Roman" w:hAnsi="Times New Roman" w:eastAsia="仿宋_GB2312" w:cs="Times New Roman"/>
                <w:b/>
                <w:bCs/>
                <w:color w:val="auto"/>
                <w:sz w:val="21"/>
                <w:szCs w:val="21"/>
                <w:highlight w:val="none"/>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45F49931">
            <w:pPr>
              <w:jc w:val="center"/>
              <w:rPr>
                <w:rFonts w:hint="default" w:ascii="Times New Roman" w:hAnsi="Times New Roman" w:eastAsia="仿宋_GB2312" w:cs="Times New Roman"/>
                <w:b/>
                <w:bCs/>
                <w:color w:val="auto"/>
                <w:sz w:val="21"/>
                <w:szCs w:val="21"/>
                <w:highlight w:val="none"/>
              </w:rPr>
            </w:pPr>
            <w:r>
              <w:rPr>
                <w:rFonts w:hint="default" w:ascii="Times New Roman" w:hAnsi="Times New Roman" w:eastAsia="仿宋_GB2312" w:cs="Times New Roman"/>
                <w:b/>
                <w:bCs/>
                <w:color w:val="auto"/>
                <w:sz w:val="21"/>
                <w:szCs w:val="21"/>
                <w:highlight w:val="none"/>
                <w:lang w:val="en-US" w:eastAsia="zh-CN"/>
              </w:rPr>
              <w:t>100</w:t>
            </w:r>
          </w:p>
        </w:tc>
      </w:tr>
    </w:tbl>
    <w:p w14:paraId="64187E59">
      <w:pPr>
        <w:spacing w:line="560" w:lineRule="exact"/>
        <w:ind w:firstLine="640" w:firstLineChars="20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四、绩效评价指标分析</w:t>
      </w:r>
    </w:p>
    <w:p w14:paraId="77DA71C5">
      <w:pPr>
        <w:pStyle w:val="9"/>
        <w:spacing w:before="0" w:after="0" w:line="560" w:lineRule="exact"/>
        <w:ind w:firstLine="643" w:firstLineChars="200"/>
        <w:jc w:val="both"/>
        <w:rPr>
          <w:rFonts w:hint="default" w:ascii="Times New Roman" w:hAnsi="Times New Roman" w:eastAsia="楷体_GB2312" w:cs="Times New Roman"/>
          <w:color w:val="auto"/>
          <w:highlight w:val="none"/>
        </w:rPr>
      </w:pPr>
      <w:r>
        <w:rPr>
          <w:rFonts w:hint="default" w:ascii="Times New Roman" w:hAnsi="Times New Roman" w:eastAsia="楷体_GB2312" w:cs="Times New Roman"/>
          <w:color w:val="auto"/>
          <w:highlight w:val="none"/>
        </w:rPr>
        <w:t>（一）项目决策情况</w:t>
      </w:r>
    </w:p>
    <w:p w14:paraId="429C7BC1">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color w:val="auto"/>
          <w:sz w:val="32"/>
          <w:szCs w:val="32"/>
          <w:highlight w:val="none"/>
          <w:lang w:val="en-US" w:eastAsia="zh-CN"/>
        </w:rPr>
        <w:t>20</w:t>
      </w:r>
      <w:r>
        <w:rPr>
          <w:rFonts w:hint="default" w:ascii="Times New Roman" w:hAnsi="Times New Roman" w:eastAsia="仿宋_GB2312" w:cs="Times New Roman"/>
          <w:color w:val="auto"/>
          <w:sz w:val="32"/>
          <w:szCs w:val="32"/>
          <w:highlight w:val="none"/>
          <w:lang w:val="en-US" w:eastAsia="zh-CN"/>
        </w:rPr>
        <w:t>分，得分率为</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w:t>
      </w:r>
    </w:p>
    <w:p w14:paraId="676F7932">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1.项目立项</w:t>
      </w:r>
    </w:p>
    <w:p w14:paraId="2AAD84C3">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（1）立项依据充分性</w:t>
      </w:r>
    </w:p>
    <w:p w14:paraId="26B927C1">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48285CF9">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（2）立项程序规范性</w:t>
      </w:r>
    </w:p>
    <w:p w14:paraId="6E37932D">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项目申请、设立过程符合相关要求，严格按照审批流程准备符合要求的文件、材料；</w:t>
      </w:r>
      <w:r>
        <w:rPr>
          <w:rFonts w:hint="default" w:ascii="Times New Roman" w:hAnsi="Times New Roman" w:eastAsia="仿宋_GB2312" w:cs="Times New Roman"/>
          <w:color w:val="auto"/>
          <w:sz w:val="32"/>
          <w:szCs w:val="32"/>
          <w:highlight w:val="none"/>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78639294">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2.绩效目标</w:t>
      </w:r>
    </w:p>
    <w:p w14:paraId="5A68270F">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（1）绩效目标合理性</w:t>
      </w:r>
    </w:p>
    <w:p w14:paraId="4E81ED79">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rPr>
        <w:t>年初结合实际工作内容</w:t>
      </w:r>
      <w:r>
        <w:rPr>
          <w:rFonts w:hint="default" w:ascii="Times New Roman" w:hAnsi="Times New Roman" w:eastAsia="仿宋_GB2312" w:cs="Times New Roman"/>
          <w:color w:val="auto"/>
          <w:sz w:val="32"/>
          <w:szCs w:val="32"/>
          <w:highlight w:val="none"/>
          <w:lang w:val="en-US" w:eastAsia="zh-CN"/>
        </w:rPr>
        <w:t>设定绩效目标</w:t>
      </w:r>
      <w:r>
        <w:rPr>
          <w:rFonts w:hint="default" w:ascii="Times New Roman" w:hAnsi="Times New Roman" w:eastAsia="仿宋_GB2312" w:cs="Times New Roman"/>
          <w:color w:val="auto"/>
          <w:sz w:val="32"/>
          <w:szCs w:val="32"/>
          <w:highlight w:val="none"/>
          <w:lang w:val="en-US"/>
        </w:rPr>
        <w:t>，绩效目标</w:t>
      </w:r>
      <w:r>
        <w:rPr>
          <w:rFonts w:hint="default" w:ascii="Times New Roman" w:hAnsi="Times New Roman" w:eastAsia="仿宋_GB2312" w:cs="Times New Roman"/>
          <w:color w:val="auto"/>
          <w:sz w:val="32"/>
          <w:szCs w:val="32"/>
          <w:highlight w:val="none"/>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4CCDE834">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（2）绩效指标明确性</w:t>
      </w:r>
    </w:p>
    <w:p w14:paraId="02B5DF08">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项目设置了明确的预期产出效益和效果，将绩效目标细化分解为具体的绩效指标，绩效目标与项目目标任务数相对应，绩效目标设定的绩效指标清晰、细化、可衡量。</w:t>
      </w:r>
    </w:p>
    <w:p w14:paraId="57BE24E3">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3.资金投入</w:t>
      </w:r>
    </w:p>
    <w:p w14:paraId="47FC631C">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（1）预算编制科学性</w:t>
      </w:r>
    </w:p>
    <w:p w14:paraId="2C3263A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4472813F">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在预算编制过程中，</w:t>
      </w:r>
      <w:r>
        <w:rPr>
          <w:rFonts w:hint="default" w:ascii="Times New Roman" w:hAnsi="Times New Roman" w:eastAsia="仿宋_GB2312" w:cs="Times New Roman"/>
          <w:color w:val="auto"/>
          <w:sz w:val="32"/>
          <w:szCs w:val="32"/>
          <w:highlight w:val="none"/>
          <w:lang w:val="en-US" w:eastAsia="zh-CN"/>
        </w:rPr>
        <w:t>还</w:t>
      </w:r>
      <w:r>
        <w:rPr>
          <w:rFonts w:hint="default" w:ascii="Times New Roman" w:hAnsi="Times New Roman" w:eastAsia="仿宋_GB2312" w:cs="Times New Roman"/>
          <w:color w:val="auto"/>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43A9BA04">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（2）资金分配合理性</w:t>
      </w:r>
    </w:p>
    <w:p w14:paraId="3835B25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465DBCD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5E0F3BB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37F03469">
      <w:pPr>
        <w:pStyle w:val="9"/>
        <w:numPr>
          <w:ilvl w:val="0"/>
          <w:numId w:val="4"/>
        </w:numPr>
        <w:spacing w:before="0" w:after="0" w:line="560" w:lineRule="exact"/>
        <w:ind w:firstLine="643" w:firstLineChars="200"/>
        <w:jc w:val="both"/>
        <w:rPr>
          <w:rFonts w:hint="default" w:ascii="Times New Roman" w:hAnsi="Times New Roman" w:eastAsia="楷体" w:cs="Times New Roman"/>
          <w:color w:val="auto"/>
          <w:highlight w:val="none"/>
        </w:rPr>
      </w:pPr>
      <w:r>
        <w:rPr>
          <w:rFonts w:hint="default" w:ascii="Times New Roman" w:hAnsi="Times New Roman" w:eastAsia="楷体" w:cs="Times New Roman"/>
          <w:color w:val="auto"/>
          <w:highlight w:val="none"/>
        </w:rPr>
        <w:t>项目过程情况</w:t>
      </w:r>
    </w:p>
    <w:p w14:paraId="3D9B09F7">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项目过程类指标包括资金管理和组织实施两方面的内容，由5个三级指标构成，权重分值为20分，实际得分</w:t>
      </w:r>
      <w:r>
        <w:rPr>
          <w:rFonts w:hint="eastAsia" w:eastAsia="仿宋_GB2312" w:cs="Times New Roman"/>
          <w:color w:val="auto"/>
          <w:sz w:val="32"/>
          <w:szCs w:val="32"/>
          <w:highlight w:val="none"/>
          <w:lang w:val="en-US" w:eastAsia="zh-CN"/>
        </w:rPr>
        <w:t>20</w:t>
      </w:r>
      <w:r>
        <w:rPr>
          <w:rFonts w:hint="default" w:ascii="Times New Roman" w:hAnsi="Times New Roman" w:eastAsia="仿宋_GB2312" w:cs="Times New Roman"/>
          <w:color w:val="auto"/>
          <w:sz w:val="32"/>
          <w:szCs w:val="32"/>
          <w:highlight w:val="none"/>
          <w:lang w:val="en-US" w:eastAsia="zh-CN"/>
        </w:rPr>
        <w:t>分，得分率为</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w:t>
      </w:r>
    </w:p>
    <w:p w14:paraId="15CB5152">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1.资金管理</w:t>
      </w:r>
    </w:p>
    <w:p w14:paraId="4CD12EFA">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（1）资金到位率</w:t>
      </w:r>
    </w:p>
    <w:p w14:paraId="06A623A5">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本项目总投资</w:t>
      </w:r>
      <w:r>
        <w:rPr>
          <w:rFonts w:hint="eastAsia" w:eastAsia="仿宋_GB2312" w:cs="Times New Roman"/>
          <w:color w:val="auto"/>
          <w:sz w:val="32"/>
          <w:szCs w:val="32"/>
          <w:highlight w:val="none"/>
          <w:lang w:val="en-US" w:eastAsia="zh-CN"/>
        </w:rPr>
        <w:t>100.73</w:t>
      </w:r>
      <w:r>
        <w:rPr>
          <w:rFonts w:hint="default" w:ascii="Times New Roman" w:hAnsi="Times New Roman" w:eastAsia="仿宋_GB2312" w:cs="Times New Roman"/>
          <w:color w:val="auto"/>
          <w:sz w:val="32"/>
          <w:szCs w:val="32"/>
          <w:highlight w:val="none"/>
          <w:lang w:val="en-US" w:eastAsia="zh-CN"/>
        </w:rPr>
        <w:t>万元，财政资金及时足额到位，到位率</w:t>
      </w:r>
      <w:r>
        <w:rPr>
          <w:rFonts w:hint="eastAsia" w:eastAsia="仿宋_GB2312" w:cs="Times New Roman"/>
          <w:color w:val="auto"/>
          <w:sz w:val="32"/>
          <w:szCs w:val="32"/>
          <w:highlight w:val="none"/>
          <w:lang w:val="en-US" w:eastAsia="zh-CN"/>
        </w:rPr>
        <w:t>100.73</w:t>
      </w:r>
      <w:r>
        <w:rPr>
          <w:rFonts w:hint="default" w:ascii="Times New Roman" w:hAnsi="Times New Roman" w:eastAsia="仿宋_GB2312" w:cs="Times New Roman"/>
          <w:color w:val="auto"/>
          <w:sz w:val="32"/>
          <w:szCs w:val="32"/>
          <w:highlight w:val="none"/>
          <w:lang w:val="en-US" w:eastAsia="zh-CN"/>
        </w:rPr>
        <w:t>%，预算资金按计划进度执行。</w:t>
      </w:r>
    </w:p>
    <w:p w14:paraId="059C256E">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（2）预算执行率</w:t>
      </w:r>
    </w:p>
    <w:p w14:paraId="7CA9C525">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预算编制较为详细，项目资金支出总体能够按照预算执行，预算资金支出</w:t>
      </w:r>
      <w:r>
        <w:rPr>
          <w:rFonts w:hint="eastAsia" w:eastAsia="仿宋_GB2312" w:cs="Times New Roman"/>
          <w:color w:val="auto"/>
          <w:sz w:val="32"/>
          <w:szCs w:val="32"/>
          <w:highlight w:val="none"/>
          <w:lang w:val="en-US" w:eastAsia="zh-CN"/>
        </w:rPr>
        <w:t>100.73</w:t>
      </w:r>
      <w:r>
        <w:rPr>
          <w:rFonts w:hint="default" w:ascii="Times New Roman" w:hAnsi="Times New Roman" w:eastAsia="仿宋_GB2312" w:cs="Times New Roman"/>
          <w:color w:val="auto"/>
          <w:sz w:val="32"/>
          <w:szCs w:val="32"/>
          <w:highlight w:val="none"/>
          <w:lang w:val="en-US" w:eastAsia="zh-CN"/>
        </w:rPr>
        <w:t>万元，预算执行率为</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w:t>
      </w:r>
    </w:p>
    <w:p w14:paraId="38DC2B38">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（3）资金使用合规性</w:t>
      </w:r>
    </w:p>
    <w:p w14:paraId="642293B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14:paraId="6A05683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595BA32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7C38F2C6">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2.组织实施</w:t>
      </w:r>
    </w:p>
    <w:p w14:paraId="7C6807B4">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（1）管理制度健全性</w:t>
      </w:r>
    </w:p>
    <w:p w14:paraId="5822CD9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186EFB4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在制度设计上，我们注重了制度的科学性与可操作性，确保制度能够切实指导项目的执行与管理。</w:t>
      </w:r>
    </w:p>
    <w:p w14:paraId="63FFB62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58A7C21E">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0EE57729">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（2）制度执行有效性</w:t>
      </w:r>
    </w:p>
    <w:p w14:paraId="49699B5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color w:val="auto"/>
          <w:sz w:val="32"/>
          <w:szCs w:val="32"/>
          <w:highlight w:val="none"/>
          <w:lang w:val="en-US" w:eastAsia="zh-CN"/>
        </w:rPr>
        <w:t>单位</w:t>
      </w:r>
      <w:r>
        <w:rPr>
          <w:rFonts w:hint="default" w:ascii="Times New Roman" w:hAnsi="Times New Roman" w:eastAsia="仿宋_GB2312" w:cs="Times New Roman"/>
          <w:color w:val="auto"/>
          <w:sz w:val="32"/>
          <w:szCs w:val="32"/>
          <w:highlight w:val="none"/>
          <w:lang w:eastAsia="zh-CN"/>
        </w:rPr>
        <w:t>重视制度执行的重要性，通过明确责任分工、制定详细执行计划、加强监督考核等措施，确保了各项管理制度能够得到有效执行。</w:t>
      </w:r>
    </w:p>
    <w:p w14:paraId="05FE9C7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65F59F9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eastAsia="zh-CN"/>
        </w:rPr>
        <w:t>综上所述，本项目的管理制度在执行过程中表现出了高度的有效性，既确保了项目的顺利进行，又实现了项目目标的有效达成。</w:t>
      </w:r>
    </w:p>
    <w:p w14:paraId="5E8CB8B7">
      <w:pPr>
        <w:pStyle w:val="10"/>
        <w:numPr>
          <w:ilvl w:val="0"/>
          <w:numId w:val="4"/>
        </w:numPr>
        <w:spacing w:line="560" w:lineRule="exact"/>
        <w:ind w:firstLine="643"/>
        <w:rPr>
          <w:rFonts w:hint="default" w:ascii="Times New Roman" w:hAnsi="Times New Roman" w:eastAsia="楷体_GB2312" w:cs="Times New Roman"/>
          <w:b/>
          <w:bCs/>
          <w:color w:val="auto"/>
          <w:sz w:val="32"/>
          <w:szCs w:val="32"/>
          <w:highlight w:val="none"/>
        </w:rPr>
      </w:pPr>
      <w:r>
        <w:rPr>
          <w:rFonts w:hint="default" w:ascii="Times New Roman" w:hAnsi="Times New Roman" w:eastAsia="楷体_GB2312" w:cs="Times New Roman"/>
          <w:b/>
          <w:bCs/>
          <w:color w:val="auto"/>
          <w:sz w:val="32"/>
          <w:szCs w:val="32"/>
          <w:highlight w:val="none"/>
        </w:rPr>
        <w:t>项目产出</w:t>
      </w:r>
      <w:r>
        <w:rPr>
          <w:rFonts w:hint="default" w:ascii="Times New Roman" w:hAnsi="Times New Roman" w:eastAsia="楷体_GB2312" w:cs="Times New Roman"/>
          <w:b/>
          <w:bCs/>
          <w:color w:val="auto"/>
          <w:sz w:val="32"/>
          <w:szCs w:val="32"/>
          <w:highlight w:val="none"/>
          <w:lang w:val="en-US" w:eastAsia="zh-CN"/>
        </w:rPr>
        <w:t>情况</w:t>
      </w:r>
    </w:p>
    <w:p w14:paraId="7A877E17">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项目产出类指标包括产出数量、产出质量、产出时效、产出成本四方面的内容，由</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lang w:val="en-US" w:eastAsia="zh-CN"/>
        </w:rPr>
        <w:t>个三级指标构成，权重分为40分，实际得分</w:t>
      </w:r>
      <w:r>
        <w:rPr>
          <w:rFonts w:hint="eastAsia" w:eastAsia="仿宋_GB2312" w:cs="Times New Roman"/>
          <w:color w:val="auto"/>
          <w:sz w:val="32"/>
          <w:szCs w:val="32"/>
          <w:highlight w:val="none"/>
          <w:lang w:val="en-US" w:eastAsia="zh-CN"/>
        </w:rPr>
        <w:t>40</w:t>
      </w:r>
      <w:r>
        <w:rPr>
          <w:rFonts w:hint="default" w:ascii="Times New Roman" w:hAnsi="Times New Roman" w:eastAsia="仿宋_GB2312" w:cs="Times New Roman"/>
          <w:color w:val="auto"/>
          <w:sz w:val="32"/>
          <w:szCs w:val="32"/>
          <w:highlight w:val="none"/>
          <w:lang w:val="en-US" w:eastAsia="zh-CN"/>
        </w:rPr>
        <w:t>分，得分率为</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%。具体产出指标完成情况如下：</w:t>
      </w:r>
    </w:p>
    <w:p w14:paraId="6CA5BE33">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 1 \* GB3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color w:val="auto"/>
          <w:sz w:val="32"/>
          <w:szCs w:val="32"/>
          <w:highlight w:val="none"/>
        </w:rPr>
        <w:t>①</w:t>
      </w:r>
      <w:r>
        <w:rPr>
          <w:rFonts w:hint="default" w:ascii="Times New Roman" w:hAnsi="Times New Roman" w:eastAsia="仿宋_GB2312" w:cs="Times New Roman"/>
          <w:color w:val="auto"/>
          <w:sz w:val="32"/>
          <w:szCs w:val="32"/>
          <w:highlight w:val="none"/>
        </w:rPr>
        <w:fldChar w:fldCharType="end"/>
      </w:r>
      <w:r>
        <w:rPr>
          <w:rFonts w:hint="default" w:ascii="Times New Roman" w:hAnsi="Times New Roman" w:eastAsia="仿宋_GB2312" w:cs="Times New Roman"/>
          <w:color w:val="auto"/>
          <w:sz w:val="32"/>
          <w:szCs w:val="32"/>
          <w:highlight w:val="none"/>
        </w:rPr>
        <w:t>数量指标：</w:t>
      </w:r>
    </w:p>
    <w:p w14:paraId="1FAA8EF0">
      <w:pPr>
        <w:shd w:val="clear" w:color="auto" w:fill="auto"/>
        <w:spacing w:line="600" w:lineRule="exact"/>
        <w:ind w:firstLine="640" w:firstLineChars="200"/>
        <w:outlineLvl w:val="0"/>
        <w:rPr>
          <w:rFonts w:hint="eastAsia"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指标1：项目审核数量 ，指标值：</w:t>
      </w:r>
      <w:r>
        <w:rPr>
          <w:rFonts w:hint="eastAsia" w:eastAsia="仿宋_GB2312" w:cs="Times New Roman"/>
          <w:color w:val="auto"/>
          <w:sz w:val="32"/>
          <w:szCs w:val="32"/>
          <w:highlight w:val="none"/>
          <w:lang w:val="en-US" w:eastAsia="zh-CN"/>
        </w:rPr>
        <w:t>3个</w:t>
      </w:r>
      <w:r>
        <w:rPr>
          <w:rFonts w:hint="default" w:ascii="Times New Roman" w:hAnsi="Times New Roman" w:eastAsia="仿宋_GB2312" w:cs="Times New Roman"/>
          <w:color w:val="auto"/>
          <w:sz w:val="32"/>
          <w:szCs w:val="32"/>
          <w:highlight w:val="none"/>
        </w:rPr>
        <w:t>，实际完成值：</w:t>
      </w:r>
      <w:r>
        <w:rPr>
          <w:rFonts w:hint="eastAsia" w:eastAsia="仿宋_GB2312" w:cs="Times New Roman"/>
          <w:color w:val="auto"/>
          <w:sz w:val="32"/>
          <w:szCs w:val="32"/>
          <w:highlight w:val="none"/>
          <w:lang w:val="en-US" w:eastAsia="zh-CN"/>
        </w:rPr>
        <w:t>3个</w:t>
      </w:r>
      <w:r>
        <w:rPr>
          <w:rFonts w:hint="default" w:ascii="Times New Roman" w:hAnsi="Times New Roman" w:eastAsia="仿宋_GB2312" w:cs="Times New Roman"/>
          <w:color w:val="auto"/>
          <w:sz w:val="32"/>
          <w:szCs w:val="32"/>
          <w:highlight w:val="none"/>
        </w:rPr>
        <w:t>，指标完成率</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eastAsia="zh-CN"/>
        </w:rPr>
        <w:t>。</w:t>
      </w:r>
    </w:p>
    <w:p w14:paraId="1F5A1F7B">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 2 \* GB3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color w:val="auto"/>
          <w:sz w:val="32"/>
          <w:szCs w:val="32"/>
          <w:highlight w:val="none"/>
        </w:rPr>
        <w:t>②</w:t>
      </w:r>
      <w:r>
        <w:rPr>
          <w:rFonts w:hint="default" w:ascii="Times New Roman" w:hAnsi="Times New Roman" w:eastAsia="仿宋_GB2312" w:cs="Times New Roman"/>
          <w:color w:val="auto"/>
          <w:sz w:val="32"/>
          <w:szCs w:val="32"/>
          <w:highlight w:val="none"/>
        </w:rPr>
        <w:fldChar w:fldCharType="end"/>
      </w:r>
      <w:r>
        <w:rPr>
          <w:rFonts w:hint="default" w:ascii="Times New Roman" w:hAnsi="Times New Roman" w:eastAsia="仿宋_GB2312" w:cs="Times New Roman"/>
          <w:color w:val="auto"/>
          <w:sz w:val="32"/>
          <w:szCs w:val="32"/>
          <w:highlight w:val="none"/>
        </w:rPr>
        <w:t>质量指标：</w:t>
      </w:r>
    </w:p>
    <w:p w14:paraId="360BDBFB">
      <w:pPr>
        <w:shd w:val="clear" w:color="auto" w:fill="auto"/>
        <w:spacing w:line="600" w:lineRule="exact"/>
        <w:ind w:firstLine="640" w:firstLineChars="200"/>
        <w:outlineLvl w:val="0"/>
        <w:rPr>
          <w:rFonts w:hint="eastAsia"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指标1：依据国家相关规定完成审结算率 ，指标值：</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，实际完成值：</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，指标完成率100%</w:t>
      </w:r>
      <w:r>
        <w:rPr>
          <w:rFonts w:hint="eastAsia" w:eastAsia="仿宋_GB2312" w:cs="Times New Roman"/>
          <w:color w:val="auto"/>
          <w:sz w:val="32"/>
          <w:szCs w:val="32"/>
          <w:highlight w:val="none"/>
          <w:lang w:val="en-US" w:eastAsia="zh-CN"/>
        </w:rPr>
        <w:t>。</w:t>
      </w:r>
    </w:p>
    <w:p w14:paraId="5A24C73E">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 3 \* GB3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color w:val="auto"/>
          <w:sz w:val="32"/>
          <w:szCs w:val="32"/>
          <w:highlight w:val="none"/>
        </w:rPr>
        <w:t>③</w:t>
      </w:r>
      <w:r>
        <w:rPr>
          <w:rFonts w:hint="default" w:ascii="Times New Roman" w:hAnsi="Times New Roman" w:eastAsia="仿宋_GB2312" w:cs="Times New Roman"/>
          <w:color w:val="auto"/>
          <w:sz w:val="32"/>
          <w:szCs w:val="32"/>
          <w:highlight w:val="none"/>
        </w:rPr>
        <w:fldChar w:fldCharType="end"/>
      </w:r>
      <w:r>
        <w:rPr>
          <w:rFonts w:hint="default" w:ascii="Times New Roman" w:hAnsi="Times New Roman" w:eastAsia="仿宋_GB2312" w:cs="Times New Roman"/>
          <w:color w:val="auto"/>
          <w:sz w:val="32"/>
          <w:szCs w:val="32"/>
          <w:highlight w:val="none"/>
        </w:rPr>
        <w:t>时效指标：</w:t>
      </w:r>
    </w:p>
    <w:p w14:paraId="669DFAC4">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指标1：项目审核按时完率 ，指标值：</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，实际完成值：</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，指标完成率100%。</w:t>
      </w:r>
    </w:p>
    <w:p w14:paraId="4F39CA60">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指标</w:t>
      </w: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val="en-US" w:eastAsia="zh-CN"/>
        </w:rPr>
        <w:t>：项目审核结算资金支付率 ，指标值：</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，实际完成值：</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，指标完成率100%。</w:t>
      </w:r>
    </w:p>
    <w:p w14:paraId="56ACE7F0">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 4 \* GB3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color w:val="auto"/>
          <w:sz w:val="32"/>
          <w:szCs w:val="32"/>
          <w:highlight w:val="none"/>
        </w:rPr>
        <w:t>④</w:t>
      </w:r>
      <w:r>
        <w:rPr>
          <w:rFonts w:hint="default" w:ascii="Times New Roman" w:hAnsi="Times New Roman" w:eastAsia="仿宋_GB2312" w:cs="Times New Roman"/>
          <w:color w:val="auto"/>
          <w:sz w:val="32"/>
          <w:szCs w:val="32"/>
          <w:highlight w:val="none"/>
        </w:rPr>
        <w:fldChar w:fldCharType="end"/>
      </w:r>
      <w:r>
        <w:rPr>
          <w:rFonts w:hint="default" w:ascii="Times New Roman" w:hAnsi="Times New Roman" w:eastAsia="仿宋_GB2312" w:cs="Times New Roman"/>
          <w:color w:val="auto"/>
          <w:sz w:val="32"/>
          <w:szCs w:val="32"/>
          <w:highlight w:val="none"/>
        </w:rPr>
        <w:t>成本指标：</w:t>
      </w:r>
    </w:p>
    <w:p w14:paraId="3415064A">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指标1：人居环境项目审核结算资金，指标值：</w:t>
      </w:r>
      <w:r>
        <w:rPr>
          <w:rFonts w:hint="eastAsia" w:eastAsia="仿宋_GB2312" w:cs="Times New Roman"/>
          <w:color w:val="auto"/>
          <w:sz w:val="32"/>
          <w:szCs w:val="32"/>
          <w:highlight w:val="none"/>
          <w:lang w:val="en-US" w:eastAsia="zh-CN"/>
        </w:rPr>
        <w:t>60万元</w:t>
      </w:r>
      <w:r>
        <w:rPr>
          <w:rFonts w:hint="default" w:ascii="Times New Roman" w:hAnsi="Times New Roman" w:eastAsia="仿宋_GB2312" w:cs="Times New Roman"/>
          <w:color w:val="auto"/>
          <w:sz w:val="32"/>
          <w:szCs w:val="32"/>
          <w:highlight w:val="none"/>
          <w:lang w:val="en-US" w:eastAsia="zh-CN"/>
        </w:rPr>
        <w:t>，实际完成值：</w:t>
      </w:r>
      <w:r>
        <w:rPr>
          <w:rFonts w:hint="eastAsia" w:eastAsia="仿宋_GB2312" w:cs="Times New Roman"/>
          <w:color w:val="auto"/>
          <w:sz w:val="32"/>
          <w:szCs w:val="32"/>
          <w:highlight w:val="none"/>
          <w:lang w:val="en-US" w:eastAsia="zh-CN"/>
        </w:rPr>
        <w:t>60万元</w:t>
      </w:r>
      <w:r>
        <w:rPr>
          <w:rFonts w:hint="default" w:ascii="Times New Roman" w:hAnsi="Times New Roman" w:eastAsia="仿宋_GB2312" w:cs="Times New Roman"/>
          <w:color w:val="auto"/>
          <w:sz w:val="32"/>
          <w:szCs w:val="32"/>
          <w:highlight w:val="none"/>
          <w:lang w:val="en-US" w:eastAsia="zh-CN"/>
        </w:rPr>
        <w:t>，指标完成率100%。</w:t>
      </w:r>
    </w:p>
    <w:p w14:paraId="0ED10AA8">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指标</w:t>
      </w: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val="en-US" w:eastAsia="zh-CN"/>
        </w:rPr>
        <w:t>：巴喀勒克水库项目审核结算资金，指标值：</w:t>
      </w:r>
      <w:r>
        <w:rPr>
          <w:rFonts w:hint="eastAsia" w:eastAsia="仿宋_GB2312" w:cs="Times New Roman"/>
          <w:color w:val="auto"/>
          <w:sz w:val="32"/>
          <w:szCs w:val="32"/>
          <w:highlight w:val="none"/>
          <w:lang w:val="en-US" w:eastAsia="zh-CN"/>
        </w:rPr>
        <w:t>30.37万元</w:t>
      </w:r>
      <w:r>
        <w:rPr>
          <w:rFonts w:hint="default" w:ascii="Times New Roman" w:hAnsi="Times New Roman" w:eastAsia="仿宋_GB2312" w:cs="Times New Roman"/>
          <w:color w:val="auto"/>
          <w:sz w:val="32"/>
          <w:szCs w:val="32"/>
          <w:highlight w:val="none"/>
          <w:lang w:val="en-US" w:eastAsia="zh-CN"/>
        </w:rPr>
        <w:t>，实际完成值：</w:t>
      </w:r>
      <w:r>
        <w:rPr>
          <w:rFonts w:hint="eastAsia" w:eastAsia="仿宋_GB2312" w:cs="Times New Roman"/>
          <w:color w:val="auto"/>
          <w:sz w:val="32"/>
          <w:szCs w:val="32"/>
          <w:highlight w:val="none"/>
          <w:lang w:val="en-US" w:eastAsia="zh-CN"/>
        </w:rPr>
        <w:t>30.37万元</w:t>
      </w:r>
      <w:r>
        <w:rPr>
          <w:rFonts w:hint="default" w:ascii="Times New Roman" w:hAnsi="Times New Roman" w:eastAsia="仿宋_GB2312" w:cs="Times New Roman"/>
          <w:color w:val="auto"/>
          <w:sz w:val="32"/>
          <w:szCs w:val="32"/>
          <w:highlight w:val="none"/>
          <w:lang w:val="en-US" w:eastAsia="zh-CN"/>
        </w:rPr>
        <w:t>，指标完成率100%，。</w:t>
      </w:r>
    </w:p>
    <w:p w14:paraId="155A05CF">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指标</w:t>
      </w:r>
      <w:r>
        <w:rPr>
          <w:rFonts w:hint="eastAsia"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lang w:val="en-US" w:eastAsia="zh-CN"/>
        </w:rPr>
        <w:t>：ZYJNJYPXZX建设项目，指标值：</w:t>
      </w:r>
      <w:r>
        <w:rPr>
          <w:rFonts w:hint="eastAsia" w:eastAsia="仿宋_GB2312" w:cs="Times New Roman"/>
          <w:color w:val="auto"/>
          <w:sz w:val="32"/>
          <w:szCs w:val="32"/>
          <w:highlight w:val="none"/>
          <w:lang w:val="en-US" w:eastAsia="zh-CN"/>
        </w:rPr>
        <w:t>10万元</w:t>
      </w:r>
      <w:r>
        <w:rPr>
          <w:rFonts w:hint="default" w:ascii="Times New Roman" w:hAnsi="Times New Roman" w:eastAsia="仿宋_GB2312" w:cs="Times New Roman"/>
          <w:color w:val="auto"/>
          <w:sz w:val="32"/>
          <w:szCs w:val="32"/>
          <w:highlight w:val="none"/>
          <w:lang w:val="en-US" w:eastAsia="zh-CN"/>
        </w:rPr>
        <w:t>，实际完成值：</w:t>
      </w:r>
      <w:r>
        <w:rPr>
          <w:rFonts w:hint="eastAsia" w:eastAsia="仿宋_GB2312" w:cs="Times New Roman"/>
          <w:color w:val="auto"/>
          <w:sz w:val="32"/>
          <w:szCs w:val="32"/>
          <w:highlight w:val="none"/>
          <w:lang w:val="en-US" w:eastAsia="zh-CN"/>
        </w:rPr>
        <w:t>10万元</w:t>
      </w:r>
      <w:r>
        <w:rPr>
          <w:rFonts w:hint="default" w:ascii="Times New Roman" w:hAnsi="Times New Roman" w:eastAsia="仿宋_GB2312" w:cs="Times New Roman"/>
          <w:color w:val="auto"/>
          <w:sz w:val="32"/>
          <w:szCs w:val="32"/>
          <w:highlight w:val="none"/>
          <w:lang w:val="en-US" w:eastAsia="zh-CN"/>
        </w:rPr>
        <w:t>，指标完成率100%</w:t>
      </w:r>
      <w:r>
        <w:rPr>
          <w:rFonts w:hint="eastAsia" w:eastAsia="仿宋_GB2312" w:cs="Times New Roman"/>
          <w:color w:val="auto"/>
          <w:sz w:val="32"/>
          <w:szCs w:val="32"/>
          <w:highlight w:val="none"/>
          <w:lang w:val="en-US" w:eastAsia="zh-CN"/>
        </w:rPr>
        <w:t>。</w:t>
      </w:r>
    </w:p>
    <w:p w14:paraId="0F4FE517">
      <w:pPr>
        <w:pStyle w:val="10"/>
        <w:numPr>
          <w:ilvl w:val="0"/>
          <w:numId w:val="4"/>
        </w:numPr>
        <w:spacing w:line="560" w:lineRule="exact"/>
        <w:ind w:firstLine="643"/>
        <w:rPr>
          <w:rFonts w:hint="default" w:ascii="Times New Roman" w:hAnsi="Times New Roman" w:eastAsia="楷体_GB2312" w:cs="Times New Roman"/>
          <w:b/>
          <w:bCs/>
          <w:color w:val="auto"/>
          <w:sz w:val="32"/>
          <w:szCs w:val="32"/>
          <w:highlight w:val="none"/>
          <w:lang w:val="en-US" w:eastAsia="zh-CN"/>
        </w:rPr>
      </w:pPr>
      <w:r>
        <w:rPr>
          <w:rFonts w:hint="default" w:ascii="Times New Roman" w:hAnsi="Times New Roman" w:eastAsia="楷体_GB2312" w:cs="Times New Roman"/>
          <w:b/>
          <w:bCs/>
          <w:color w:val="auto"/>
          <w:sz w:val="32"/>
          <w:szCs w:val="32"/>
          <w:highlight w:val="none"/>
          <w:lang w:val="en-US" w:eastAsia="zh-CN"/>
        </w:rPr>
        <w:t>项目效益情况</w:t>
      </w:r>
    </w:p>
    <w:p w14:paraId="47EB3986">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项目效益类指标包括项目实施效益和满意度两方面的内容，由</w:t>
      </w: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val="en-US" w:eastAsia="zh-CN"/>
        </w:rPr>
        <w:t>个三级指标构成，权重分为20分，实际得分</w:t>
      </w:r>
      <w:r>
        <w:rPr>
          <w:rFonts w:hint="eastAsia" w:eastAsia="仿宋_GB2312" w:cs="Times New Roman"/>
          <w:color w:val="auto"/>
          <w:sz w:val="32"/>
          <w:szCs w:val="32"/>
          <w:highlight w:val="none"/>
          <w:lang w:val="en-US" w:eastAsia="zh-CN"/>
        </w:rPr>
        <w:t>20</w:t>
      </w:r>
      <w:r>
        <w:rPr>
          <w:rFonts w:hint="default" w:ascii="Times New Roman" w:hAnsi="Times New Roman" w:eastAsia="仿宋_GB2312" w:cs="Times New Roman"/>
          <w:color w:val="auto"/>
          <w:sz w:val="32"/>
          <w:szCs w:val="32"/>
          <w:highlight w:val="none"/>
          <w:lang w:val="en-US" w:eastAsia="zh-CN"/>
        </w:rPr>
        <w:t>分，得分率为</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%。具体效益指标及满意度指标完成情况如下：</w:t>
      </w:r>
    </w:p>
    <w:p w14:paraId="76CD41B7">
      <w:pPr>
        <w:numPr>
          <w:ilvl w:val="0"/>
          <w:numId w:val="5"/>
        </w:num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实施效益</w:t>
      </w:r>
    </w:p>
    <w:p w14:paraId="18E5580D">
      <w:pPr>
        <w:shd w:val="clear" w:color="auto" w:fill="auto"/>
        <w:spacing w:line="600" w:lineRule="exact"/>
        <w:ind w:firstLine="640" w:firstLineChars="200"/>
        <w:outlineLvl w:val="0"/>
        <w:rPr>
          <w:rFonts w:hint="eastAsia"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①</w:t>
      </w:r>
      <w:r>
        <w:rPr>
          <w:rFonts w:hint="default" w:ascii="Times New Roman" w:hAnsi="Times New Roman" w:eastAsia="仿宋_GB2312" w:cs="Times New Roman"/>
          <w:color w:val="auto"/>
          <w:sz w:val="32"/>
          <w:szCs w:val="32"/>
          <w:highlight w:val="none"/>
        </w:rPr>
        <w:t>社会效益指标：推动各项目审计工作有序顺利进行</w:t>
      </w:r>
      <w:r>
        <w:rPr>
          <w:rFonts w:hint="eastAsia"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指标值：</w:t>
      </w:r>
      <w:r>
        <w:rPr>
          <w:rFonts w:hint="eastAsia" w:eastAsia="仿宋_GB2312" w:cs="Times New Roman"/>
          <w:color w:val="auto"/>
          <w:sz w:val="32"/>
          <w:szCs w:val="32"/>
          <w:highlight w:val="none"/>
          <w:lang w:val="en-US" w:eastAsia="zh-CN"/>
        </w:rPr>
        <w:t>有效推进</w:t>
      </w:r>
      <w:r>
        <w:rPr>
          <w:rFonts w:hint="default" w:ascii="Times New Roman" w:hAnsi="Times New Roman" w:eastAsia="仿宋_GB2312" w:cs="Times New Roman"/>
          <w:color w:val="auto"/>
          <w:sz w:val="32"/>
          <w:szCs w:val="32"/>
          <w:highlight w:val="none"/>
          <w:lang w:val="en-US" w:eastAsia="zh-CN"/>
        </w:rPr>
        <w:t>，实际完成值：</w:t>
      </w:r>
      <w:r>
        <w:rPr>
          <w:rFonts w:hint="eastAsia" w:eastAsia="仿宋_GB2312" w:cs="Times New Roman"/>
          <w:color w:val="auto"/>
          <w:sz w:val="32"/>
          <w:szCs w:val="32"/>
          <w:highlight w:val="none"/>
          <w:lang w:val="en-US" w:eastAsia="zh-CN"/>
        </w:rPr>
        <w:t>有效推进</w:t>
      </w:r>
      <w:r>
        <w:rPr>
          <w:rFonts w:hint="default" w:ascii="Times New Roman" w:hAnsi="Times New Roman" w:eastAsia="仿宋_GB2312" w:cs="Times New Roman"/>
          <w:color w:val="auto"/>
          <w:sz w:val="32"/>
          <w:szCs w:val="32"/>
          <w:highlight w:val="none"/>
          <w:lang w:val="en-US" w:eastAsia="zh-CN"/>
        </w:rPr>
        <w:t>，指标完成率100%。</w:t>
      </w:r>
    </w:p>
    <w:p w14:paraId="5653B204">
      <w:pPr>
        <w:numPr>
          <w:ilvl w:val="0"/>
          <w:numId w:val="5"/>
        </w:numPr>
        <w:shd w:val="clear" w:color="auto" w:fill="auto"/>
        <w:spacing w:line="600" w:lineRule="exact"/>
        <w:ind w:left="0" w:leftChars="0"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满意度</w:t>
      </w:r>
    </w:p>
    <w:p w14:paraId="2E80A8CD">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①</w:t>
      </w:r>
      <w:r>
        <w:rPr>
          <w:rFonts w:hint="default" w:ascii="Times New Roman" w:hAnsi="Times New Roman" w:eastAsia="仿宋_GB2312" w:cs="Times New Roman"/>
          <w:color w:val="auto"/>
          <w:sz w:val="32"/>
          <w:szCs w:val="32"/>
          <w:highlight w:val="none"/>
        </w:rPr>
        <w:t>满意度指标指标</w:t>
      </w:r>
      <w:r>
        <w:rPr>
          <w:rFonts w:hint="eastAsia" w:eastAsia="仿宋_GB2312" w:cs="Times New Roman"/>
          <w:color w:val="auto"/>
          <w:sz w:val="32"/>
          <w:szCs w:val="32"/>
          <w:highlight w:val="none"/>
          <w:lang w:eastAsia="zh-CN"/>
        </w:rPr>
        <w:t>：服务对象满意度，</w:t>
      </w:r>
      <w:r>
        <w:rPr>
          <w:rFonts w:hint="default" w:ascii="Times New Roman" w:hAnsi="Times New Roman" w:eastAsia="仿宋_GB2312" w:cs="Times New Roman"/>
          <w:color w:val="auto"/>
          <w:sz w:val="32"/>
          <w:szCs w:val="32"/>
          <w:highlight w:val="none"/>
          <w:lang w:val="en-US" w:eastAsia="zh-CN"/>
        </w:rPr>
        <w:t>指标值：</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，实际完成值：</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，指标完成率100%。</w:t>
      </w:r>
    </w:p>
    <w:p w14:paraId="1B88166C">
      <w:pPr>
        <w:spacing w:line="560" w:lineRule="exact"/>
        <w:ind w:firstLine="643" w:firstLineChars="200"/>
        <w:rPr>
          <w:rFonts w:hint="default" w:ascii="Times New Roman" w:hAnsi="Times New Roman" w:eastAsia="楷体_GB2312" w:cs="Times New Roman"/>
          <w:b/>
          <w:bCs/>
          <w:color w:val="auto"/>
          <w:sz w:val="32"/>
          <w:szCs w:val="32"/>
          <w:highlight w:val="none"/>
          <w:lang w:val="en-US"/>
        </w:rPr>
      </w:pPr>
      <w:r>
        <w:rPr>
          <w:rFonts w:hint="default" w:ascii="Times New Roman" w:hAnsi="Times New Roman" w:eastAsia="楷体_GB2312" w:cs="Times New Roman"/>
          <w:b/>
          <w:bCs/>
          <w:color w:val="auto"/>
          <w:sz w:val="32"/>
          <w:szCs w:val="32"/>
          <w:highlight w:val="none"/>
          <w:lang w:val="en-US" w:eastAsia="zh-CN"/>
        </w:rPr>
        <w:t>（五）</w:t>
      </w:r>
      <w:r>
        <w:rPr>
          <w:rFonts w:hint="default" w:ascii="Times New Roman" w:hAnsi="Times New Roman" w:eastAsia="楷体_GB2312" w:cs="Times New Roman"/>
          <w:b/>
          <w:bCs/>
          <w:color w:val="auto"/>
          <w:sz w:val="32"/>
          <w:szCs w:val="32"/>
          <w:highlight w:val="none"/>
          <w:lang w:val="en-US"/>
        </w:rPr>
        <w:t>预算执行进度与绩效指标总体完成率偏差</w:t>
      </w:r>
    </w:p>
    <w:p w14:paraId="2167AEDD">
      <w:pPr>
        <w:pStyle w:val="20"/>
        <w:spacing w:line="560" w:lineRule="exact"/>
        <w:ind w:firstLine="640"/>
        <w:rPr>
          <w:rFonts w:hint="eastAsia"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项目结算审计费项目年初预算</w:t>
      </w:r>
      <w:r>
        <w:rPr>
          <w:rFonts w:hint="eastAsia" w:ascii="Times New Roman" w:hAnsi="Times New Roman" w:eastAsia="仿宋_GB2312" w:cs="Times New Roman"/>
          <w:color w:val="auto"/>
          <w:kern w:val="2"/>
          <w:sz w:val="32"/>
          <w:szCs w:val="32"/>
          <w:highlight w:val="none"/>
          <w:lang w:val="en-US" w:eastAsia="zh-CN" w:bidi="ar-SA"/>
        </w:rPr>
        <w:t>100.73</w:t>
      </w:r>
      <w:r>
        <w:rPr>
          <w:rFonts w:hint="default" w:ascii="Times New Roman" w:hAnsi="Times New Roman" w:eastAsia="仿宋_GB2312" w:cs="Times New Roman"/>
          <w:color w:val="auto"/>
          <w:kern w:val="2"/>
          <w:sz w:val="32"/>
          <w:szCs w:val="32"/>
          <w:highlight w:val="none"/>
          <w:lang w:val="en-US" w:eastAsia="zh-CN" w:bidi="ar-SA"/>
        </w:rPr>
        <w:t>万元，全年预算</w:t>
      </w:r>
      <w:r>
        <w:rPr>
          <w:rFonts w:hint="eastAsia" w:ascii="Times New Roman" w:hAnsi="Times New Roman" w:eastAsia="仿宋_GB2312" w:cs="Times New Roman"/>
          <w:color w:val="auto"/>
          <w:kern w:val="2"/>
          <w:sz w:val="32"/>
          <w:szCs w:val="32"/>
          <w:highlight w:val="none"/>
          <w:lang w:val="en-US" w:eastAsia="zh-CN" w:bidi="ar-SA"/>
        </w:rPr>
        <w:t>100.73</w:t>
      </w:r>
      <w:r>
        <w:rPr>
          <w:rFonts w:hint="default" w:ascii="Times New Roman" w:hAnsi="Times New Roman" w:eastAsia="仿宋_GB2312" w:cs="Times New Roman"/>
          <w:color w:val="auto"/>
          <w:kern w:val="2"/>
          <w:sz w:val="32"/>
          <w:szCs w:val="32"/>
          <w:highlight w:val="none"/>
          <w:lang w:val="en-US" w:eastAsia="zh-CN" w:bidi="ar-SA"/>
        </w:rPr>
        <w:t>万元，实际支出</w:t>
      </w:r>
      <w:r>
        <w:rPr>
          <w:rFonts w:hint="eastAsia" w:ascii="Times New Roman" w:hAnsi="Times New Roman" w:eastAsia="仿宋_GB2312" w:cs="Times New Roman"/>
          <w:color w:val="auto"/>
          <w:kern w:val="2"/>
          <w:sz w:val="32"/>
          <w:szCs w:val="32"/>
          <w:highlight w:val="none"/>
          <w:lang w:val="en-US" w:eastAsia="zh-CN" w:bidi="ar-SA"/>
        </w:rPr>
        <w:t>100.73</w:t>
      </w:r>
      <w:r>
        <w:rPr>
          <w:rFonts w:hint="default" w:ascii="Times New Roman" w:hAnsi="Times New Roman" w:eastAsia="仿宋_GB2312" w:cs="Times New Roman"/>
          <w:color w:val="auto"/>
          <w:kern w:val="2"/>
          <w:sz w:val="32"/>
          <w:szCs w:val="32"/>
          <w:highlight w:val="none"/>
          <w:lang w:val="en-US" w:eastAsia="zh-CN" w:bidi="ar-SA"/>
        </w:rPr>
        <w:t>万元，预算执行率为</w:t>
      </w:r>
      <w:r>
        <w:rPr>
          <w:rFonts w:hint="eastAsia" w:ascii="Times New Roman" w:hAnsi="Times New Roman" w:eastAsia="仿宋_GB2312" w:cs="Times New Roman"/>
          <w:color w:val="auto"/>
          <w:kern w:val="2"/>
          <w:sz w:val="32"/>
          <w:szCs w:val="32"/>
          <w:highlight w:val="none"/>
          <w:lang w:val="en-US" w:eastAsia="zh-CN" w:bidi="ar-SA"/>
        </w:rPr>
        <w:t>100</w:t>
      </w:r>
      <w:r>
        <w:rPr>
          <w:rFonts w:hint="default" w:ascii="Times New Roman" w:hAnsi="Times New Roman" w:eastAsia="仿宋_GB2312" w:cs="Times New Roman"/>
          <w:color w:val="auto"/>
          <w:kern w:val="2"/>
          <w:sz w:val="32"/>
          <w:szCs w:val="32"/>
          <w:highlight w:val="none"/>
          <w:lang w:val="en-US" w:eastAsia="zh-CN" w:bidi="ar-SA"/>
        </w:rPr>
        <w:t>%，项目绩效指标总体完成率为</w:t>
      </w:r>
      <w:r>
        <w:rPr>
          <w:rFonts w:hint="eastAsia" w:ascii="Times New Roman" w:hAnsi="Times New Roman" w:eastAsia="仿宋_GB2312" w:cs="Times New Roman"/>
          <w:color w:val="auto"/>
          <w:kern w:val="2"/>
          <w:sz w:val="32"/>
          <w:szCs w:val="32"/>
          <w:highlight w:val="none"/>
          <w:lang w:val="en-US" w:eastAsia="zh-CN" w:bidi="ar-SA"/>
        </w:rPr>
        <w:t>100</w:t>
      </w:r>
      <w:r>
        <w:rPr>
          <w:rFonts w:hint="default"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bidi="ar-SA"/>
        </w:rPr>
        <w:t>总体</w:t>
      </w:r>
      <w:r>
        <w:rPr>
          <w:rFonts w:hint="default" w:ascii="Times New Roman" w:hAnsi="Times New Roman" w:eastAsia="仿宋_GB2312" w:cs="Times New Roman"/>
          <w:color w:val="auto"/>
          <w:kern w:val="2"/>
          <w:sz w:val="32"/>
          <w:szCs w:val="32"/>
          <w:highlight w:val="none"/>
          <w:lang w:val="en-US" w:eastAsia="zh-CN" w:bidi="ar-SA"/>
        </w:rPr>
        <w:t>偏差率为</w:t>
      </w:r>
      <w:r>
        <w:rPr>
          <w:rFonts w:hint="eastAsia" w:ascii="Times New Roman" w:hAnsi="Times New Roman" w:eastAsia="仿宋_GB2312" w:cs="Times New Roman"/>
          <w:color w:val="auto"/>
          <w:kern w:val="2"/>
          <w:sz w:val="32"/>
          <w:szCs w:val="32"/>
          <w:highlight w:val="none"/>
          <w:lang w:val="en-US" w:eastAsia="zh-CN" w:bidi="ar-SA"/>
        </w:rPr>
        <w:t>0</w:t>
      </w:r>
      <w:r>
        <w:rPr>
          <w:rFonts w:hint="default" w:ascii="Times New Roman" w:hAnsi="Times New Roman"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w:t>
      </w:r>
    </w:p>
    <w:p w14:paraId="6322639B">
      <w:pPr>
        <w:spacing w:line="560" w:lineRule="exact"/>
        <w:ind w:firstLine="640" w:firstLineChars="200"/>
        <w:rPr>
          <w:rStyle w:val="19"/>
          <w:rFonts w:hint="default" w:ascii="Times New Roman" w:hAnsi="Times New Roman" w:cs="Times New Roman"/>
          <w:color w:val="auto"/>
          <w:highlight w:val="none"/>
        </w:rPr>
      </w:pPr>
      <w:r>
        <w:rPr>
          <w:rFonts w:hint="eastAsia" w:eastAsia="黑体" w:cs="Times New Roman"/>
          <w:color w:val="auto"/>
          <w:sz w:val="32"/>
          <w:szCs w:val="32"/>
          <w:highlight w:val="none"/>
          <w:lang w:val="en-US" w:eastAsia="zh-CN"/>
        </w:rPr>
        <w:t>五</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黑体" w:cs="Times New Roman"/>
          <w:color w:val="auto"/>
          <w:sz w:val="32"/>
          <w:szCs w:val="32"/>
          <w:highlight w:val="none"/>
        </w:rPr>
        <w:t>主要经验及做法、存在的问题及原因分析</w:t>
      </w:r>
    </w:p>
    <w:p w14:paraId="264A9E1C">
      <w:pPr>
        <w:spacing w:line="560" w:lineRule="exact"/>
        <w:ind w:firstLine="627" w:firstLineChars="200"/>
        <w:rPr>
          <w:rFonts w:hint="default" w:ascii="Times New Roman" w:hAnsi="Times New Roman" w:eastAsia="楷体" w:cs="Times New Roman"/>
          <w:b/>
          <w:color w:val="auto"/>
          <w:spacing w:val="-4"/>
          <w:sz w:val="32"/>
          <w:szCs w:val="32"/>
          <w:highlight w:val="none"/>
        </w:rPr>
      </w:pPr>
      <w:r>
        <w:rPr>
          <w:rFonts w:hint="default" w:ascii="Times New Roman" w:hAnsi="Times New Roman" w:eastAsia="楷体" w:cs="Times New Roman"/>
          <w:b/>
          <w:color w:val="auto"/>
          <w:spacing w:val="-4"/>
          <w:sz w:val="32"/>
          <w:szCs w:val="32"/>
          <w:highlight w:val="none"/>
        </w:rPr>
        <w:t>（一）主要经验及做法</w:t>
      </w:r>
    </w:p>
    <w:p w14:paraId="7AA18A24">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34FA376F">
      <w:pPr>
        <w:pStyle w:val="9"/>
        <w:spacing w:before="0" w:after="0" w:line="560" w:lineRule="exact"/>
        <w:ind w:firstLine="640" w:firstLineChars="200"/>
        <w:jc w:val="left"/>
        <w:rPr>
          <w:rFonts w:hint="default" w:ascii="Times New Roman" w:hAnsi="Times New Roman" w:eastAsia="仿宋_GB2312" w:cs="Times New Roman"/>
          <w:b w:val="0"/>
          <w:bCs w:val="0"/>
          <w:color w:val="auto"/>
          <w:kern w:val="2"/>
          <w:highlight w:val="none"/>
        </w:rPr>
      </w:pPr>
      <w:r>
        <w:rPr>
          <w:rFonts w:hint="default" w:ascii="Times New Roman" w:hAnsi="Times New Roman" w:eastAsia="仿宋_GB2312" w:cs="Times New Roman"/>
          <w:b w:val="0"/>
          <w:bCs w:val="0"/>
          <w:color w:val="auto"/>
          <w:kern w:val="2"/>
          <w:highlight w:val="none"/>
        </w:rPr>
        <w:t>严格坚持先做事、后验收、再拨付的原则，</w:t>
      </w:r>
      <w:r>
        <w:rPr>
          <w:rFonts w:hint="eastAsia" w:ascii="Times New Roman" w:hAnsi="Times New Roman" w:eastAsia="仿宋_GB2312" w:cs="Times New Roman"/>
          <w:b w:val="0"/>
          <w:bCs w:val="0"/>
          <w:color w:val="auto"/>
          <w:kern w:val="2"/>
          <w:highlight w:val="none"/>
          <w:lang w:eastAsia="zh-CN"/>
        </w:rPr>
        <w:t>杜绝</w:t>
      </w:r>
      <w:r>
        <w:rPr>
          <w:rFonts w:hint="default" w:ascii="Times New Roman" w:hAnsi="Times New Roman" w:eastAsia="仿宋_GB2312" w:cs="Times New Roman"/>
          <w:b w:val="0"/>
          <w:bCs w:val="0"/>
          <w:color w:val="auto"/>
          <w:kern w:val="2"/>
          <w:highlight w:val="none"/>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453066D1">
      <w:pPr>
        <w:keepNext/>
        <w:keepLines/>
        <w:numPr>
          <w:ilvl w:val="0"/>
          <w:numId w:val="6"/>
        </w:numPr>
        <w:spacing w:line="560" w:lineRule="exact"/>
        <w:ind w:firstLine="643" w:firstLineChars="200"/>
        <w:rPr>
          <w:rFonts w:hint="default" w:ascii="Times New Roman" w:hAnsi="Times New Roman" w:eastAsia="楷体_GB2312" w:cs="Times New Roman"/>
          <w:b/>
          <w:bCs/>
          <w:color w:val="auto"/>
          <w:sz w:val="32"/>
          <w:szCs w:val="32"/>
          <w:highlight w:val="none"/>
        </w:rPr>
      </w:pPr>
      <w:r>
        <w:rPr>
          <w:rFonts w:hint="default" w:ascii="Times New Roman" w:hAnsi="Times New Roman" w:eastAsia="楷体_GB2312" w:cs="Times New Roman"/>
          <w:b/>
          <w:bCs/>
          <w:color w:val="auto"/>
          <w:sz w:val="32"/>
          <w:szCs w:val="32"/>
          <w:highlight w:val="none"/>
        </w:rPr>
        <w:t>存在的问题及原因分析</w:t>
      </w:r>
    </w:p>
    <w:p w14:paraId="5BCFC010">
      <w:pPr>
        <w:spacing w:line="560" w:lineRule="exact"/>
        <w:ind w:firstLine="640" w:firstLineChars="20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0DF8F072">
      <w:pPr>
        <w:spacing w:line="560" w:lineRule="exact"/>
        <w:ind w:firstLine="640" w:firstLineChars="20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2.因轮岗、调动、等因素使我单位绩效工作人员流动频繁，造成了工作衔接不到位的情况。</w:t>
      </w:r>
    </w:p>
    <w:p w14:paraId="39C91CEA">
      <w:pPr>
        <w:spacing w:line="560" w:lineRule="exact"/>
        <w:ind w:firstLine="640" w:firstLineChars="200"/>
        <w:rPr>
          <w:rFonts w:hint="default" w:ascii="Times New Roman" w:hAnsi="Times New Roman" w:eastAsia="黑体" w:cs="Times New Roman"/>
          <w:color w:val="auto"/>
          <w:sz w:val="32"/>
          <w:szCs w:val="32"/>
          <w:highlight w:val="none"/>
        </w:rPr>
      </w:pPr>
      <w:r>
        <w:rPr>
          <w:rFonts w:hint="eastAsia" w:ascii="Times New Roman" w:hAnsi="Times New Roman" w:eastAsia="黑体" w:cs="Times New Roman"/>
          <w:color w:val="auto"/>
          <w:sz w:val="32"/>
          <w:szCs w:val="32"/>
          <w:highlight w:val="none"/>
          <w:lang w:val="en-US" w:eastAsia="zh-CN"/>
        </w:rPr>
        <w:t>六</w:t>
      </w:r>
      <w:r>
        <w:rPr>
          <w:rFonts w:hint="default" w:ascii="Times New Roman" w:hAnsi="Times New Roman" w:eastAsia="黑体" w:cs="Times New Roman"/>
          <w:color w:val="auto"/>
          <w:sz w:val="32"/>
          <w:szCs w:val="32"/>
          <w:highlight w:val="none"/>
          <w:lang w:val="en-US" w:eastAsia="zh-CN"/>
        </w:rPr>
        <w:t>.</w:t>
      </w:r>
      <w:r>
        <w:rPr>
          <w:rFonts w:hint="default" w:ascii="Times New Roman" w:hAnsi="Times New Roman" w:eastAsia="黑体" w:cs="Times New Roman"/>
          <w:color w:val="auto"/>
          <w:sz w:val="32"/>
          <w:szCs w:val="32"/>
          <w:highlight w:val="none"/>
        </w:rPr>
        <w:t>有关建议</w:t>
      </w:r>
    </w:p>
    <w:p w14:paraId="255035CF">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加强项目事前绩效目标设置工作，对绩效目标进行多种方法评估，确保绩效目标设置科学、合理、准确；二是在对预算年度的经济状况进行全面科学分析的基础上，按照“量入为出、收支平衡、统筹兼顾，确保重点”的原则，合理安排预算收支，将预算资金尽量落实到具体人员、项目，使预算充分反映以政府为主体的资金收支活动全貌，保证预算的可执行性。三是加强项目的督促检查，严格规范资金的使用管理。</w:t>
      </w:r>
    </w:p>
    <w:p w14:paraId="79E5EA6C">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合理设置年初绩效目标，严格按资金具体用途将产出数量目标全部量化至三级指标，据此开展绩效监控和绩效自评工作。二是坚持专款专用的原则，严格按年初拟定的资金使用计划安排支出，不得随意突破计划、改变计划或进行无计划的支出，以提高财政资金支出的计划性与可控性。三是合理编制预算，严格按照预算批复用途使用、工作运行经费，避免出现超预算支出、资金使用不合理、挤占专项资金的现象，严禁将资金用于弥补公用经费不足。</w:t>
      </w:r>
    </w:p>
    <w:p w14:paraId="6E9A91CF">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7007588F">
      <w:pPr>
        <w:shd w:val="clear" w:color="auto" w:fill="auto"/>
        <w:spacing w:line="600" w:lineRule="exact"/>
        <w:ind w:firstLine="640" w:firstLineChars="200"/>
        <w:outlineLvl w:val="0"/>
        <w:rPr>
          <w:rFonts w:hint="default" w:ascii="Times New Roman" w:hAnsi="Times New Roman" w:cs="Times New Roman"/>
          <w:color w:val="auto"/>
          <w:sz w:val="22"/>
          <w:szCs w:val="28"/>
          <w:highlight w:val="none"/>
        </w:rPr>
      </w:pPr>
      <w:r>
        <w:rPr>
          <w:rFonts w:hint="default" w:ascii="Times New Roman" w:hAnsi="Times New Roman" w:eastAsia="仿宋_GB2312" w:cs="Times New Roman"/>
          <w:color w:val="auto"/>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color w:val="auto"/>
          <w:sz w:val="36"/>
          <w:szCs w:val="32"/>
          <w:highlight w:val="none"/>
        </w:rPr>
        <w:t>。</w:t>
      </w:r>
    </w:p>
    <w:p w14:paraId="314E281C">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5.进一步加强对绩效管理工作的组织领导，提高对预算绩效管理工作重要性的认识，总结经验查找问题，抓紧研究制定更全面更完善的绩效评价管理办法。根据项目实际情况，从项目实施数量、质量、时效、成本、社会效益及满意度设置绩效目标，确保从各个方面保障项目的可实现性，科学合理的完成项目。建立全面规范透明、标准科学、约束有力的预算制度，以全面实施预算绩效管理为关键点和突破口，解决好绩效管理中存在的突出问题，推动财政资金聚力增效，加强资金使用部门对绩效评价工作的认识和重视程度，并将评价结果运用于工作始终。建立绩效工作考核制度，加大全局对全面实施预算绩效管理和绩效管理工作的学习力度，让“花钱必问效，无效必问责”的理念深入工作每个环节。</w:t>
      </w:r>
    </w:p>
    <w:p w14:paraId="0E005EB1">
      <w:pPr>
        <w:spacing w:line="560" w:lineRule="exact"/>
        <w:ind w:firstLine="640" w:firstLineChars="200"/>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val="en-US" w:eastAsia="zh-CN"/>
        </w:rPr>
        <w:t>七</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黑体" w:cs="Times New Roman"/>
          <w:color w:val="auto"/>
          <w:sz w:val="32"/>
          <w:szCs w:val="32"/>
          <w:highlight w:val="none"/>
        </w:rPr>
        <w:t>其他需要说</w:t>
      </w:r>
      <w:bookmarkStart w:id="0" w:name="page8"/>
      <w:bookmarkEnd w:id="0"/>
      <w:r>
        <w:rPr>
          <w:rFonts w:hint="default" w:ascii="Times New Roman" w:hAnsi="Times New Roman" w:eastAsia="黑体" w:cs="Times New Roman"/>
          <w:color w:val="auto"/>
          <w:sz w:val="32"/>
          <w:szCs w:val="32"/>
          <w:highlight w:val="none"/>
        </w:rPr>
        <w:t>明的问题</w:t>
      </w:r>
    </w:p>
    <w:p w14:paraId="7CE8DAFA">
      <w:pPr>
        <w:pStyle w:val="11"/>
        <w:spacing w:after="0" w:line="560" w:lineRule="exact"/>
        <w:ind w:left="0" w:leftChars="0" w:firstLine="64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本项目无其他需说明的问题。</w:t>
      </w:r>
    </w:p>
    <w:p w14:paraId="6DED4C65">
      <w:pPr>
        <w:spacing w:line="600" w:lineRule="exact"/>
        <w:rPr>
          <w:rFonts w:hint="eastAsia" w:ascii="Times New Roman" w:hAnsi="Times New Roman" w:eastAsia="黑体" w:cs="Times New Roman"/>
          <w:color w:val="auto"/>
          <w:sz w:val="32"/>
          <w:szCs w:val="32"/>
          <w:highlight w:val="none"/>
          <w:lang w:val="en-US" w:eastAsia="zh-CN"/>
        </w:rPr>
        <w:sectPr>
          <w:footerReference r:id="rId3" w:type="default"/>
          <w:pgSz w:w="11906" w:h="16838"/>
          <w:pgMar w:top="2098" w:right="1531" w:bottom="1984" w:left="1531" w:header="851" w:footer="992" w:gutter="0"/>
          <w:pgNumType w:start="1"/>
          <w:cols w:space="425" w:num="1"/>
          <w:docGrid w:type="lines" w:linePitch="312" w:charSpace="0"/>
        </w:sectPr>
      </w:pPr>
      <w:bookmarkStart w:id="1" w:name="_GoBack"/>
      <w:bookmarkEnd w:id="1"/>
    </w:p>
    <w:p w14:paraId="0BA699F2">
      <w:pPr>
        <w:rPr>
          <w:rFonts w:hint="default" w:ascii="Times New Roman" w:hAnsi="Times New Roman" w:cs="Times New Roman"/>
          <w:color w:val="auto"/>
          <w:highlight w:val="none"/>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0198AC9-4F7C-4C23-B048-4B72BE5CA5C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embedRegular r:id="rId2" w:fontKey="{3A8305D0-09AA-40FC-982E-BB35E4E0E0A4}"/>
  </w:font>
  <w:font w:name="华文中宋">
    <w:panose1 w:val="02010600040101010101"/>
    <w:charset w:val="86"/>
    <w:family w:val="auto"/>
    <w:pitch w:val="default"/>
    <w:sig w:usb0="00000287" w:usb1="080F0000" w:usb2="00000000" w:usb3="00000000" w:csb0="0004009F" w:csb1="DFD70000"/>
    <w:embedRegular r:id="rId3" w:fontKey="{4847409C-4DC2-4382-BA16-39F965084798}"/>
  </w:font>
  <w:font w:name="方正小标宋_GBK">
    <w:altName w:val="微软雅黑"/>
    <w:panose1 w:val="02000000000000000000"/>
    <w:charset w:val="86"/>
    <w:family w:val="script"/>
    <w:pitch w:val="default"/>
    <w:sig w:usb0="00000000" w:usb1="00000000" w:usb2="00082016" w:usb3="00000000" w:csb0="00040001" w:csb1="00000000"/>
    <w:embedRegular r:id="rId4" w:fontKey="{28BEE500-67AE-43D9-83F6-A15204A8153B}"/>
  </w:font>
  <w:font w:name="微软雅黑">
    <w:panose1 w:val="020B0503020204020204"/>
    <w:charset w:val="86"/>
    <w:family w:val="auto"/>
    <w:pitch w:val="default"/>
    <w:sig w:usb0="80000287" w:usb1="2ACF3C50" w:usb2="00000016" w:usb3="00000000" w:csb0="0004001F" w:csb1="00000000"/>
  </w:font>
  <w:font w:name="方正小标宋简体">
    <w:panose1 w:val="02000000000000000000"/>
    <w:charset w:val="86"/>
    <w:family w:val="auto"/>
    <w:pitch w:val="default"/>
    <w:sig w:usb0="00000001" w:usb1="08000000" w:usb2="00000000" w:usb3="00000000" w:csb0="00040000" w:csb1="00000000"/>
    <w:embedRegular r:id="rId5" w:fontKey="{EE46E9F3-1B86-46ED-B2D0-C32D3ED770B3}"/>
  </w:font>
  <w:font w:name="楷体_GB2312">
    <w:altName w:val="楷体"/>
    <w:panose1 w:val="02010609030101010101"/>
    <w:charset w:val="86"/>
    <w:family w:val="auto"/>
    <w:pitch w:val="default"/>
    <w:sig w:usb0="00000000" w:usb1="00000000" w:usb2="00000000" w:usb3="00000000" w:csb0="00040000" w:csb1="00000000"/>
    <w:embedRegular r:id="rId6" w:fontKey="{092F3DC4-A8CF-4E87-B8A6-FF91D496F4A3}"/>
  </w:font>
  <w:font w:name="方正仿宋_GBK">
    <w:altName w:val="微软雅黑"/>
    <w:panose1 w:val="02000000000000000000"/>
    <w:charset w:val="86"/>
    <w:family w:val="auto"/>
    <w:pitch w:val="default"/>
    <w:sig w:usb0="00000000" w:usb1="00000000" w:usb2="00082016" w:usb3="00000000" w:csb0="00040001" w:csb1="00000000"/>
    <w:embedRegular r:id="rId7" w:fontKey="{90EE3143-B377-4A60-81F4-589DC67E7AA2}"/>
  </w:font>
  <w:font w:name="楷体">
    <w:panose1 w:val="02010609060101010101"/>
    <w:charset w:val="86"/>
    <w:family w:val="modern"/>
    <w:pitch w:val="default"/>
    <w:sig w:usb0="800002BF" w:usb1="38CF7CFA" w:usb2="00000016" w:usb3="00000000" w:csb0="00040001" w:csb1="00000000"/>
    <w:embedRegular r:id="rId8" w:fontKey="{B02175AE-0E87-4903-8CB4-C3C46245B067}"/>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13BA14F2">
        <w:pPr>
          <w:pStyle w:val="6"/>
          <w:jc w:val="center"/>
        </w:pPr>
        <w:r>
          <w:fldChar w:fldCharType="begin"/>
        </w:r>
        <w:r>
          <w:instrText xml:space="preserve">PAGE   \* MERGEFORMAT</w:instrText>
        </w:r>
        <w:r>
          <w:fldChar w:fldCharType="separate"/>
        </w:r>
        <w:r>
          <w:rPr>
            <w:lang w:val="zh-CN"/>
          </w:rPr>
          <w:t>13</w:t>
        </w:r>
        <w:r>
          <w:fldChar w:fldCharType="end"/>
        </w:r>
      </w:p>
    </w:sdtContent>
  </w:sdt>
  <w:p w14:paraId="5275201A">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1"/>
      <w:numFmt w:val="decimal"/>
      <w:lvlText w:val="%1."/>
      <w:lvlJc w:val="left"/>
      <w:pPr>
        <w:tabs>
          <w:tab w:val="left" w:pos="312"/>
        </w:tabs>
      </w:pPr>
    </w:lvl>
  </w:abstractNum>
  <w:abstractNum w:abstractNumId="1">
    <w:nsid w:val="BF205925"/>
    <w:multiLevelType w:val="singleLevel"/>
    <w:tmpl w:val="BF205925"/>
    <w:lvl w:ilvl="0" w:tentative="0">
      <w:start w:val="2"/>
      <w:numFmt w:val="chineseCounting"/>
      <w:suff w:val="nothing"/>
      <w:lvlText w:val="（%1）"/>
      <w:lvlJc w:val="left"/>
      <w:rPr>
        <w:rFonts w:hint="eastAsia"/>
      </w:rPr>
    </w:lvl>
  </w:abstractNum>
  <w:abstractNum w:abstractNumId="2">
    <w:nsid w:val="CF092B84"/>
    <w:multiLevelType w:val="singleLevel"/>
    <w:tmpl w:val="CF092B84"/>
    <w:lvl w:ilvl="0" w:tentative="0">
      <w:start w:val="3"/>
      <w:numFmt w:val="chineseCounting"/>
      <w:suff w:val="nothing"/>
      <w:lvlText w:val="（%1）"/>
      <w:lvlJc w:val="left"/>
      <w:rPr>
        <w:rFonts w:hint="eastAsia"/>
      </w:rPr>
    </w:lvl>
  </w:abstractNum>
  <w:abstractNum w:abstractNumId="3">
    <w:nsid w:val="0053208E"/>
    <w:multiLevelType w:val="singleLevel"/>
    <w:tmpl w:val="0053208E"/>
    <w:lvl w:ilvl="0" w:tentative="0">
      <w:start w:val="1"/>
      <w:numFmt w:val="decimal"/>
      <w:suff w:val="nothing"/>
      <w:lvlText w:val="（%1）"/>
      <w:lvlJc w:val="left"/>
    </w:lvl>
  </w:abstractNum>
  <w:abstractNum w:abstractNumId="4">
    <w:nsid w:val="03D62ECE"/>
    <w:multiLevelType w:val="singleLevel"/>
    <w:tmpl w:val="03D62ECE"/>
    <w:lvl w:ilvl="0" w:tentative="0">
      <w:start w:val="2"/>
      <w:numFmt w:val="chineseCounting"/>
      <w:suff w:val="nothing"/>
      <w:lvlText w:val="（%1）"/>
      <w:lvlJc w:val="left"/>
      <w:rPr>
        <w:rFonts w:hint="eastAsia"/>
      </w:rPr>
    </w:lvl>
  </w:abstractNum>
  <w:abstractNum w:abstractNumId="5">
    <w:nsid w:val="59ADCABA"/>
    <w:multiLevelType w:val="singleLevel"/>
    <w:tmpl w:val="59ADCABA"/>
    <w:lvl w:ilvl="0" w:tentative="0">
      <w:start w:val="3"/>
      <w:numFmt w:val="chineseCounting"/>
      <w:suff w:val="nothing"/>
      <w:lvlText w:val="%1、"/>
      <w:lvlJc w:val="left"/>
      <w:rPr>
        <w:rFonts w:hint="eastAsia"/>
      </w:rPr>
    </w:lvl>
  </w:abstractNum>
  <w:num w:numId="1">
    <w:abstractNumId w:val="3"/>
  </w:num>
  <w:num w:numId="2">
    <w:abstractNumId w:val="2"/>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00000000"/>
    <w:rsid w:val="6CAE61DC"/>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pPr>
      <w:spacing w:after="120"/>
    </w:pPr>
  </w:style>
  <w:style w:type="paragraph" w:styleId="4">
    <w:name w:val="Body Text Indent"/>
    <w:basedOn w:val="1"/>
    <w:qFormat/>
    <w:uiPriority w:val="0"/>
    <w:pPr>
      <w:spacing w:after="120"/>
      <w:ind w:left="420" w:leftChars="200"/>
    </w:pPr>
    <w:rPr>
      <w:rFonts w:ascii="Calibri" w:hAnsi="Calibri"/>
    </w:rPr>
  </w:style>
  <w:style w:type="paragraph" w:styleId="5">
    <w:name w:val="Balloon Text"/>
    <w:basedOn w:val="1"/>
    <w:link w:val="21"/>
    <w:qFormat/>
    <w:uiPriority w:val="0"/>
    <w:rPr>
      <w:sz w:val="18"/>
      <w:szCs w:val="18"/>
    </w:rPr>
  </w:style>
  <w:style w:type="paragraph" w:styleId="6">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7">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rPr>
  </w:style>
  <w:style w:type="paragraph" w:styleId="9">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0">
    <w:name w:val="Body Text First Indent"/>
    <w:basedOn w:val="3"/>
    <w:qFormat/>
    <w:uiPriority w:val="0"/>
    <w:pPr>
      <w:spacing w:after="0"/>
      <w:ind w:firstLine="200" w:firstLineChars="200"/>
    </w:pPr>
  </w:style>
  <w:style w:type="paragraph" w:styleId="11">
    <w:name w:val="Body Text First Indent 2"/>
    <w:basedOn w:val="4"/>
    <w:qFormat/>
    <w:uiPriority w:val="0"/>
    <w:pPr>
      <w:ind w:firstLine="420" w:firstLineChars="200"/>
    </w:pPr>
  </w:style>
  <w:style w:type="table" w:styleId="13">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5">
    <w:name w:val="Strong"/>
    <w:basedOn w:val="14"/>
    <w:qFormat/>
    <w:uiPriority w:val="0"/>
    <w:rPr>
      <w:b/>
      <w:bCs/>
    </w:rPr>
  </w:style>
  <w:style w:type="paragraph" w:customStyle="1" w:styleId="16">
    <w:name w:val="Comment Text"/>
    <w:basedOn w:val="1"/>
    <w:link w:val="23"/>
    <w:qFormat/>
    <w:uiPriority w:val="0"/>
    <w:pPr>
      <w:jc w:val="left"/>
    </w:pPr>
  </w:style>
  <w:style w:type="paragraph" w:customStyle="1" w:styleId="17">
    <w:name w:val="Comment Subject"/>
    <w:basedOn w:val="16"/>
    <w:next w:val="16"/>
    <w:link w:val="24"/>
    <w:qFormat/>
    <w:uiPriority w:val="0"/>
    <w:rPr>
      <w:b/>
      <w:bCs/>
    </w:rPr>
  </w:style>
  <w:style w:type="character" w:customStyle="1" w:styleId="18">
    <w:name w:val="Comment Reference"/>
    <w:basedOn w:val="14"/>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4"/>
    <w:link w:val="5"/>
    <w:qFormat/>
    <w:uiPriority w:val="0"/>
    <w:rPr>
      <w:rFonts w:ascii="Times New Roman" w:hAnsi="Times New Roman" w:eastAsia="宋体" w:cs="Times New Roman"/>
      <w:kern w:val="2"/>
      <w:sz w:val="18"/>
      <w:szCs w:val="18"/>
    </w:rPr>
  </w:style>
  <w:style w:type="character" w:customStyle="1" w:styleId="22">
    <w:name w:val="页眉 字符"/>
    <w:basedOn w:val="14"/>
    <w:link w:val="7"/>
    <w:qFormat/>
    <w:uiPriority w:val="0"/>
    <w:rPr>
      <w:rFonts w:ascii="Times New Roman" w:hAnsi="Times New Roman" w:eastAsia="宋体" w:cs="Times New Roman"/>
      <w:kern w:val="2"/>
      <w:sz w:val="18"/>
      <w:szCs w:val="18"/>
    </w:rPr>
  </w:style>
  <w:style w:type="character" w:customStyle="1" w:styleId="23">
    <w:name w:val="批注文字 字符"/>
    <w:basedOn w:val="14"/>
    <w:link w:val="16"/>
    <w:qFormat/>
    <w:uiPriority w:val="0"/>
    <w:rPr>
      <w:rFonts w:ascii="Times New Roman" w:hAnsi="Times New Roman" w:eastAsia="宋体" w:cs="Times New Roman"/>
      <w:kern w:val="2"/>
      <w:sz w:val="21"/>
      <w:szCs w:val="24"/>
    </w:rPr>
  </w:style>
  <w:style w:type="character" w:customStyle="1" w:styleId="24">
    <w:name w:val="批注主题 字符"/>
    <w:basedOn w:val="23"/>
    <w:link w:val="17"/>
    <w:qFormat/>
    <w:uiPriority w:val="0"/>
    <w:rPr>
      <w:rFonts w:ascii="Times New Roman" w:hAnsi="Times New Roman" w:eastAsia="宋体" w:cs="Times New Roman"/>
      <w:b/>
      <w:bCs/>
      <w:kern w:val="2"/>
      <w:sz w:val="21"/>
      <w:szCs w:val="24"/>
    </w:rPr>
  </w:style>
  <w:style w:type="character" w:customStyle="1" w:styleId="25">
    <w:name w:val="font11"/>
    <w:basedOn w:val="14"/>
    <w:qFormat/>
    <w:uiPriority w:val="0"/>
    <w:rPr>
      <w:rFonts w:hint="default" w:ascii="Calibri" w:hAnsi="Calibri" w:cs="Calibri"/>
      <w:color w:val="000000"/>
      <w:sz w:val="16"/>
      <w:szCs w:val="16"/>
      <w:u w:val="none"/>
    </w:rPr>
  </w:style>
  <w:style w:type="character" w:customStyle="1" w:styleId="26">
    <w:name w:val="font21"/>
    <w:basedOn w:val="14"/>
    <w:qFormat/>
    <w:uiPriority w:val="0"/>
    <w:rPr>
      <w:rFonts w:hint="eastAsia"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F1A32EB7C53F433780EB4BD1AD3DECDF_13</vt:lpwstr>
  </property>
  <property fmtid="{D5CDD505-2E9C-101B-9397-08002B2CF9AE}" pid="4" name="KSOTemplateDocerSaveRecord">
    <vt:lpwstr>eyJoZGlkIjoiMTk4ZjMzZTkxMDUzOWUwYzQ4OTViM2UwODBmYmY3N2QifQ==</vt:lpwstr>
  </property>
</Properties>
</file>

<file path=customXml/itemProps1.xml><?xml version="1.0" encoding="utf-8"?>
<ds:datastoreItem xmlns:ds="http://schemas.openxmlformats.org/officeDocument/2006/customXml" ds:itemID="{45be4438-4b5b-4a92-a18e-75945253c5e1}">
  <ds:schemaRefs/>
</ds:datastoreItem>
</file>

<file path=docProps/app.xml><?xml version="1.0" encoding="utf-8"?>
<Properties xmlns="http://schemas.openxmlformats.org/officeDocument/2006/extended-properties" xmlns:vt="http://schemas.openxmlformats.org/officeDocument/2006/docPropsVTypes">
  <Template>Normal</Template>
  <Pages>24</Pages>
  <Words>12563</Words>
  <Characters>13090</Characters>
  <Lines>58</Lines>
  <Paragraphs>16</Paragraphs>
  <TotalTime>31</TotalTime>
  <ScaleCrop>false</ScaleCrop>
  <LinksUpToDate>false</LinksUpToDate>
  <CharactersWithSpaces>13119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来财&amp;十个勤天</cp:lastModifiedBy>
  <cp:lastPrinted>2025-05-20T09:26:00Z</cp:lastPrinted>
  <dcterms:modified xsi:type="dcterms:W3CDTF">2025-11-13T07:37:59Z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F1A32EB7C53F433780EB4BD1AD3DECDF_13</vt:lpwstr>
  </property>
  <property fmtid="{D5CDD505-2E9C-101B-9397-08002B2CF9AE}" pid="4" name="KSOTemplateDocerSaveRecord">
    <vt:lpwstr>eyJoZGlkIjoiNTM1NjJiMTUwNmFhZWNlZmQwNDVjMDAxNDMwM2IwMDkiLCJ1c2VySWQiOiIzNzI2MDMzNTYifQ==</vt:lpwstr>
  </property>
</Properties>
</file>