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特克斯县喀拉托海镇卫生院2024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90BC9D">
      <w:r>
        <w:br w:type="page"/>
      </w:r>
    </w:p>
    <w:p w14:paraId="620CA745">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146E5931">
      <w:pPr>
        <w:spacing w:line="640" w:lineRule="exact"/>
        <w:ind w:firstLine="640"/>
        <w:jc w:val="both"/>
        <w:outlineLvl w:val="2"/>
      </w:pPr>
      <w:r>
        <w:rPr>
          <w:rFonts w:ascii="黑体" w:hAnsi="黑体" w:eastAsia="黑体"/>
          <w:sz w:val="32"/>
        </w:rPr>
        <w:t>一、主要职能</w:t>
      </w:r>
    </w:p>
    <w:p w14:paraId="5F3DAB02">
      <w:pPr>
        <w:spacing w:line="580" w:lineRule="exact"/>
        <w:ind w:firstLine="640"/>
        <w:jc w:val="both"/>
      </w:pPr>
      <w:r>
        <w:rPr>
          <w:rFonts w:ascii="仿宋_GB2312" w:hAnsi="仿宋_GB2312" w:eastAsia="仿宋_GB2312"/>
          <w:sz w:val="32"/>
        </w:rPr>
        <w:t>（一）为人民健康医疗与预防保健服务，常见病多发病治疗和护理。</w:t>
      </w:r>
    </w:p>
    <w:p w14:paraId="3232A019">
      <w:pPr>
        <w:spacing w:line="580" w:lineRule="exact"/>
        <w:ind w:firstLine="640"/>
        <w:jc w:val="both"/>
      </w:pPr>
      <w:r>
        <w:rPr>
          <w:rFonts w:ascii="仿宋_GB2312" w:hAnsi="仿宋_GB2312" w:eastAsia="仿宋_GB2312"/>
          <w:sz w:val="32"/>
        </w:rPr>
        <w:t>（二）预防保健；卫生人员技术培训。</w:t>
      </w:r>
    </w:p>
    <w:p w14:paraId="321FDA83">
      <w:pPr>
        <w:spacing w:line="580" w:lineRule="exact"/>
        <w:ind w:firstLine="640"/>
        <w:jc w:val="both"/>
      </w:pPr>
      <w:r>
        <w:rPr>
          <w:rFonts w:ascii="仿宋_GB2312" w:hAnsi="仿宋_GB2312" w:eastAsia="仿宋_GB2312"/>
          <w:sz w:val="32"/>
        </w:rPr>
        <w:t>（三）职能表现形式有:疾病控制防疫、妇幼儿童保健、门诊住院医疗、急诊抢救、防病治病等救死扶伤等。</w:t>
      </w:r>
    </w:p>
    <w:p w14:paraId="0BC2D3D2">
      <w:pPr>
        <w:spacing w:line="580" w:lineRule="exact"/>
        <w:ind w:firstLine="640"/>
        <w:jc w:val="both"/>
      </w:pPr>
      <w:r>
        <w:rPr>
          <w:rFonts w:ascii="仿宋_GB2312" w:hAnsi="仿宋_GB2312" w:eastAsia="仿宋_GB2312"/>
          <w:sz w:val="32"/>
        </w:rPr>
        <w:t>（四）承担辖区内乡村级公共卫生的管理并负责村级卫生机构的技术指导和乡村医生的培训。</w:t>
      </w:r>
    </w:p>
    <w:p w14:paraId="681EDF63">
      <w:pPr>
        <w:spacing w:line="640" w:lineRule="exact"/>
        <w:ind w:firstLine="640"/>
        <w:jc w:val="both"/>
        <w:outlineLvl w:val="2"/>
      </w:pPr>
      <w:r>
        <w:rPr>
          <w:rFonts w:ascii="黑体" w:hAnsi="黑体" w:eastAsia="黑体"/>
          <w:sz w:val="32"/>
        </w:rPr>
        <w:t>二、机构设置及人员情况</w:t>
      </w:r>
    </w:p>
    <w:p w14:paraId="7CF6FB2E">
      <w:pPr>
        <w:spacing w:line="580" w:lineRule="exact"/>
        <w:ind w:firstLine="640"/>
        <w:jc w:val="both"/>
      </w:pPr>
      <w:r>
        <w:rPr>
          <w:rFonts w:ascii="仿宋_GB2312" w:hAnsi="仿宋_GB2312" w:eastAsia="仿宋_GB2312"/>
          <w:sz w:val="32"/>
        </w:rPr>
        <w:t>特克斯县喀拉托海镇卫生院2024年度，实有人数36人，其中：在职人员24人，增加0人；离休人员0人，增加0人；退休人员12人,增加0人。</w:t>
      </w:r>
    </w:p>
    <w:p w14:paraId="136A3970">
      <w:pPr>
        <w:spacing w:line="580" w:lineRule="exact"/>
        <w:ind w:firstLine="640"/>
        <w:jc w:val="both"/>
      </w:pPr>
      <w:r>
        <w:rPr>
          <w:rFonts w:ascii="仿宋_GB2312" w:hAnsi="仿宋_GB2312" w:eastAsia="仿宋_GB2312"/>
          <w:sz w:val="32"/>
        </w:rPr>
        <w:t>特克斯县喀拉托海镇卫生院无下属预算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，下设6个科室，分别是：体检科、内科、外科、妇产科、药房、公共卫生科。</w:t>
      </w:r>
    </w:p>
    <w:p w14:paraId="509A2DBE">
      <w:r>
        <w:br w:type="page"/>
      </w:r>
    </w:p>
    <w:p w14:paraId="338DEE6B">
      <w:pPr>
        <w:spacing w:line="240" w:lineRule="auto"/>
        <w:jc w:val="center"/>
        <w:outlineLvl w:val="1"/>
      </w:pPr>
      <w:r>
        <w:rPr>
          <w:rFonts w:ascii="黑体" w:hAnsi="黑体" w:eastAsia="黑体"/>
          <w:sz w:val="32"/>
        </w:rPr>
        <w:t>第二部分 部门决算情况说明</w:t>
      </w:r>
    </w:p>
    <w:p w14:paraId="75767C07">
      <w:pPr>
        <w:spacing w:line="640" w:lineRule="exact"/>
        <w:ind w:firstLine="640"/>
        <w:jc w:val="both"/>
        <w:outlineLvl w:val="2"/>
      </w:pPr>
      <w:r>
        <w:rPr>
          <w:rFonts w:ascii="黑体" w:hAnsi="黑体" w:eastAsia="黑体"/>
          <w:sz w:val="32"/>
        </w:rPr>
        <w:t>一、收入支出决算总体情况说明</w:t>
      </w:r>
    </w:p>
    <w:p w14:paraId="6281AA78">
      <w:pPr>
        <w:spacing w:line="580" w:lineRule="exact"/>
        <w:ind w:firstLine="640"/>
        <w:jc w:val="both"/>
      </w:pPr>
      <w:r>
        <w:rPr>
          <w:rFonts w:ascii="仿宋_GB2312" w:hAnsi="仿宋_GB2312" w:eastAsia="仿宋_GB2312"/>
          <w:b/>
          <w:sz w:val="32"/>
        </w:rPr>
        <w:t>2024年度收入总计668.12万元，</w:t>
      </w:r>
      <w:r>
        <w:rPr>
          <w:rFonts w:ascii="仿宋_GB2312" w:hAnsi="仿宋_GB2312" w:eastAsia="仿宋_GB2312"/>
          <w:b w:val="0"/>
          <w:sz w:val="32"/>
        </w:rPr>
        <w:t>其中：本年收入合计668.12万元，使用非财政拨款结余（含专用结余）0.00万元，年初结转和结余0.00万元。</w:t>
      </w:r>
    </w:p>
    <w:p w14:paraId="738DC7D3">
      <w:pPr>
        <w:spacing w:line="580" w:lineRule="exact"/>
        <w:ind w:firstLine="640"/>
        <w:jc w:val="both"/>
      </w:pPr>
      <w:r>
        <w:rPr>
          <w:rFonts w:ascii="仿宋_GB2312" w:hAnsi="仿宋_GB2312" w:eastAsia="仿宋_GB2312"/>
          <w:b/>
          <w:sz w:val="32"/>
        </w:rPr>
        <w:t>2024年度支出总计668.12万元，</w:t>
      </w:r>
      <w:r>
        <w:rPr>
          <w:rFonts w:ascii="仿宋_GB2312" w:hAnsi="仿宋_GB2312" w:eastAsia="仿宋_GB2312"/>
          <w:b w:val="0"/>
          <w:sz w:val="32"/>
        </w:rPr>
        <w:t>其中：本年支出合计668.12万元，结余分配0.00万元，年末结转和结余0.00万元。</w:t>
      </w:r>
    </w:p>
    <w:p w14:paraId="150D1F9C">
      <w:pPr>
        <w:spacing w:line="580" w:lineRule="exact"/>
        <w:ind w:firstLine="640"/>
        <w:jc w:val="both"/>
      </w:pPr>
      <w:r>
        <w:rPr>
          <w:rFonts w:ascii="仿宋_GB2312" w:hAnsi="仿宋_GB2312" w:eastAsia="仿宋_GB2312"/>
          <w:b w:val="0"/>
          <w:sz w:val="32"/>
        </w:rPr>
        <w:t>收入支出总体与上年相比，减少30.63万元，下降4.38%，主要原因是：本年度门诊、住院诊疗人次数较上年减少，导致经费减少。</w:t>
      </w:r>
    </w:p>
    <w:p w14:paraId="0E554948">
      <w:pPr>
        <w:spacing w:line="640" w:lineRule="exact"/>
        <w:ind w:firstLine="640"/>
        <w:jc w:val="both"/>
        <w:outlineLvl w:val="2"/>
      </w:pPr>
      <w:r>
        <w:rPr>
          <w:rFonts w:ascii="黑体" w:hAnsi="黑体" w:eastAsia="黑体"/>
          <w:sz w:val="32"/>
        </w:rPr>
        <w:t>二、收入决算情况说明</w:t>
      </w:r>
    </w:p>
    <w:p w14:paraId="3F509261">
      <w:pPr>
        <w:spacing w:line="580" w:lineRule="exact"/>
        <w:ind w:firstLine="640"/>
        <w:jc w:val="both"/>
      </w:pPr>
      <w:r>
        <w:rPr>
          <w:rFonts w:ascii="仿宋_GB2312" w:hAnsi="仿宋_GB2312" w:eastAsia="仿宋_GB2312"/>
          <w:b/>
          <w:sz w:val="32"/>
        </w:rPr>
        <w:t>本年收入668.12万元，</w:t>
      </w:r>
      <w:r>
        <w:rPr>
          <w:rFonts w:ascii="仿宋_GB2312" w:hAnsi="仿宋_GB2312" w:eastAsia="仿宋_GB2312"/>
          <w:b w:val="0"/>
          <w:sz w:val="32"/>
        </w:rPr>
        <w:t>其中：财政拨款收入488.17万元，占73.07%；上级补助收入0.00万元，占0.00%；事业收入179.45万元，占26.86%；经营收入0.00万元，占0.00%；附属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上缴收入0.00万元，占0.00%；其他收入0.50万元，占0.07%。</w:t>
      </w:r>
    </w:p>
    <w:p w14:paraId="211DD07C">
      <w:pPr>
        <w:spacing w:line="640" w:lineRule="exact"/>
        <w:ind w:firstLine="640"/>
        <w:jc w:val="both"/>
        <w:outlineLvl w:val="2"/>
      </w:pPr>
      <w:r>
        <w:rPr>
          <w:rFonts w:ascii="黑体" w:hAnsi="黑体" w:eastAsia="黑体"/>
          <w:sz w:val="32"/>
        </w:rPr>
        <w:t>三、支出决算情况说明</w:t>
      </w:r>
    </w:p>
    <w:p w14:paraId="4064337F">
      <w:pPr>
        <w:spacing w:line="580" w:lineRule="exact"/>
        <w:ind w:firstLine="640"/>
        <w:jc w:val="both"/>
      </w:pPr>
      <w:r>
        <w:rPr>
          <w:rFonts w:ascii="仿宋_GB2312" w:hAnsi="仿宋_GB2312" w:eastAsia="仿宋_GB2312"/>
          <w:b/>
          <w:sz w:val="32"/>
        </w:rPr>
        <w:t>本年支出668.12万元，</w:t>
      </w:r>
      <w:r>
        <w:rPr>
          <w:rFonts w:ascii="仿宋_GB2312" w:hAnsi="仿宋_GB2312" w:eastAsia="仿宋_GB2312"/>
          <w:b w:val="0"/>
          <w:sz w:val="32"/>
        </w:rPr>
        <w:t>其中：基本支出533.49万元，占79.85%；项目支出134.64万元，占20.15%；上缴上级支出0.00万元，占0.00%；经营支出0.00万元，占0.00%；对附属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6FE1FE8">
      <w:pPr>
        <w:spacing w:line="640" w:lineRule="exact"/>
        <w:ind w:firstLine="640"/>
        <w:jc w:val="both"/>
        <w:outlineLvl w:val="2"/>
      </w:pPr>
      <w:r>
        <w:rPr>
          <w:rFonts w:ascii="黑体" w:hAnsi="黑体" w:eastAsia="黑体"/>
          <w:sz w:val="32"/>
        </w:rPr>
        <w:t>四、财政拨款收入支出决算总体情况说明</w:t>
      </w:r>
    </w:p>
    <w:p w14:paraId="6577D636">
      <w:pPr>
        <w:spacing w:line="580" w:lineRule="exact"/>
        <w:ind w:firstLine="640"/>
        <w:jc w:val="both"/>
      </w:pPr>
      <w:r>
        <w:rPr>
          <w:rFonts w:ascii="仿宋_GB2312" w:hAnsi="仿宋_GB2312" w:eastAsia="仿宋_GB2312"/>
          <w:b/>
          <w:sz w:val="32"/>
        </w:rPr>
        <w:t>2024年度财政拨款收入总计488.17万元，</w:t>
      </w:r>
      <w:r>
        <w:rPr>
          <w:rFonts w:ascii="仿宋_GB2312" w:hAnsi="仿宋_GB2312" w:eastAsia="仿宋_GB2312"/>
          <w:b w:val="0"/>
          <w:sz w:val="32"/>
        </w:rPr>
        <w:t>其中：年初财政拨款结转和结余0.00万元，本年财政拨款收入488.17万元。</w:t>
      </w:r>
      <w:r>
        <w:rPr>
          <w:rFonts w:ascii="仿宋_GB2312" w:hAnsi="仿宋_GB2312" w:eastAsia="仿宋_GB2312"/>
          <w:b/>
          <w:sz w:val="32"/>
        </w:rPr>
        <w:t>财政拨款支出总计488.17万元，</w:t>
      </w:r>
      <w:r>
        <w:rPr>
          <w:rFonts w:ascii="仿宋_GB2312" w:hAnsi="仿宋_GB2312" w:eastAsia="仿宋_GB2312"/>
          <w:b w:val="0"/>
          <w:sz w:val="32"/>
        </w:rPr>
        <w:t>其中：年末财政拨款结转和结余0.00万元，本年财政拨款支出488.17万元。</w:t>
      </w:r>
    </w:p>
    <w:p w14:paraId="51E771F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增加10.95万元，增长2.29%，主要原因是：本年自治区基本公共卫生服务补助资金（地方公共卫生）</w:t>
      </w:r>
      <w:r>
        <w:rPr>
          <w:rFonts w:hint="eastAsia" w:ascii="仿宋_GB2312" w:hAnsi="仿宋_GB2312" w:eastAsia="仿宋_GB2312"/>
          <w:b w:val="0"/>
          <w:sz w:val="32"/>
          <w:lang w:val="en-US" w:eastAsia="zh-CN"/>
        </w:rPr>
        <w:t>较上年</w:t>
      </w:r>
      <w:r>
        <w:rPr>
          <w:rFonts w:ascii="仿宋_GB2312" w:hAnsi="仿宋_GB2312" w:eastAsia="仿宋_GB2312"/>
          <w:b w:val="0"/>
          <w:sz w:val="32"/>
        </w:rPr>
        <w:t>增加。增加中央基本药物制度补助资金。</w:t>
      </w:r>
      <w:r>
        <w:rPr>
          <w:rFonts w:ascii="仿宋_GB2312" w:hAnsi="仿宋_GB2312" w:eastAsia="仿宋_GB2312"/>
          <w:b/>
          <w:sz w:val="32"/>
        </w:rPr>
        <w:t>与年初预算相比，</w:t>
      </w:r>
      <w:r>
        <w:rPr>
          <w:rFonts w:ascii="仿宋_GB2312" w:hAnsi="仿宋_GB2312" w:eastAsia="仿宋_GB2312"/>
          <w:b w:val="0"/>
          <w:sz w:val="32"/>
        </w:rPr>
        <w:t>年初预算数489.52万元，决算数488.17万元，预决算差异率-0.28%，主要原因是：本年度大病保险医疗基数下调，年中调减经费，导致预决算差异。</w:t>
      </w:r>
    </w:p>
    <w:p w14:paraId="7D0F74D9">
      <w:pPr>
        <w:spacing w:line="640" w:lineRule="exact"/>
        <w:ind w:firstLine="640"/>
        <w:jc w:val="both"/>
        <w:outlineLvl w:val="2"/>
      </w:pPr>
      <w:r>
        <w:rPr>
          <w:rFonts w:ascii="黑体" w:hAnsi="黑体" w:eastAsia="黑体"/>
          <w:sz w:val="32"/>
        </w:rPr>
        <w:t>五、一般公共预算财政拨款支出决算情况说明</w:t>
      </w:r>
    </w:p>
    <w:p w14:paraId="66BA95E0">
      <w:pPr>
        <w:spacing w:line="640" w:lineRule="exact"/>
        <w:ind w:firstLine="640"/>
        <w:jc w:val="both"/>
        <w:outlineLvl w:val="3"/>
      </w:pPr>
      <w:r>
        <w:rPr>
          <w:rFonts w:ascii="楷体_GB2312" w:hAnsi="楷体_GB2312" w:eastAsia="楷体_GB2312"/>
          <w:b/>
          <w:sz w:val="32"/>
        </w:rPr>
        <w:t>（一）一般公共预算财政拨款支出决算总体情况</w:t>
      </w:r>
    </w:p>
    <w:p w14:paraId="11CF0017">
      <w:pPr>
        <w:spacing w:line="580" w:lineRule="exact"/>
        <w:ind w:firstLine="640"/>
        <w:jc w:val="both"/>
      </w:pPr>
      <w:r>
        <w:rPr>
          <w:rFonts w:ascii="仿宋_GB2312" w:hAnsi="仿宋_GB2312" w:eastAsia="仿宋_GB2312"/>
          <w:b/>
          <w:sz w:val="32"/>
        </w:rPr>
        <w:t>2024年度一般公共预算财政拨款支出486.47万元，</w:t>
      </w:r>
      <w:r>
        <w:rPr>
          <w:rFonts w:ascii="仿宋_GB2312" w:hAnsi="仿宋_GB2312" w:eastAsia="仿宋_GB2312"/>
          <w:b w:val="0"/>
          <w:sz w:val="32"/>
        </w:rPr>
        <w:t>占本年支出合计的72.81%。</w:t>
      </w:r>
      <w:r>
        <w:rPr>
          <w:rFonts w:ascii="仿宋_GB2312" w:hAnsi="仿宋_GB2312" w:eastAsia="仿宋_GB2312"/>
          <w:b/>
          <w:sz w:val="32"/>
        </w:rPr>
        <w:t>与上年相比，</w:t>
      </w:r>
      <w:r>
        <w:rPr>
          <w:rFonts w:ascii="仿宋_GB2312" w:hAnsi="仿宋_GB2312" w:eastAsia="仿宋_GB2312"/>
          <w:b w:val="0"/>
          <w:sz w:val="32"/>
        </w:rPr>
        <w:t>增加9.25万元，增长1.94%，主要原因是：本年自治区基本公共卫生服务补助资金（地方公共卫生）</w:t>
      </w:r>
      <w:r>
        <w:rPr>
          <w:rFonts w:hint="eastAsia" w:ascii="仿宋_GB2312" w:hAnsi="仿宋_GB2312" w:eastAsia="仿宋_GB2312"/>
          <w:b w:val="0"/>
          <w:sz w:val="32"/>
          <w:lang w:val="en-US" w:eastAsia="zh-CN"/>
        </w:rPr>
        <w:t>较上年</w:t>
      </w:r>
      <w:r>
        <w:rPr>
          <w:rFonts w:ascii="仿宋_GB2312" w:hAnsi="仿宋_GB2312" w:eastAsia="仿宋_GB2312"/>
          <w:b w:val="0"/>
          <w:sz w:val="32"/>
        </w:rPr>
        <w:t>增加。增加中央基本药物制度补助资金。</w:t>
      </w:r>
      <w:r>
        <w:rPr>
          <w:rFonts w:ascii="仿宋_GB2312" w:hAnsi="仿宋_GB2312" w:eastAsia="仿宋_GB2312"/>
          <w:b/>
          <w:sz w:val="32"/>
        </w:rPr>
        <w:t>与年初预算相比,</w:t>
      </w:r>
      <w:r>
        <w:rPr>
          <w:rFonts w:ascii="仿宋_GB2312" w:hAnsi="仿宋_GB2312" w:eastAsia="仿宋_GB2312"/>
          <w:b w:val="0"/>
          <w:sz w:val="32"/>
        </w:rPr>
        <w:t>年初预算数487.82万元，决算数486.47万元，预决算差异率-0.28%，主要原因是：本年度大病保险医疗基数下调，年中调减经费，导致预决算差异。</w:t>
      </w:r>
    </w:p>
    <w:p w14:paraId="42DF4DC5">
      <w:pPr>
        <w:spacing w:line="640" w:lineRule="exact"/>
        <w:ind w:firstLine="640"/>
        <w:jc w:val="both"/>
        <w:outlineLvl w:val="3"/>
      </w:pPr>
      <w:r>
        <w:rPr>
          <w:rFonts w:ascii="楷体_GB2312" w:hAnsi="楷体_GB2312" w:eastAsia="楷体_GB2312"/>
          <w:b/>
          <w:sz w:val="32"/>
        </w:rPr>
        <w:t>（二）一般公共预算财政拨款支出决算结构情况</w:t>
      </w:r>
    </w:p>
    <w:p w14:paraId="11B3979E">
      <w:pPr>
        <w:spacing w:line="580" w:lineRule="exact"/>
        <w:ind w:firstLine="640"/>
        <w:jc w:val="both"/>
      </w:pPr>
      <w:r>
        <w:rPr>
          <w:rFonts w:ascii="仿宋_GB2312" w:hAnsi="仿宋_GB2312" w:eastAsia="仿宋_GB2312"/>
          <w:b w:val="0"/>
          <w:sz w:val="32"/>
        </w:rPr>
        <w:t>1.社会保障和就业支出(类)36.96万元,占7.60%。</w:t>
      </w:r>
    </w:p>
    <w:p w14:paraId="245D7289">
      <w:pPr>
        <w:spacing w:line="580" w:lineRule="exact"/>
        <w:ind w:firstLine="640"/>
        <w:jc w:val="both"/>
      </w:pPr>
      <w:r>
        <w:rPr>
          <w:rFonts w:ascii="仿宋_GB2312" w:hAnsi="仿宋_GB2312" w:eastAsia="仿宋_GB2312"/>
          <w:b w:val="0"/>
          <w:sz w:val="32"/>
        </w:rPr>
        <w:t>2.卫生健康支出(类)422.25万元,占86.80%。</w:t>
      </w:r>
    </w:p>
    <w:p w14:paraId="305D8E3F">
      <w:pPr>
        <w:spacing w:line="580" w:lineRule="exact"/>
        <w:ind w:firstLine="640"/>
        <w:jc w:val="both"/>
      </w:pPr>
      <w:r>
        <w:rPr>
          <w:rFonts w:ascii="仿宋_GB2312" w:hAnsi="仿宋_GB2312" w:eastAsia="仿宋_GB2312"/>
          <w:b w:val="0"/>
          <w:sz w:val="32"/>
        </w:rPr>
        <w:t>3.住房保障支出(类)27.27万元,占5.61%。</w:t>
      </w:r>
    </w:p>
    <w:p w14:paraId="38AFECA2">
      <w:pPr>
        <w:spacing w:line="640" w:lineRule="exact"/>
        <w:ind w:firstLine="640"/>
        <w:jc w:val="both"/>
        <w:outlineLvl w:val="3"/>
      </w:pPr>
      <w:r>
        <w:rPr>
          <w:rFonts w:ascii="楷体_GB2312" w:hAnsi="楷体_GB2312" w:eastAsia="楷体_GB2312"/>
          <w:b/>
          <w:sz w:val="32"/>
        </w:rPr>
        <w:t>（三）一般公共预算财政拨款支出决算具体情况</w:t>
      </w:r>
    </w:p>
    <w:p w14:paraId="0AF2233C">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基本养老保险缴费支出(项):支出决算数为34.65万元，比上年决算增加2.80万元，增长8.79%,主要原因是：本年在职人员工资基数调增，养老缴费基数上涨，相应支出增加。</w:t>
      </w:r>
    </w:p>
    <w:p w14:paraId="441BD5BA">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职业年金缴费支出(项):支出决算数为0.00万元，比上年决算减少5.58万元，下降100.00%,主要原因是：本年无新增退休人员，无职业年金缴费支出。</w:t>
      </w:r>
    </w:p>
    <w:p w14:paraId="1E396F40">
      <w:pPr>
        <w:spacing w:line="580" w:lineRule="exact"/>
        <w:ind w:firstLine="640"/>
        <w:jc w:val="both"/>
      </w:pPr>
      <w:r>
        <w:rPr>
          <w:rFonts w:ascii="仿宋_GB2312" w:hAnsi="仿宋_GB2312" w:eastAsia="仿宋_GB2312"/>
          <w:b w:val="0"/>
          <w:sz w:val="32"/>
        </w:rPr>
        <w:t>3.社会保障和就业支出(类)抚恤(款)死亡抚恤(项):支出决算数为2.30万元，比上年决算减少7.25万元，下降75.92%,主要原因是：本年无新增去世人员，减少死亡抚恤支出。</w:t>
      </w:r>
    </w:p>
    <w:p w14:paraId="0345AE52">
      <w:pPr>
        <w:spacing w:line="580" w:lineRule="exact"/>
        <w:ind w:firstLine="640"/>
        <w:jc w:val="both"/>
      </w:pPr>
      <w:r>
        <w:rPr>
          <w:rFonts w:ascii="仿宋_GB2312" w:hAnsi="仿宋_GB2312" w:eastAsia="仿宋_GB2312"/>
          <w:b w:val="0"/>
          <w:sz w:val="32"/>
        </w:rPr>
        <w:t>4.卫生健康支出(类)基层医疗卫生机构(款)乡镇卫生院(项):支出决算数为274.91万元，比上年决算减少5.70万元，下降2.03%,主要原因是：本年在职人员调入调出，人员职级不同，</w:t>
      </w:r>
      <w:r>
        <w:rPr>
          <w:rFonts w:hint="eastAsia" w:ascii="仿宋_GB2312" w:hAnsi="仿宋_GB2312" w:eastAsia="仿宋_GB2312"/>
          <w:b w:val="0"/>
          <w:sz w:val="32"/>
          <w:lang w:val="en-US" w:eastAsia="zh-CN"/>
        </w:rPr>
        <w:t>人员</w:t>
      </w:r>
      <w:bookmarkStart w:id="0" w:name="_GoBack"/>
      <w:bookmarkEnd w:id="0"/>
      <w:r>
        <w:rPr>
          <w:rFonts w:hint="eastAsia" w:ascii="仿宋_GB2312" w:hAnsi="仿宋_GB2312" w:eastAsia="仿宋_GB2312"/>
          <w:b w:val="0"/>
          <w:sz w:val="32"/>
          <w:lang w:val="en-US" w:eastAsia="zh-CN"/>
        </w:rPr>
        <w:t>经费</w:t>
      </w:r>
      <w:r>
        <w:rPr>
          <w:rFonts w:ascii="仿宋_GB2312" w:hAnsi="仿宋_GB2312" w:eastAsia="仿宋_GB2312"/>
          <w:b w:val="0"/>
          <w:sz w:val="32"/>
        </w:rPr>
        <w:t>减少。</w:t>
      </w:r>
    </w:p>
    <w:p w14:paraId="5E6F6AF6">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19.39万元，比上年决算增加5.12万元，增长35.88%,主要原因是：本年度加大基本药物制度的扶持力度，增加中央基本药物制度补助资金。</w:t>
      </w:r>
    </w:p>
    <w:p w14:paraId="581FC7F3">
      <w:pPr>
        <w:spacing w:line="580" w:lineRule="exact"/>
        <w:ind w:firstLine="640"/>
        <w:jc w:val="both"/>
      </w:pPr>
      <w:r>
        <w:rPr>
          <w:rFonts w:ascii="仿宋_GB2312" w:hAnsi="仿宋_GB2312" w:eastAsia="仿宋_GB2312"/>
          <w:b w:val="0"/>
          <w:sz w:val="32"/>
        </w:rPr>
        <w:t>6.卫生健康支出(类)公共卫生(款)基本公共卫生服务(项):支出决算数为79.88万元，比上年决算增加3.42万元，增长4.47%,主要原因是：2024年本</w:t>
      </w:r>
      <w:r>
        <w:rPr>
          <w:rFonts w:hint="eastAsia" w:ascii="仿宋_GB2312" w:hAnsi="仿宋_GB2312" w:eastAsia="仿宋_GB2312"/>
          <w:b w:val="0"/>
          <w:sz w:val="32"/>
          <w:lang w:eastAsia="zh-CN"/>
        </w:rPr>
        <w:t>单位</w:t>
      </w:r>
      <w:r>
        <w:rPr>
          <w:rFonts w:ascii="仿宋_GB2312" w:hAnsi="仿宋_GB2312" w:eastAsia="仿宋_GB2312"/>
          <w:b w:val="0"/>
          <w:sz w:val="32"/>
        </w:rPr>
        <w:t>辖区基本公共卫生受益人群范围扩大，基本公共卫生补助支出增加。</w:t>
      </w:r>
    </w:p>
    <w:p w14:paraId="345785AD">
      <w:pPr>
        <w:spacing w:line="580" w:lineRule="exact"/>
        <w:ind w:firstLine="640"/>
        <w:jc w:val="both"/>
      </w:pPr>
      <w:r>
        <w:rPr>
          <w:rFonts w:ascii="仿宋_GB2312" w:hAnsi="仿宋_GB2312" w:eastAsia="仿宋_GB2312"/>
          <w:b w:val="0"/>
          <w:sz w:val="32"/>
        </w:rPr>
        <w:t>7.卫生健康支出(类)公共卫生(款)重大公共卫生服务(项):支出决算数为33.67万元，比上年决算增加33.67万元，增长100.00%,主要原因是：本年功能科目调整，2023年自治区基本公共卫生服务补助资金（地方公共卫生）上年在其他公共卫生支出科目列支，本年调整到重大公共卫生服务科目列支，导致经费增加。</w:t>
      </w:r>
    </w:p>
    <w:p w14:paraId="38C06BEE">
      <w:pPr>
        <w:spacing w:line="580" w:lineRule="exact"/>
        <w:ind w:firstLine="640"/>
        <w:jc w:val="both"/>
      </w:pPr>
      <w:r>
        <w:rPr>
          <w:rFonts w:ascii="仿宋_GB2312" w:hAnsi="仿宋_GB2312" w:eastAsia="仿宋_GB2312"/>
          <w:b w:val="0"/>
          <w:sz w:val="32"/>
        </w:rPr>
        <w:t>8.卫生健康支出(类)公共卫生(款)其他公共卫生支出(项):支出决算数为0.00万元，比上年决算减少18.98万元，下降100.00%,主要原因是：本年功能科目调整，2023年自治区基本公共卫生服务补助资金（地方公共卫生）上年在其他公共卫生支出科目列支，本年调整到重大公共卫生服务科目列支，导致经费减少。</w:t>
      </w:r>
    </w:p>
    <w:p w14:paraId="3428212C">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医疗(项):支出决算数为14.11万元，比上年决算减少0.18万元，下降1.26%,主要原因是：本年在职人员调入调出，人员职级不同，缴费基数不同，导致事业</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16180744">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医疗支出(项):支出决算数为0.29万元，比上年决算减少0.14万元，下降32.56%,主要原因是：本年度大病保险医疗基数下调，故经费支出减少。</w:t>
      </w:r>
    </w:p>
    <w:p w14:paraId="1ACA2A03">
      <w:pPr>
        <w:spacing w:line="580" w:lineRule="exact"/>
        <w:ind w:firstLine="640"/>
        <w:jc w:val="both"/>
      </w:pPr>
      <w:r>
        <w:rPr>
          <w:rFonts w:ascii="仿宋_GB2312" w:hAnsi="仿宋_GB2312" w:eastAsia="仿宋_GB2312"/>
          <w:b w:val="0"/>
          <w:sz w:val="32"/>
        </w:rPr>
        <w:t>11.住房保障支出(类)住房改革支出(款)住房公积金(项):支出决算数为27.27万元，比上年决算增加2.06万元，增长8.17%,主要原因是：本年在职人员工资基数调增，公积金缴费基数上涨，相应支出增加。</w:t>
      </w:r>
    </w:p>
    <w:p w14:paraId="720F2BDE">
      <w:pPr>
        <w:spacing w:line="640" w:lineRule="exact"/>
        <w:ind w:firstLine="640"/>
        <w:jc w:val="both"/>
        <w:outlineLvl w:val="2"/>
      </w:pPr>
      <w:r>
        <w:rPr>
          <w:rFonts w:ascii="黑体" w:hAnsi="黑体" w:eastAsia="黑体"/>
          <w:sz w:val="32"/>
        </w:rPr>
        <w:t>六、一般公共预算财政拨款基本支出决算情况说明</w:t>
      </w:r>
    </w:p>
    <w:p w14:paraId="2B74F3CE">
      <w:pPr>
        <w:spacing w:line="580" w:lineRule="exact"/>
        <w:ind w:firstLine="640"/>
        <w:jc w:val="both"/>
      </w:pPr>
      <w:r>
        <w:rPr>
          <w:rFonts w:ascii="仿宋_GB2312" w:hAnsi="仿宋_GB2312" w:eastAsia="仿宋_GB2312"/>
          <w:b w:val="0"/>
          <w:sz w:val="32"/>
        </w:rPr>
        <w:t>2024年度一般公共预算财政拨款基本支出353.53万元，其中：</w:t>
      </w:r>
      <w:r>
        <w:rPr>
          <w:rFonts w:ascii="仿宋_GB2312" w:hAnsi="仿宋_GB2312" w:eastAsia="仿宋_GB2312"/>
          <w:b/>
          <w:sz w:val="32"/>
        </w:rPr>
        <w:t>人员经费353.26万元，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基本养老保险缴费、职工基本医疗保险缴费、其他社会保障缴费、住房公积金、退休费、生活补助。</w:t>
      </w:r>
    </w:p>
    <w:p w14:paraId="35E72ABB">
      <w:pPr>
        <w:spacing w:line="580" w:lineRule="exact"/>
        <w:ind w:firstLine="640"/>
        <w:jc w:val="both"/>
      </w:pPr>
      <w:r>
        <w:rPr>
          <w:rFonts w:ascii="仿宋_GB2312" w:hAnsi="仿宋_GB2312" w:eastAsia="仿宋_GB2312"/>
          <w:b/>
          <w:sz w:val="32"/>
        </w:rPr>
        <w:t>公用经费0.27万元，</w:t>
      </w:r>
      <w:r>
        <w:rPr>
          <w:rFonts w:ascii="仿宋_GB2312" w:hAnsi="仿宋_GB2312" w:eastAsia="仿宋_GB2312"/>
          <w:b w:val="0"/>
          <w:sz w:val="32"/>
        </w:rPr>
        <w:t>包括：工会经费。</w:t>
      </w:r>
    </w:p>
    <w:p w14:paraId="5B0478B2">
      <w:pPr>
        <w:spacing w:line="640" w:lineRule="exact"/>
        <w:ind w:firstLine="640"/>
        <w:jc w:val="both"/>
        <w:outlineLvl w:val="2"/>
      </w:pPr>
      <w:r>
        <w:rPr>
          <w:rFonts w:ascii="黑体" w:hAnsi="黑体" w:eastAsia="黑体"/>
          <w:sz w:val="32"/>
        </w:rPr>
        <w:t>七、政府性基金预算财政拨款收入支出决算情况说明</w:t>
      </w:r>
    </w:p>
    <w:p w14:paraId="3CA8B8DF">
      <w:pPr>
        <w:spacing w:line="580" w:lineRule="exact"/>
        <w:ind w:firstLine="640"/>
        <w:jc w:val="both"/>
      </w:pPr>
      <w:r>
        <w:rPr>
          <w:rFonts w:ascii="仿宋_GB2312" w:hAnsi="仿宋_GB2312" w:eastAsia="仿宋_GB2312"/>
          <w:b/>
          <w:sz w:val="32"/>
        </w:rPr>
        <w:t>2024年度政府性基金预算财政拨款收入总计1.70万元，</w:t>
      </w:r>
      <w:r>
        <w:rPr>
          <w:rFonts w:ascii="仿宋_GB2312" w:hAnsi="仿宋_GB2312" w:eastAsia="仿宋_GB2312"/>
          <w:b w:val="0"/>
          <w:sz w:val="32"/>
        </w:rPr>
        <w:t>其中：年初结转和结余0.00万元，本年收入1.70万元。</w:t>
      </w:r>
      <w:r>
        <w:rPr>
          <w:rFonts w:ascii="仿宋_GB2312" w:hAnsi="仿宋_GB2312" w:eastAsia="仿宋_GB2312"/>
          <w:b/>
          <w:sz w:val="32"/>
        </w:rPr>
        <w:t>政府性基金预算财政拨款支出总计1.70万元，</w:t>
      </w:r>
      <w:r>
        <w:rPr>
          <w:rFonts w:ascii="仿宋_GB2312" w:hAnsi="仿宋_GB2312" w:eastAsia="仿宋_GB2312"/>
          <w:b w:val="0"/>
          <w:sz w:val="32"/>
        </w:rPr>
        <w:t>其中：年末结转和结余0.00万元，本年支出1.70万元。</w:t>
      </w:r>
    </w:p>
    <w:p w14:paraId="69F499E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增加1.70万元，增长100.00%，主要原因是：本年度新增2024年中央专项彩票公益金支出</w:t>
      </w:r>
      <w:r>
        <w:rPr>
          <w:rFonts w:hint="eastAsia" w:ascii="仿宋_GB2312" w:hAnsi="仿宋_GB2312" w:eastAsia="仿宋_GB2312"/>
          <w:b w:val="0"/>
          <w:sz w:val="32"/>
          <w:lang w:eastAsia="zh-CN"/>
        </w:rPr>
        <w:t>－</w:t>
      </w:r>
      <w:r>
        <w:rPr>
          <w:rFonts w:ascii="仿宋_GB2312" w:hAnsi="仿宋_GB2312" w:eastAsia="仿宋_GB2312"/>
          <w:b w:val="0"/>
          <w:sz w:val="32"/>
        </w:rPr>
        <w:t>专用材料费。</w:t>
      </w:r>
      <w:r>
        <w:rPr>
          <w:rFonts w:ascii="仿宋_GB2312" w:hAnsi="仿宋_GB2312" w:eastAsia="仿宋_GB2312"/>
          <w:b/>
          <w:sz w:val="32"/>
        </w:rPr>
        <w:t>与年初预算相比，</w:t>
      </w:r>
      <w:r>
        <w:rPr>
          <w:rFonts w:ascii="仿宋_GB2312" w:hAnsi="仿宋_GB2312" w:eastAsia="仿宋_GB2312"/>
          <w:b w:val="0"/>
          <w:sz w:val="32"/>
        </w:rPr>
        <w:t>年初预算数1.70万元，决算数1.70万元，预决算差异率0.00%，主要原因是：严格按照预算执行，预决算无差异。</w:t>
      </w:r>
    </w:p>
    <w:p w14:paraId="7CAF2047">
      <w:pPr>
        <w:spacing w:line="580" w:lineRule="exact"/>
        <w:ind w:firstLine="640"/>
        <w:jc w:val="both"/>
      </w:pPr>
      <w:r>
        <w:rPr>
          <w:rFonts w:ascii="仿宋_GB2312" w:hAnsi="仿宋_GB2312" w:eastAsia="仿宋_GB2312"/>
          <w:b w:val="0"/>
          <w:sz w:val="32"/>
        </w:rPr>
        <w:t>政府性基金预算财政拨款支出1.70万元。</w:t>
      </w:r>
    </w:p>
    <w:p w14:paraId="311E8E01">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1.其他支出(类)彩票公益金安排的支出(款)用于社会福利的彩票公益金支出(项):支出决算数为1.70万元，比上年决算增加1.70万元，增长100.00%,主要原因是：本年度新增2024年中央专项彩票公益金支出</w:t>
      </w:r>
      <w:r>
        <w:rPr>
          <w:rFonts w:hint="eastAsia" w:ascii="仿宋_GB2312" w:hAnsi="仿宋_GB2312" w:eastAsia="仿宋_GB2312"/>
          <w:b w:val="0"/>
          <w:sz w:val="32"/>
          <w:lang w:eastAsia="zh-CN"/>
        </w:rPr>
        <w:t>－</w:t>
      </w:r>
      <w:r>
        <w:rPr>
          <w:rFonts w:ascii="仿宋_GB2312" w:hAnsi="仿宋_GB2312" w:eastAsia="仿宋_GB2312"/>
          <w:b w:val="0"/>
          <w:sz w:val="32"/>
        </w:rPr>
        <w:t>专用材料费。</w:t>
      </w:r>
    </w:p>
    <w:p w14:paraId="6B8CADB0">
      <w:pPr>
        <w:spacing w:line="640" w:lineRule="exact"/>
        <w:ind w:firstLine="640"/>
        <w:jc w:val="both"/>
        <w:outlineLvl w:val="2"/>
      </w:pPr>
      <w:r>
        <w:rPr>
          <w:rFonts w:ascii="黑体" w:hAnsi="黑体" w:eastAsia="黑体"/>
          <w:sz w:val="32"/>
        </w:rPr>
        <w:t>八、国有资本经营预算财政拨款收入支出决算情况说明</w:t>
      </w:r>
    </w:p>
    <w:p w14:paraId="7740395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DA73442">
      <w:pPr>
        <w:spacing w:line="640" w:lineRule="exact"/>
        <w:ind w:firstLine="640"/>
        <w:jc w:val="both"/>
        <w:outlineLvl w:val="2"/>
      </w:pPr>
      <w:r>
        <w:rPr>
          <w:rFonts w:ascii="黑体" w:hAnsi="黑体" w:eastAsia="黑体"/>
          <w:sz w:val="32"/>
        </w:rPr>
        <w:t>九、财政拨款“三公”经费支出决算情况说明</w:t>
      </w:r>
    </w:p>
    <w:p w14:paraId="04DF270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6A47255">
      <w:pPr>
        <w:spacing w:line="580" w:lineRule="exact"/>
        <w:ind w:firstLine="640"/>
        <w:jc w:val="both"/>
      </w:pPr>
      <w:r>
        <w:rPr>
          <w:rFonts w:ascii="仿宋_GB2312" w:hAnsi="仿宋_GB2312" w:eastAsia="仿宋_GB2312"/>
          <w:b/>
          <w:sz w:val="32"/>
        </w:rPr>
        <w:t>具体情况如下：</w:t>
      </w:r>
    </w:p>
    <w:p w14:paraId="12566C97">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E52D7A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无公务用车运行维护费。公务用车购置数0辆，公务用车保有量0辆。国有资产占用情况中固定资产车辆2辆，与公务用车保有量差异原因是：</w:t>
      </w:r>
      <w:r>
        <w:rPr>
          <w:rFonts w:hint="eastAsia" w:ascii="仿宋_GB2312" w:hAnsi="仿宋_GB2312" w:eastAsia="仿宋_GB2312"/>
          <w:b w:val="0"/>
          <w:sz w:val="32"/>
          <w:lang w:eastAsia="zh-CN"/>
        </w:rPr>
        <w:t>单位</w:t>
      </w:r>
      <w:r>
        <w:rPr>
          <w:rFonts w:ascii="仿宋_GB2312" w:hAnsi="仿宋_GB2312" w:eastAsia="仿宋_GB2312"/>
          <w:b w:val="0"/>
          <w:sz w:val="32"/>
        </w:rPr>
        <w:t>业务用车，车辆费用未使用财政拨款公务用车运行维护费支付，由</w:t>
      </w:r>
      <w:r>
        <w:rPr>
          <w:rFonts w:hint="eastAsia" w:ascii="仿宋_GB2312" w:hAnsi="仿宋_GB2312" w:eastAsia="仿宋_GB2312"/>
          <w:b w:val="0"/>
          <w:sz w:val="32"/>
          <w:lang w:eastAsia="zh-CN"/>
        </w:rPr>
        <w:t>单位</w:t>
      </w:r>
      <w:r>
        <w:rPr>
          <w:rFonts w:ascii="仿宋_GB2312" w:hAnsi="仿宋_GB2312" w:eastAsia="仿宋_GB2312"/>
          <w:b w:val="0"/>
          <w:sz w:val="32"/>
        </w:rPr>
        <w:t>自有经费保障。</w:t>
      </w:r>
    </w:p>
    <w:p w14:paraId="1356FFE1">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698030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931F1AA">
      <w:pPr>
        <w:spacing w:line="640" w:lineRule="exact"/>
        <w:ind w:firstLine="640"/>
        <w:jc w:val="both"/>
        <w:outlineLvl w:val="2"/>
      </w:pPr>
      <w:r>
        <w:rPr>
          <w:rFonts w:ascii="黑体" w:hAnsi="黑体" w:eastAsia="黑体"/>
          <w:sz w:val="32"/>
        </w:rPr>
        <w:t>十、其他重要事项的情况说明</w:t>
      </w:r>
    </w:p>
    <w:p w14:paraId="7D9F47CE">
      <w:pPr>
        <w:spacing w:line="640" w:lineRule="exact"/>
        <w:ind w:firstLine="640"/>
        <w:jc w:val="both"/>
        <w:outlineLvl w:val="3"/>
      </w:pPr>
      <w:r>
        <w:rPr>
          <w:rFonts w:ascii="楷体_GB2312" w:hAnsi="楷体_GB2312" w:eastAsia="楷体_GB2312"/>
          <w:b/>
          <w:sz w:val="32"/>
        </w:rPr>
        <w:t>（一）机关运行经费及公用经费支出情况</w:t>
      </w:r>
    </w:p>
    <w:p w14:paraId="1C047BA9">
      <w:pPr>
        <w:spacing w:line="580" w:lineRule="exact"/>
        <w:ind w:firstLine="640"/>
        <w:jc w:val="both"/>
      </w:pPr>
      <w:r>
        <w:rPr>
          <w:rFonts w:ascii="仿宋_GB2312" w:hAnsi="仿宋_GB2312" w:eastAsia="仿宋_GB2312"/>
          <w:b w:val="0"/>
          <w:sz w:val="32"/>
        </w:rPr>
        <w:t>2024年度特克斯县喀拉托海镇卫生院（事业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）公用经费支出0.27万元，比上年增加0.27万元，增长100.00%，主要原因是：本年度公用经费用于支付工会经费。</w:t>
      </w:r>
    </w:p>
    <w:p w14:paraId="794978A1">
      <w:pPr>
        <w:spacing w:line="640" w:lineRule="exact"/>
        <w:ind w:firstLine="640"/>
        <w:jc w:val="both"/>
        <w:outlineLvl w:val="3"/>
      </w:pPr>
      <w:r>
        <w:rPr>
          <w:rFonts w:ascii="楷体_GB2312" w:hAnsi="楷体_GB2312" w:eastAsia="楷体_GB2312"/>
          <w:b/>
          <w:sz w:val="32"/>
        </w:rPr>
        <w:t>（二）政府采购情况</w:t>
      </w:r>
    </w:p>
    <w:p w14:paraId="783A01AF">
      <w:pPr>
        <w:spacing w:line="580" w:lineRule="exact"/>
        <w:ind w:firstLine="640"/>
        <w:jc w:val="both"/>
      </w:pPr>
      <w:r>
        <w:rPr>
          <w:rFonts w:ascii="仿宋_GB2312" w:hAnsi="仿宋_GB2312" w:eastAsia="仿宋_GB2312"/>
          <w:b w:val="0"/>
          <w:sz w:val="32"/>
        </w:rPr>
        <w:t>2024年度政府采购支出总额5.46万元，其中：政府采购货物支出4.26万元、政府采购工程支出0.00万元、政府采购服务支出1.20万元。</w:t>
      </w:r>
    </w:p>
    <w:p w14:paraId="64DD0D3F">
      <w:pPr>
        <w:spacing w:line="580" w:lineRule="exact"/>
        <w:ind w:firstLine="640"/>
        <w:jc w:val="both"/>
      </w:pPr>
      <w:r>
        <w:rPr>
          <w:rFonts w:ascii="仿宋_GB2312" w:hAnsi="仿宋_GB2312" w:eastAsia="仿宋_GB2312"/>
          <w:b w:val="0"/>
          <w:sz w:val="32"/>
        </w:rPr>
        <w:t>授予中小企业合同金额5.46万元，占政府采购支出总额的100.00%，其中：授予小微企业合同金额5.46万元，占政府采购支出总额的100.00%。</w:t>
      </w:r>
    </w:p>
    <w:p w14:paraId="07233904">
      <w:pPr>
        <w:spacing w:line="640" w:lineRule="exact"/>
        <w:ind w:firstLine="640"/>
        <w:jc w:val="both"/>
        <w:outlineLvl w:val="3"/>
      </w:pPr>
      <w:r>
        <w:rPr>
          <w:rFonts w:ascii="楷体_GB2312" w:hAnsi="楷体_GB2312" w:eastAsia="楷体_GB2312"/>
          <w:b/>
          <w:sz w:val="32"/>
        </w:rPr>
        <w:t>（三）国有资产占用情况说明</w:t>
      </w:r>
    </w:p>
    <w:p w14:paraId="46729F38">
      <w:pPr>
        <w:spacing w:line="580" w:lineRule="exact"/>
        <w:ind w:firstLine="640"/>
        <w:jc w:val="both"/>
      </w:pPr>
      <w:r>
        <w:rPr>
          <w:rFonts w:ascii="仿宋_GB2312" w:hAnsi="仿宋_GB2312" w:eastAsia="仿宋_GB2312"/>
          <w:b w:val="0"/>
          <w:sz w:val="32"/>
        </w:rPr>
        <w:t>截至2024年12月31日，房屋6,447.90平方米，价值576.68万元。车辆2辆，价值29.89万元，其中：副部（省）级及以上领导用车0辆、主要负责人用车0辆、机要通信用车0辆、应急保障用车0辆、执法执勤用车0辆、特种专业技术用车0辆、离退休干部服务用车0辆、其他用车2辆，其他用车主要是：1辆救护车，1辆公共卫生服务车。单价100万元（含）以上设备（不含车辆）0台（套）。</w:t>
      </w:r>
    </w:p>
    <w:p w14:paraId="4966D096">
      <w:pPr>
        <w:spacing w:line="640" w:lineRule="exact"/>
        <w:ind w:firstLine="640"/>
        <w:jc w:val="both"/>
        <w:outlineLvl w:val="2"/>
      </w:pPr>
      <w:r>
        <w:rPr>
          <w:rFonts w:ascii="黑体" w:hAnsi="黑体" w:eastAsia="黑体"/>
          <w:sz w:val="32"/>
        </w:rPr>
        <w:t>十一、预算绩效的情况说明</w:t>
      </w:r>
    </w:p>
    <w:p w14:paraId="693D64EE">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668.12万元，实际执行总额668.12万元；预算绩效评价项目1个，全年预算数200.00万元，全年执行数200.00万元。预算绩效管理取得的成效：一是基本公共卫生主要实现全县卫生人才培训任务及本系统的党性教育基地建设。以儿童、孕产妇、老年人、慢性疾病患者为重点人群，面向全体居民免费提供</w:t>
      </w:r>
      <w:r>
        <w:rPr>
          <w:rFonts w:hint="eastAsia" w:ascii="仿宋_GB2312" w:hAnsi="仿宋_GB2312" w:eastAsia="仿宋_GB2312"/>
          <w:b w:val="0"/>
          <w:sz w:val="32"/>
          <w:lang w:eastAsia="zh-CN"/>
        </w:rPr>
        <w:t>的基本公共卫生服务</w:t>
      </w:r>
      <w:r>
        <w:rPr>
          <w:rFonts w:ascii="仿宋_GB2312" w:hAnsi="仿宋_GB2312" w:eastAsia="仿宋_GB2312"/>
          <w:b w:val="0"/>
          <w:sz w:val="32"/>
        </w:rPr>
        <w:t>。开展服务项目所需资金主要</w:t>
      </w:r>
      <w:r>
        <w:rPr>
          <w:rFonts w:hint="eastAsia" w:ascii="仿宋_GB2312" w:hAnsi="仿宋_GB2312" w:eastAsia="仿宋_GB2312"/>
          <w:b w:val="0"/>
          <w:sz w:val="32"/>
          <w:lang w:eastAsia="zh-CN"/>
        </w:rPr>
        <w:t>向</w:t>
      </w:r>
      <w:r>
        <w:rPr>
          <w:rFonts w:ascii="仿宋_GB2312" w:hAnsi="仿宋_GB2312" w:eastAsia="仿宋_GB2312"/>
          <w:b w:val="0"/>
          <w:sz w:val="32"/>
        </w:rPr>
        <w:t>居民可直接受益。本年自评完成93%以上。二是保障全区所有政府办基层医疗卫生机构实施国家基本药物制度，推进综合改革顺利进行。对实施国家基本药物制度的村卫生室给予补助，支持国家基本药物制度在村卫生室顺利实施。发现的问题及原因：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w:t>
      </w:r>
      <w:r>
        <w:rPr>
          <w:rFonts w:hint="eastAsia" w:ascii="仿宋_GB2312" w:hAnsi="仿宋_GB2312" w:eastAsia="仿宋_GB2312"/>
          <w:b w:val="0"/>
          <w:sz w:val="32"/>
          <w:lang w:eastAsia="zh-CN"/>
        </w:rPr>
        <w:t>管理</w:t>
      </w:r>
      <w:r>
        <w:rPr>
          <w:rFonts w:ascii="仿宋_GB2312" w:hAnsi="仿宋_GB2312" w:eastAsia="仿宋_GB2312"/>
          <w:b w:val="0"/>
          <w:sz w:val="32"/>
        </w:rPr>
        <w:t>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w:t>
      </w:r>
      <w:r>
        <w:rPr>
          <w:rFonts w:hint="eastAsia" w:ascii="仿宋_GB2312" w:hAnsi="仿宋_GB2312" w:eastAsia="仿宋_GB2312"/>
          <w:b w:val="0"/>
          <w:sz w:val="32"/>
          <w:lang w:eastAsia="zh-CN"/>
        </w:rPr>
        <w:t>要是</w:t>
      </w:r>
      <w:r>
        <w:rPr>
          <w:rFonts w:ascii="仿宋_GB2312" w:hAnsi="仿宋_GB2312" w:eastAsia="仿宋_GB2312"/>
          <w:b w:val="0"/>
          <w:sz w:val="32"/>
        </w:rPr>
        <w:t>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下一步改进措施：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w:t>
      </w:r>
      <w:r>
        <w:rPr>
          <w:rFonts w:hint="eastAsia" w:ascii="仿宋_GB2312" w:hAnsi="仿宋_GB2312" w:eastAsia="仿宋_GB2312"/>
          <w:b w:val="0"/>
          <w:sz w:val="32"/>
          <w:lang w:eastAsia="zh-CN"/>
        </w:rPr>
        <w:t>管理</w:t>
      </w:r>
      <w:r>
        <w:rPr>
          <w:rFonts w:ascii="仿宋_GB2312" w:hAnsi="仿宋_GB2312" w:eastAsia="仿宋_GB2312"/>
          <w:b w:val="0"/>
          <w:sz w:val="32"/>
        </w:rPr>
        <w:t>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w:t>
      </w:r>
      <w:r>
        <w:rPr>
          <w:rFonts w:hint="eastAsia" w:ascii="仿宋_GB2312" w:hAnsi="仿宋_GB2312" w:eastAsia="仿宋_GB2312"/>
          <w:b w:val="0"/>
          <w:sz w:val="32"/>
          <w:lang w:eastAsia="zh-CN"/>
        </w:rPr>
        <w:t>要是</w:t>
      </w:r>
      <w:r>
        <w:rPr>
          <w:rFonts w:ascii="仿宋_GB2312" w:hAnsi="仿宋_GB2312" w:eastAsia="仿宋_GB2312"/>
          <w:b w:val="0"/>
          <w:sz w:val="32"/>
        </w:rPr>
        <w:t>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具体附整体支出绩效自评表，项目支出绩效自评表和评价报告。</w:t>
      </w:r>
    </w:p>
    <w:p w14:paraId="1763AB1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8CF3910">
        <w:tblPrEx>
          <w:tblCellMar>
            <w:top w:w="0" w:type="dxa"/>
            <w:left w:w="108" w:type="dxa"/>
            <w:bottom w:w="0" w:type="dxa"/>
            <w:right w:w="108" w:type="dxa"/>
          </w:tblCellMar>
        </w:tblPrEx>
        <w:tc>
          <w:tcPr>
            <w:tcW w:w="8840" w:type="dxa"/>
            <w:gridSpan w:val="8"/>
            <w:vAlign w:val="center"/>
          </w:tcPr>
          <w:p w14:paraId="593F40BD">
            <w:pPr>
              <w:jc w:val="center"/>
            </w:pPr>
            <w:r>
              <w:rPr>
                <w:rFonts w:hint="eastAsia" w:ascii="宋体" w:hAnsi="宋体"/>
                <w:sz w:val="24"/>
                <w:lang w:eastAsia="zh-CN"/>
              </w:rPr>
              <w:t>单位</w:t>
            </w:r>
            <w:r>
              <w:rPr>
                <w:rFonts w:ascii="宋体" w:hAnsi="宋体" w:eastAsia="宋体"/>
                <w:sz w:val="24"/>
              </w:rPr>
              <w:t>整体支出绩效自评表</w:t>
            </w:r>
          </w:p>
        </w:tc>
      </w:tr>
      <w:tr w14:paraId="2CA2F5AB">
        <w:tblPrEx>
          <w:tblCellMar>
            <w:top w:w="0" w:type="dxa"/>
            <w:left w:w="108" w:type="dxa"/>
            <w:bottom w:w="0" w:type="dxa"/>
            <w:right w:w="108" w:type="dxa"/>
          </w:tblCellMar>
        </w:tblPrEx>
        <w:tc>
          <w:tcPr>
            <w:tcW w:w="8840" w:type="dxa"/>
            <w:gridSpan w:val="8"/>
            <w:vAlign w:val="center"/>
          </w:tcPr>
          <w:p w14:paraId="6AE5FB4C">
            <w:pPr>
              <w:jc w:val="center"/>
            </w:pPr>
            <w:r>
              <w:rPr>
                <w:rFonts w:ascii="宋体" w:hAnsi="宋体" w:eastAsia="宋体"/>
                <w:sz w:val="24"/>
              </w:rPr>
              <w:t>（2024年度）</w:t>
            </w:r>
          </w:p>
        </w:tc>
      </w:tr>
      <w:tr w14:paraId="7000D44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6FA7C">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47204B">
            <w:pPr>
              <w:jc w:val="center"/>
            </w:pPr>
            <w:r>
              <w:rPr>
                <w:rFonts w:ascii="宋体" w:hAnsi="宋体" w:eastAsia="宋体"/>
                <w:sz w:val="16"/>
              </w:rPr>
              <w:t>特克斯县喀拉托海镇卫生院</w:t>
            </w:r>
          </w:p>
        </w:tc>
      </w:tr>
      <w:tr w14:paraId="6C64245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5C5FF">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4D1E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A1887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5838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5AE9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ED8B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AC67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25C0B9">
            <w:pPr>
              <w:jc w:val="center"/>
            </w:pPr>
            <w:r>
              <w:rPr>
                <w:rFonts w:ascii="宋体" w:hAnsi="宋体" w:eastAsia="宋体"/>
                <w:sz w:val="16"/>
              </w:rPr>
              <w:t>得分</w:t>
            </w:r>
          </w:p>
        </w:tc>
      </w:tr>
      <w:tr w14:paraId="475DC5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C23CC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87F22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AEFCB">
            <w:pPr>
              <w:jc w:val="center"/>
            </w:pPr>
            <w:r>
              <w:rPr>
                <w:rFonts w:ascii="宋体" w:hAnsi="宋体" w:eastAsia="宋体"/>
                <w:sz w:val="16"/>
              </w:rPr>
              <w:t>687.52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E121D">
            <w:pPr>
              <w:jc w:val="center"/>
            </w:pPr>
            <w:r>
              <w:rPr>
                <w:rFonts w:ascii="宋体" w:hAnsi="宋体" w:eastAsia="宋体"/>
                <w:sz w:val="16"/>
              </w:rPr>
              <w:t>668.12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0D735">
            <w:pPr>
              <w:jc w:val="center"/>
            </w:pPr>
            <w:r>
              <w:rPr>
                <w:rFonts w:ascii="宋体" w:hAnsi="宋体" w:eastAsia="宋体"/>
                <w:sz w:val="16"/>
              </w:rPr>
              <w:t>668.12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1C505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5133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C4E53">
            <w:pPr>
              <w:jc w:val="center"/>
            </w:pPr>
            <w:r>
              <w:rPr>
                <w:rFonts w:ascii="宋体" w:hAnsi="宋体" w:eastAsia="宋体"/>
                <w:sz w:val="16"/>
              </w:rPr>
              <w:t>10</w:t>
            </w:r>
          </w:p>
        </w:tc>
      </w:tr>
      <w:tr w14:paraId="14AAD01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2723A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F1C9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F9EBF3">
            <w:pPr>
              <w:jc w:val="center"/>
            </w:pPr>
            <w:r>
              <w:rPr>
                <w:rFonts w:ascii="宋体" w:hAnsi="宋体" w:eastAsia="宋体"/>
                <w:sz w:val="16"/>
              </w:rPr>
              <w:t>119.16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81C36">
            <w:pPr>
              <w:jc w:val="center"/>
            </w:pPr>
            <w:r>
              <w:rPr>
                <w:rFonts w:ascii="宋体" w:hAnsi="宋体" w:eastAsia="宋体"/>
                <w:sz w:val="16"/>
              </w:rPr>
              <w:t>134.64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3374B">
            <w:pPr>
              <w:jc w:val="center"/>
            </w:pPr>
            <w:r>
              <w:rPr>
                <w:rFonts w:ascii="宋体" w:hAnsi="宋体" w:eastAsia="宋体"/>
                <w:sz w:val="16"/>
              </w:rPr>
              <w:t>134.64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E865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3B56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94CFC">
            <w:pPr>
              <w:jc w:val="center"/>
            </w:pPr>
            <w:r>
              <w:rPr>
                <w:rFonts w:ascii="宋体" w:hAnsi="宋体" w:eastAsia="宋体"/>
                <w:sz w:val="16"/>
              </w:rPr>
              <w:t>-</w:t>
            </w:r>
          </w:p>
        </w:tc>
      </w:tr>
      <w:tr w14:paraId="0C04F7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82E0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4FC05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7A237B">
            <w:pPr>
              <w:jc w:val="center"/>
            </w:pPr>
            <w:r>
              <w:rPr>
                <w:rFonts w:ascii="宋体" w:hAnsi="宋体" w:eastAsia="宋体"/>
                <w:sz w:val="16"/>
              </w:rPr>
              <w:t>368.36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C8D43">
            <w:pPr>
              <w:jc w:val="center"/>
            </w:pPr>
            <w:r>
              <w:rPr>
                <w:rFonts w:ascii="宋体" w:hAnsi="宋体" w:eastAsia="宋体"/>
                <w:sz w:val="16"/>
              </w:rPr>
              <w:t>353.53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CD4C5">
            <w:pPr>
              <w:jc w:val="center"/>
            </w:pPr>
            <w:r>
              <w:rPr>
                <w:rFonts w:ascii="宋体" w:hAnsi="宋体" w:eastAsia="宋体"/>
                <w:sz w:val="16"/>
              </w:rPr>
              <w:t>353.53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596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069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2D983">
            <w:pPr>
              <w:jc w:val="center"/>
            </w:pPr>
            <w:r>
              <w:rPr>
                <w:rFonts w:ascii="宋体" w:hAnsi="宋体" w:eastAsia="宋体"/>
                <w:sz w:val="16"/>
              </w:rPr>
              <w:t>-</w:t>
            </w:r>
          </w:p>
        </w:tc>
      </w:tr>
      <w:tr w14:paraId="3A5D7B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481F3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725F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28F49">
            <w:pPr>
              <w:jc w:val="center"/>
            </w:pPr>
            <w:r>
              <w:rPr>
                <w:rFonts w:ascii="宋体" w:hAnsi="宋体" w:eastAsia="宋体"/>
                <w:sz w:val="16"/>
              </w:rPr>
              <w:t>200.00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5946B">
            <w:pPr>
              <w:jc w:val="center"/>
            </w:pPr>
            <w:r>
              <w:rPr>
                <w:rFonts w:ascii="宋体" w:hAnsi="宋体" w:eastAsia="宋体"/>
                <w:sz w:val="16"/>
              </w:rPr>
              <w:t>179.95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05439">
            <w:pPr>
              <w:jc w:val="center"/>
            </w:pPr>
            <w:r>
              <w:rPr>
                <w:rFonts w:ascii="宋体" w:hAnsi="宋体" w:eastAsia="宋体"/>
                <w:sz w:val="16"/>
              </w:rPr>
              <w:t>179.95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64F2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681D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802C7F">
            <w:pPr>
              <w:jc w:val="center"/>
            </w:pPr>
            <w:r>
              <w:rPr>
                <w:rFonts w:ascii="宋体" w:hAnsi="宋体" w:eastAsia="宋体"/>
                <w:sz w:val="16"/>
              </w:rPr>
              <w:t>-</w:t>
            </w:r>
          </w:p>
        </w:tc>
      </w:tr>
      <w:tr w14:paraId="40835DB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8E2A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74BA6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F9113B">
            <w:pPr>
              <w:jc w:val="center"/>
            </w:pPr>
            <w:r>
              <w:rPr>
                <w:rFonts w:ascii="宋体" w:hAnsi="宋体" w:eastAsia="宋体"/>
                <w:sz w:val="16"/>
              </w:rPr>
              <w:t>实际完成情况</w:t>
            </w:r>
          </w:p>
        </w:tc>
      </w:tr>
      <w:tr w14:paraId="65A9AC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31436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65F685">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疾病控制防疫、妇幼儿童保健、门诊住院医疗、急诊抢救、防病治病等救死扶伤等。3.提供以预防保健、基本医疗、公共卫生、健康教育、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E3A696">
            <w:pPr>
              <w:jc w:val="both"/>
            </w:pPr>
            <w:r>
              <w:rPr>
                <w:rFonts w:ascii="宋体" w:hAnsi="宋体" w:eastAsia="宋体"/>
                <w:sz w:val="16"/>
              </w:rPr>
              <w:t>2024年特克斯县喀拉托海镇卫生院年初预算安排687.52元，其中财政拨款487.52万元，其他资金200万元，主要用于保证在职及退休人员的工资福利、社会保障、住房公积金、用于本机构正常运转、完成日常工作任务而发生的各项支出。完成基本公共卫生服务工作、基本药物补助、全民体检工作、失能老年人健康评估资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年中调整19.4万元，调整后全年预算668.12万元，预算调整率2.82%，调整预算的主要原因为2024年度因机构改革特克斯县喀拉托海镇卫生院医保资金压缩导致医疗收入减少。</w:t>
            </w:r>
          </w:p>
        </w:tc>
      </w:tr>
      <w:tr w14:paraId="0CD9D73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EE49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2633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E8F3B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E39A61">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5704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0FEED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8F56D">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756ED5">
            <w:pPr>
              <w:jc w:val="center"/>
            </w:pPr>
            <w:r>
              <w:rPr>
                <w:rFonts w:ascii="宋体" w:hAnsi="宋体" w:eastAsia="宋体"/>
                <w:sz w:val="16"/>
              </w:rPr>
              <w:t>得分</w:t>
            </w:r>
          </w:p>
        </w:tc>
      </w:tr>
      <w:tr w14:paraId="7014203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5112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7EC2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82D75">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63DFC">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257B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BC841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6824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C01F6">
            <w:pPr>
              <w:jc w:val="center"/>
            </w:pPr>
            <w:r>
              <w:rPr>
                <w:rFonts w:ascii="宋体" w:hAnsi="宋体" w:eastAsia="宋体"/>
                <w:sz w:val="16"/>
              </w:rPr>
              <w:t>30</w:t>
            </w:r>
          </w:p>
        </w:tc>
      </w:tr>
      <w:tr w14:paraId="00A954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7C380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6F2F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5AFE2">
            <w:pPr>
              <w:jc w:val="center"/>
            </w:pPr>
            <w:r>
              <w:rPr>
                <w:rFonts w:ascii="宋体" w:hAnsi="宋体" w:eastAsia="宋体"/>
                <w:sz w:val="16"/>
              </w:rPr>
              <w:t>公共卫生服务管理率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14EEA">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640C17">
            <w:pPr>
              <w:jc w:val="center"/>
            </w:pPr>
            <w:r>
              <w:rPr>
                <w:rFonts w:ascii="宋体" w:hAnsi="宋体" w:eastAsia="宋体"/>
                <w:sz w:val="16"/>
              </w:rPr>
              <w:t>2024年公共卫生工作计划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B021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BF973">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338A7">
            <w:pPr>
              <w:jc w:val="center"/>
            </w:pPr>
            <w:r>
              <w:rPr>
                <w:rFonts w:ascii="宋体" w:hAnsi="宋体" w:eastAsia="宋体"/>
                <w:sz w:val="16"/>
              </w:rPr>
              <w:t>30</w:t>
            </w:r>
          </w:p>
        </w:tc>
      </w:tr>
      <w:tr w14:paraId="79120E3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4F1B2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76F6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F2B465">
            <w:pPr>
              <w:jc w:val="center"/>
            </w:pPr>
            <w:r>
              <w:rPr>
                <w:rFonts w:ascii="宋体" w:hAnsi="宋体" w:eastAsia="宋体"/>
                <w:sz w:val="16"/>
              </w:rPr>
              <w:t>全民体检人数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E848B">
            <w:pPr>
              <w:jc w:val="center"/>
            </w:pPr>
            <w:r>
              <w:rPr>
                <w:rFonts w:ascii="宋体" w:hAnsi="宋体" w:eastAsia="宋体"/>
                <w:sz w:val="16"/>
              </w:rPr>
              <w:t>=9234人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80E38">
            <w:pPr>
              <w:jc w:val="center"/>
            </w:pPr>
            <w:r>
              <w:rPr>
                <w:rFonts w:ascii="宋体" w:hAnsi="宋体" w:eastAsia="宋体"/>
                <w:sz w:val="16"/>
              </w:rPr>
              <w:t>2024年度全民健康体检目标人数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831F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B3956A">
            <w:pPr>
              <w:jc w:val="center"/>
            </w:pPr>
            <w:r>
              <w:rPr>
                <w:rFonts w:ascii="宋体" w:hAnsi="宋体" w:eastAsia="宋体"/>
                <w:sz w:val="16"/>
              </w:rPr>
              <w:t>8970人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732A8F">
            <w:pPr>
              <w:jc w:val="center"/>
            </w:pPr>
            <w:r>
              <w:rPr>
                <w:rFonts w:ascii="宋体" w:hAnsi="宋体" w:eastAsia="宋体"/>
                <w:sz w:val="16"/>
              </w:rPr>
              <w:t>29</w:t>
            </w:r>
          </w:p>
        </w:tc>
      </w:tr>
    </w:tbl>
    <w:p w14:paraId="174F93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6EAAF0C7">
        <w:tblPrEx>
          <w:tblCellMar>
            <w:top w:w="0" w:type="dxa"/>
            <w:left w:w="108" w:type="dxa"/>
            <w:bottom w:w="0" w:type="dxa"/>
            <w:right w:w="108" w:type="dxa"/>
          </w:tblCellMar>
        </w:tblPrEx>
        <w:tc>
          <w:tcPr>
            <w:tcW w:w="8848" w:type="dxa"/>
            <w:gridSpan w:val="14"/>
            <w:vAlign w:val="center"/>
          </w:tcPr>
          <w:p w14:paraId="22C30E2A">
            <w:pPr>
              <w:jc w:val="center"/>
            </w:pPr>
            <w:r>
              <w:rPr>
                <w:rFonts w:ascii="宋体" w:hAnsi="宋体" w:eastAsia="宋体"/>
                <w:sz w:val="24"/>
              </w:rPr>
              <w:t>项目支出绩效自评表</w:t>
            </w:r>
          </w:p>
        </w:tc>
      </w:tr>
      <w:tr w14:paraId="496A2B17">
        <w:tblPrEx>
          <w:tblCellMar>
            <w:top w:w="0" w:type="dxa"/>
            <w:left w:w="108" w:type="dxa"/>
            <w:bottom w:w="0" w:type="dxa"/>
            <w:right w:w="108" w:type="dxa"/>
          </w:tblCellMar>
        </w:tblPrEx>
        <w:tc>
          <w:tcPr>
            <w:tcW w:w="8848" w:type="dxa"/>
            <w:gridSpan w:val="14"/>
            <w:vAlign w:val="center"/>
          </w:tcPr>
          <w:p w14:paraId="78F02897">
            <w:pPr>
              <w:jc w:val="center"/>
            </w:pPr>
            <w:r>
              <w:rPr>
                <w:rFonts w:ascii="宋体" w:hAnsi="宋体" w:eastAsia="宋体"/>
                <w:sz w:val="24"/>
              </w:rPr>
              <w:t>(2024年度)</w:t>
            </w:r>
          </w:p>
        </w:tc>
      </w:tr>
      <w:tr w14:paraId="7CF4EF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FE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C6F3BC">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资金收入（事业收入）</w:t>
            </w:r>
          </w:p>
        </w:tc>
      </w:tr>
      <w:tr w14:paraId="0EF0BD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23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1C65F">
            <w:pPr>
              <w:jc w:val="center"/>
            </w:pPr>
            <w:r>
              <w:rPr>
                <w:rFonts w:ascii="宋体" w:hAnsi="宋体" w:eastAsia="宋体"/>
                <w:sz w:val="16"/>
              </w:rPr>
              <w:t>特克斯县喀拉托海乡卫生院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44E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561A78">
            <w:pPr>
              <w:jc w:val="center"/>
            </w:pPr>
            <w:r>
              <w:rPr>
                <w:rFonts w:ascii="宋体" w:hAnsi="宋体" w:eastAsia="宋体"/>
                <w:sz w:val="16"/>
              </w:rPr>
              <w:t>特克斯县喀拉托海乡卫生院</w:t>
            </w:r>
          </w:p>
        </w:tc>
      </w:tr>
      <w:tr w14:paraId="40171C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A388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4A9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39A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9ED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625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511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27A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429A">
            <w:pPr>
              <w:jc w:val="center"/>
            </w:pPr>
            <w:r>
              <w:rPr>
                <w:rFonts w:ascii="宋体" w:hAnsi="宋体" w:eastAsia="宋体"/>
                <w:sz w:val="16"/>
              </w:rPr>
              <w:t>得分</w:t>
            </w:r>
          </w:p>
        </w:tc>
      </w:tr>
      <w:tr w14:paraId="6AC23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495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835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6B97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5809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D406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C69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14C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96CE">
            <w:pPr>
              <w:jc w:val="center"/>
            </w:pPr>
            <w:r>
              <w:rPr>
                <w:rFonts w:ascii="宋体" w:hAnsi="宋体" w:eastAsia="宋体"/>
                <w:sz w:val="16"/>
              </w:rPr>
              <w:t>10.00</w:t>
            </w:r>
          </w:p>
        </w:tc>
      </w:tr>
      <w:tr w14:paraId="6309F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A8A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356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F34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6BD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B88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73A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7E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5203">
            <w:pPr>
              <w:jc w:val="center"/>
            </w:pPr>
            <w:r>
              <w:rPr>
                <w:rFonts w:ascii="宋体" w:hAnsi="宋体" w:eastAsia="宋体"/>
                <w:sz w:val="16"/>
              </w:rPr>
              <w:t>—</w:t>
            </w:r>
          </w:p>
        </w:tc>
      </w:tr>
      <w:tr w14:paraId="2405C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8D1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8AA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0C9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5227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4CAAC">
            <w:pPr>
              <w:jc w:val="center"/>
              <w:rPr>
                <w:rFonts w:hint="default" w:eastAsia="宋体"/>
                <w:lang w:val="en-US" w:eastAsia="zh-CN"/>
              </w:rPr>
            </w:pPr>
            <w:r>
              <w:rPr>
                <w:rFonts w:ascii="宋体" w:hAnsi="宋体" w:eastAsia="宋体"/>
                <w:sz w:val="16"/>
              </w:rPr>
              <w:t>200</w:t>
            </w:r>
            <w:r>
              <w:rPr>
                <w:rFonts w:hint="eastAsia" w:ascii="宋体" w:hAnsi="宋体"/>
                <w:sz w:val="16"/>
                <w:lang w:val="en-US" w:eastAsia="zh-CN"/>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E2A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314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68E6">
            <w:pPr>
              <w:jc w:val="center"/>
            </w:pPr>
            <w:r>
              <w:rPr>
                <w:rFonts w:ascii="宋体" w:hAnsi="宋体" w:eastAsia="宋体"/>
                <w:sz w:val="16"/>
              </w:rPr>
              <w:t>—</w:t>
            </w:r>
          </w:p>
        </w:tc>
      </w:tr>
      <w:tr w14:paraId="11F60B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721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450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1F60C2">
            <w:pPr>
              <w:jc w:val="center"/>
            </w:pPr>
            <w:r>
              <w:rPr>
                <w:rFonts w:ascii="宋体" w:hAnsi="宋体" w:eastAsia="宋体"/>
                <w:sz w:val="16"/>
              </w:rPr>
              <w:t>实际完成情况</w:t>
            </w:r>
          </w:p>
        </w:tc>
      </w:tr>
      <w:tr w14:paraId="60C12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978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AEF48">
            <w:pPr>
              <w:jc w:val="both"/>
            </w:pPr>
            <w:r>
              <w:rPr>
                <w:rFonts w:ascii="宋体" w:hAnsi="宋体" w:eastAsia="宋体"/>
                <w:sz w:val="16"/>
              </w:rPr>
              <w:t>为人民健康医疗与预防保健服务，常见病多发病的治疗和护理；预防保健。提供以预防保健、基本医疗、公共卫生、健康教育、全民健康体检、康复等为主要内容的综合性服务。保障部门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8DDA7F">
            <w:pPr>
              <w:jc w:val="both"/>
            </w:pPr>
            <w:r>
              <w:rPr>
                <w:rFonts w:ascii="宋体" w:hAnsi="宋体" w:eastAsia="宋体"/>
                <w:sz w:val="16"/>
              </w:rPr>
              <w:t>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r>
      <w:tr w14:paraId="23570B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C6F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97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E1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C9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CB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951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E6F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A52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2DC2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A0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7C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08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A2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42D5">
            <w:pPr>
              <w:jc w:val="center"/>
            </w:pPr>
            <w:r>
              <w:rPr>
                <w:rFonts w:ascii="宋体" w:hAnsi="宋体" w:eastAsia="宋体"/>
                <w:sz w:val="16"/>
              </w:rPr>
              <w:t>偏差原因分析及改进措施</w:t>
            </w:r>
          </w:p>
        </w:tc>
      </w:tr>
      <w:tr w14:paraId="33301A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B7F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624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8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374E">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EDE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756E">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C7BA">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374F">
            <w:pPr>
              <w:jc w:val="center"/>
            </w:pPr>
            <w:r>
              <w:rPr>
                <w:rFonts w:ascii="宋体" w:hAnsi="宋体" w:eastAsia="宋体"/>
                <w:sz w:val="16"/>
              </w:rPr>
              <w:t>88.24%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231B">
            <w:pPr>
              <w:jc w:val="center"/>
            </w:pPr>
            <w:r>
              <w:rPr>
                <w:rFonts w:ascii="宋体" w:hAnsi="宋体" w:eastAsia="宋体"/>
                <w:sz w:val="16"/>
              </w:rPr>
              <w:t>13.24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53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F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8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DC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D582">
            <w:pPr>
              <w:jc w:val="center"/>
            </w:pPr>
            <w:r>
              <w:rPr>
                <w:rFonts w:hint="eastAsia" w:ascii="宋体" w:hAnsi="宋体"/>
                <w:sz w:val="16"/>
                <w:lang w:eastAsia="zh-CN"/>
              </w:rPr>
              <w:t>1.</w:t>
            </w:r>
            <w:r>
              <w:rPr>
                <w:rFonts w:ascii="宋体" w:hAnsi="宋体" w:eastAsia="宋体"/>
                <w:sz w:val="16"/>
              </w:rPr>
              <w:t>偏差原因：年初本年度后半年聘用人数</w:t>
            </w:r>
            <w:r>
              <w:rPr>
                <w:rFonts w:hint="eastAsia" w:ascii="宋体" w:hAnsi="宋体"/>
                <w:sz w:val="16"/>
                <w:lang w:eastAsia="zh-CN"/>
              </w:rPr>
              <w:t>减少</w:t>
            </w:r>
            <w:r>
              <w:rPr>
                <w:rFonts w:ascii="宋体" w:hAnsi="宋体" w:eastAsia="宋体"/>
                <w:sz w:val="16"/>
              </w:rPr>
              <w:t>，</w:t>
            </w:r>
            <w:r>
              <w:rPr>
                <w:rFonts w:hint="eastAsia" w:ascii="宋体" w:hAnsi="宋体"/>
                <w:sz w:val="16"/>
                <w:lang w:eastAsia="zh-CN"/>
              </w:rPr>
              <w:t>单位</w:t>
            </w:r>
            <w:r>
              <w:rPr>
                <w:rFonts w:ascii="宋体" w:hAnsi="宋体" w:eastAsia="宋体"/>
                <w:sz w:val="16"/>
              </w:rPr>
              <w:t>年平均职工人数减少。</w:t>
            </w:r>
          </w:p>
        </w:tc>
      </w:tr>
      <w:tr w14:paraId="763B7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4AA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D98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EF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40AF">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E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E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2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2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4C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34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1D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E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B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39A1">
            <w:pPr>
              <w:jc w:val="center"/>
            </w:pPr>
          </w:p>
        </w:tc>
      </w:tr>
      <w:tr w14:paraId="32B6C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86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5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A2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A8A3">
            <w:pPr>
              <w:jc w:val="center"/>
            </w:pPr>
            <w:r>
              <w:rPr>
                <w:rFonts w:ascii="宋体" w:hAnsi="宋体" w:eastAsia="宋体"/>
                <w:sz w:val="16"/>
              </w:rPr>
              <w:t>编外人员工资发放及时率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ACD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8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7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7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924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C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D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3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6D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4BFF">
            <w:pPr>
              <w:jc w:val="center"/>
            </w:pPr>
          </w:p>
        </w:tc>
      </w:tr>
      <w:tr w14:paraId="7A4FB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08C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40A7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D73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76E2">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B2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5EC4">
            <w:pPr>
              <w:jc w:val="center"/>
            </w:pPr>
            <w:r>
              <w:rPr>
                <w:rFonts w:ascii="宋体" w:hAnsi="宋体" w:eastAsia="宋体"/>
                <w:sz w:val="16"/>
              </w:rPr>
              <w:t>&lt;=100万元/年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0EDD">
            <w:pPr>
              <w:jc w:val="center"/>
            </w:pPr>
            <w:r>
              <w:rPr>
                <w:rFonts w:ascii="宋体" w:hAnsi="宋体" w:eastAsia="宋体"/>
                <w:sz w:val="16"/>
              </w:rPr>
              <w:t>100万元/年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1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86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B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71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1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C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8DED">
            <w:pPr>
              <w:jc w:val="center"/>
            </w:pPr>
          </w:p>
        </w:tc>
      </w:tr>
      <w:tr w14:paraId="06097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C5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DE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A13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B4AD">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E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4485">
            <w:pPr>
              <w:jc w:val="center"/>
            </w:pPr>
            <w:r>
              <w:rPr>
                <w:rFonts w:ascii="宋体" w:hAnsi="宋体" w:eastAsia="宋体"/>
                <w:sz w:val="16"/>
              </w:rPr>
              <w:t>&lt;=100万元/年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6DB5">
            <w:pPr>
              <w:jc w:val="center"/>
            </w:pPr>
            <w:r>
              <w:rPr>
                <w:rFonts w:ascii="宋体" w:hAnsi="宋体" w:eastAsia="宋体"/>
                <w:sz w:val="16"/>
              </w:rPr>
              <w:t>100万元/年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E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E0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5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E0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E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57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6AC5">
            <w:pPr>
              <w:jc w:val="center"/>
            </w:pPr>
          </w:p>
        </w:tc>
      </w:tr>
      <w:tr w14:paraId="03AE8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F67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9EBC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606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3D64">
            <w:pPr>
              <w:jc w:val="center"/>
            </w:pPr>
            <w:r>
              <w:rPr>
                <w:rFonts w:ascii="宋体" w:hAnsi="宋体" w:eastAsia="宋体"/>
                <w:sz w:val="16"/>
              </w:rPr>
              <w:t>提高编外人员工作积极性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6C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BFB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8F5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E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56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A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C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69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0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DF6D">
            <w:pPr>
              <w:jc w:val="center"/>
            </w:pPr>
          </w:p>
        </w:tc>
      </w:tr>
      <w:tr w14:paraId="78D4B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12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C9C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882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68F1">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5C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2F0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251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2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31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6B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6A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7F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91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E9C7">
            <w:pPr>
              <w:jc w:val="center"/>
            </w:pPr>
          </w:p>
        </w:tc>
      </w:tr>
      <w:tr w14:paraId="54160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51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A7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D2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0E13">
            <w:pPr>
              <w:jc w:val="center"/>
            </w:pPr>
            <w:r>
              <w:rPr>
                <w:rFonts w:hint="eastAsia" w:ascii="宋体" w:hAnsi="宋体"/>
                <w:sz w:val="16"/>
                <w:lang w:eastAsia="zh-CN"/>
              </w:rPr>
              <w:t>单位</w:t>
            </w: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8D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78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137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0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A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3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BA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3A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91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41B8">
            <w:pPr>
              <w:jc w:val="center"/>
            </w:pPr>
          </w:p>
        </w:tc>
      </w:tr>
      <w:tr w14:paraId="478FB6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538D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1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2D7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12E9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148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DB9A">
            <w:pPr>
              <w:jc w:val="center"/>
            </w:pPr>
            <w:r>
              <w:rPr>
                <w:rFonts w:ascii="宋体" w:hAnsi="宋体" w:eastAsia="宋体"/>
                <w:sz w:val="16"/>
              </w:rPr>
              <w:t>98.24分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C6C5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AA3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65ED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84C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116D04"/>
        </w:tc>
      </w:tr>
    </w:tbl>
    <w:p w14:paraId="5C5D0DCA">
      <w:r>
        <w:br w:type="page"/>
      </w:r>
    </w:p>
    <w:p w14:paraId="5F365DBF">
      <w:pPr>
        <w:spacing w:line="640" w:lineRule="exact"/>
        <w:ind w:firstLine="640"/>
        <w:jc w:val="both"/>
        <w:outlineLvl w:val="2"/>
      </w:pPr>
      <w:r>
        <w:rPr>
          <w:rFonts w:ascii="黑体" w:hAnsi="黑体" w:eastAsia="黑体"/>
          <w:sz w:val="32"/>
        </w:rPr>
        <w:t>十二、其他需说明的事项</w:t>
      </w:r>
    </w:p>
    <w:p w14:paraId="41007BF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48CECD8">
      <w:r>
        <w:br w:type="page"/>
      </w:r>
    </w:p>
    <w:p w14:paraId="34AA2342">
      <w:pPr>
        <w:spacing w:line="240" w:lineRule="auto"/>
        <w:jc w:val="center"/>
        <w:outlineLvl w:val="1"/>
      </w:pPr>
      <w:r>
        <w:rPr>
          <w:rFonts w:ascii="黑体" w:hAnsi="黑体" w:eastAsia="黑体"/>
          <w:sz w:val="32"/>
        </w:rPr>
        <w:t>第三部分 专业名词解释</w:t>
      </w:r>
    </w:p>
    <w:p w14:paraId="3A3134C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FF4D6D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324B28F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94C786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2957420">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D2BA0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3E2DCB7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B8F1C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F4656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227EE3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76EF97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54C77C2">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4583EE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A6A675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482296F1">
      <w:r>
        <w:br w:type="page"/>
      </w:r>
    </w:p>
    <w:p w14:paraId="26E85FB6">
      <w:pPr>
        <w:spacing w:line="240" w:lineRule="auto"/>
        <w:jc w:val="center"/>
        <w:outlineLvl w:val="1"/>
      </w:pPr>
      <w:r>
        <w:rPr>
          <w:rFonts w:ascii="黑体" w:hAnsi="黑体" w:eastAsia="黑体"/>
          <w:sz w:val="32"/>
        </w:rPr>
        <w:t>第四部分 部门决算报表（见附表）</w:t>
      </w:r>
    </w:p>
    <w:p w14:paraId="7F6880C3">
      <w:pPr>
        <w:spacing w:line="240" w:lineRule="auto"/>
        <w:ind w:firstLine="640"/>
        <w:jc w:val="both"/>
      </w:pPr>
      <w:r>
        <w:rPr>
          <w:rFonts w:ascii="仿宋_GB2312" w:hAnsi="仿宋_GB2312" w:eastAsia="仿宋_GB2312"/>
          <w:b w:val="0"/>
          <w:sz w:val="32"/>
        </w:rPr>
        <w:t>一、《收入支出决算总表》</w:t>
      </w:r>
    </w:p>
    <w:p w14:paraId="11990A1C">
      <w:pPr>
        <w:spacing w:line="240" w:lineRule="auto"/>
        <w:ind w:firstLine="640"/>
        <w:jc w:val="both"/>
      </w:pPr>
      <w:r>
        <w:rPr>
          <w:rFonts w:ascii="仿宋_GB2312" w:hAnsi="仿宋_GB2312" w:eastAsia="仿宋_GB2312"/>
          <w:b w:val="0"/>
          <w:sz w:val="32"/>
        </w:rPr>
        <w:t>二、《收入决算表》</w:t>
      </w:r>
    </w:p>
    <w:p w14:paraId="39A60D2B">
      <w:pPr>
        <w:spacing w:line="240" w:lineRule="auto"/>
        <w:ind w:firstLine="640"/>
        <w:jc w:val="both"/>
      </w:pPr>
      <w:r>
        <w:rPr>
          <w:rFonts w:ascii="仿宋_GB2312" w:hAnsi="仿宋_GB2312" w:eastAsia="仿宋_GB2312"/>
          <w:b w:val="0"/>
          <w:sz w:val="32"/>
        </w:rPr>
        <w:t>三、《支出决算表》</w:t>
      </w:r>
    </w:p>
    <w:p w14:paraId="7335EA4D">
      <w:pPr>
        <w:spacing w:line="240" w:lineRule="auto"/>
        <w:ind w:firstLine="640"/>
        <w:jc w:val="both"/>
      </w:pPr>
      <w:r>
        <w:rPr>
          <w:rFonts w:ascii="仿宋_GB2312" w:hAnsi="仿宋_GB2312" w:eastAsia="仿宋_GB2312"/>
          <w:b w:val="0"/>
          <w:sz w:val="32"/>
        </w:rPr>
        <w:t>四、《财政拨款收入支出决算总表》</w:t>
      </w:r>
    </w:p>
    <w:p w14:paraId="0A457FF8">
      <w:pPr>
        <w:spacing w:line="240" w:lineRule="auto"/>
        <w:ind w:firstLine="640"/>
        <w:jc w:val="both"/>
      </w:pPr>
      <w:r>
        <w:rPr>
          <w:rFonts w:ascii="仿宋_GB2312" w:hAnsi="仿宋_GB2312" w:eastAsia="仿宋_GB2312"/>
          <w:b w:val="0"/>
          <w:sz w:val="32"/>
        </w:rPr>
        <w:t>五、《一般公共预算财政拨款支出决算表》</w:t>
      </w:r>
    </w:p>
    <w:p w14:paraId="22C5A0F3">
      <w:pPr>
        <w:spacing w:line="240" w:lineRule="auto"/>
        <w:ind w:firstLine="640"/>
        <w:jc w:val="both"/>
      </w:pPr>
      <w:r>
        <w:rPr>
          <w:rFonts w:ascii="仿宋_GB2312" w:hAnsi="仿宋_GB2312" w:eastAsia="仿宋_GB2312"/>
          <w:b w:val="0"/>
          <w:sz w:val="32"/>
        </w:rPr>
        <w:t>六、《一般公共预算财政拨款基本支出决算表》</w:t>
      </w:r>
    </w:p>
    <w:p w14:paraId="1911FF5A">
      <w:pPr>
        <w:spacing w:line="240" w:lineRule="auto"/>
        <w:ind w:firstLine="640"/>
        <w:jc w:val="both"/>
      </w:pPr>
      <w:r>
        <w:rPr>
          <w:rFonts w:ascii="仿宋_GB2312" w:hAnsi="仿宋_GB2312" w:eastAsia="仿宋_GB2312"/>
          <w:b w:val="0"/>
          <w:sz w:val="32"/>
        </w:rPr>
        <w:t>七、《政府性基金预算财政拨款收入支出决算表》</w:t>
      </w:r>
    </w:p>
    <w:p w14:paraId="452F84D5">
      <w:pPr>
        <w:spacing w:line="240" w:lineRule="auto"/>
        <w:ind w:firstLine="640"/>
        <w:jc w:val="both"/>
      </w:pPr>
      <w:r>
        <w:rPr>
          <w:rFonts w:ascii="仿宋_GB2312" w:hAnsi="仿宋_GB2312" w:eastAsia="仿宋_GB2312"/>
          <w:b w:val="0"/>
          <w:sz w:val="32"/>
        </w:rPr>
        <w:t>八、《国有资本经营预算财政拨款收入支出决算表》</w:t>
      </w:r>
    </w:p>
    <w:p w14:paraId="772BE18B">
      <w:pPr>
        <w:spacing w:line="240" w:lineRule="auto"/>
        <w:ind w:firstLine="640"/>
        <w:jc w:val="both"/>
      </w:pPr>
      <w:r>
        <w:rPr>
          <w:rFonts w:ascii="仿宋_GB2312" w:hAnsi="仿宋_GB2312" w:eastAsia="仿宋_GB2312"/>
          <w:b w:val="0"/>
          <w:sz w:val="32"/>
        </w:rPr>
        <w:t>九、《财政拨款“三公”经费支出决算表》</w:t>
      </w:r>
    </w:p>
    <w:p w14:paraId="36A64D73">
      <w:pPr>
        <w:spacing w:line="240" w:lineRule="auto"/>
        <w:ind w:firstLine="640"/>
        <w:jc w:val="both"/>
      </w:pPr>
    </w:p>
    <w:p w14:paraId="26631AF4">
      <w:pPr>
        <w:spacing w:line="240" w:lineRule="auto"/>
        <w:ind w:firstLine="640"/>
        <w:jc w:val="both"/>
      </w:pPr>
    </w:p>
    <w:p w14:paraId="0FD2CDA1">
      <w:pPr>
        <w:spacing w:line="240" w:lineRule="auto"/>
        <w:ind w:firstLine="640"/>
        <w:jc w:val="both"/>
      </w:pPr>
    </w:p>
    <w:p w14:paraId="585C14F9">
      <w:pPr>
        <w:spacing w:line="240" w:lineRule="auto"/>
        <w:ind w:firstLine="640"/>
        <w:jc w:val="both"/>
      </w:pPr>
    </w:p>
    <w:p w14:paraId="646C3DB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F4E5284-038E-4DE4-93DC-9B26C3652E5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4D26066-6DD6-4AC1-A333-D4A0503C8EF1}"/>
  </w:font>
  <w:font w:name="仿宋_GB2312">
    <w:panose1 w:val="02010609030101010101"/>
    <w:charset w:val="86"/>
    <w:family w:val="auto"/>
    <w:pitch w:val="default"/>
    <w:sig w:usb0="00000001" w:usb1="080E0000" w:usb2="00000000" w:usb3="00000000" w:csb0="00040000" w:csb1="00000000"/>
    <w:embedRegular r:id="rId3" w:fontKey="{59A5DC80-73DD-4855-A87B-257FAB988FCF}"/>
  </w:font>
  <w:font w:name="楷体_GB2312">
    <w:panose1 w:val="02010609030101010101"/>
    <w:charset w:val="86"/>
    <w:family w:val="auto"/>
    <w:pitch w:val="default"/>
    <w:sig w:usb0="00000001" w:usb1="080E0000" w:usb2="00000000" w:usb3="00000000" w:csb0="00040000" w:csb1="00000000"/>
    <w:embedRegular r:id="rId4" w:fontKey="{E9F38F0D-1477-49E5-81AB-A86EED31DD8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0D089F"/>
    <w:rsid w:val="0F2F645C"/>
    <w:rsid w:val="0F9811B3"/>
    <w:rsid w:val="0FDE2364"/>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BA3B29"/>
    <w:rsid w:val="2D1136DF"/>
    <w:rsid w:val="2DAE0E44"/>
    <w:rsid w:val="2F3C7955"/>
    <w:rsid w:val="2FD27414"/>
    <w:rsid w:val="313F1D52"/>
    <w:rsid w:val="318029AB"/>
    <w:rsid w:val="31C63837"/>
    <w:rsid w:val="326F0A17"/>
    <w:rsid w:val="3277581B"/>
    <w:rsid w:val="33062754"/>
    <w:rsid w:val="37746292"/>
    <w:rsid w:val="38006E2C"/>
    <w:rsid w:val="388859B9"/>
    <w:rsid w:val="3914510A"/>
    <w:rsid w:val="3B1220C9"/>
    <w:rsid w:val="3D2D3249"/>
    <w:rsid w:val="3D5275AC"/>
    <w:rsid w:val="3EA7725F"/>
    <w:rsid w:val="3EC014A1"/>
    <w:rsid w:val="40834692"/>
    <w:rsid w:val="423A32B2"/>
    <w:rsid w:val="423C0CB4"/>
    <w:rsid w:val="427B5743"/>
    <w:rsid w:val="42D40179"/>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8BA3515"/>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d688766d-b299-4f46-b05f-328b5f503b29</errorID>
      <errorWord>-</errorWord>
      <group>L1_Format</group>
      <groupName>格式问题</groupName>
      <ability>L2_HalfPunc</ability>
      <abilityName>全半角检查</abilityName>
      <candidateList>
        <item>－</item>
      </candidateList>
      <explain>文本全半角错误。</explain>
      <paraID>69F499E2</paraID>
      <start>69</start>
      <end>70</end>
      <status>modified</status>
      <modifiedWord>－</modifiedWord>
      <trackRevisions>false</trackRevisions>
    </reviewItem>
    <reviewItem>
      <errorID>d8d9ed39-cedb-4bcc-8975-0c3421b84f30</errorID>
      <errorWord>-</errorWord>
      <group>L1_Format</group>
      <groupName>格式问题</groupName>
      <ability>L2_HalfPunc</ability>
      <abilityName>全半角检查</abilityName>
      <candidateList>
        <item>－</item>
      </candidateList>
      <explain>文本全半角错误。</explain>
      <paraID>311E8E01</paraID>
      <start>104</start>
      <end>105</end>
      <status>modified</status>
      <modifiedWord>－</modifiedWord>
      <trackRevisions>false</trackRevisions>
    </reviewItem>
    <reviewItem>
      <errorID>af4f8bf9-641c-41f9-b6bf-c0434fadf93a</errorID>
      <errorWord>2月31日</errorWord>
      <group>L1_Sensitive</group>
      <groupName>敏感问题</groupName>
      <ability>L2_UserSensitive</ability>
      <abilityName>自定义敏感词</abilityName>
      <candidateList/>
      <explain>来自自定义敏感词库。</explain>
      <paraID>46729F38</paraID>
      <start>8</start>
      <end>13</end>
      <status>unmodified</status>
      <modifiedWord/>
      <trackRevisions>false</trackRevisions>
    </reviewItem>
    <reviewItem>
      <errorID>f90a01d9-4c23-46fc-a132-56387bc82270</errorID>
      <errorWord>的最</errorWord>
      <group>L1_Word</group>
      <groupName>字词问题</groupName>
      <ability>L2_Typo</ability>
      <abilityName>字词错误</abilityName>
      <candidateList>
        <item>的</item>
      </candidateList>
      <explain>置于形容词、名词后，用于修饰事物的形态。</explain>
      <paraID>693D64EE</paraID>
      <start>191</start>
      <end>192</end>
      <status>modified</status>
      <modifiedWord>的</modifiedWord>
      <trackRevisions>false</trackRevisions>
    </reviewItem>
    <reviewItem>
      <errorID>6a77ff81-9ff1-48a3-b770-6171292992d8</errorID>
      <errorWord>全民体检</errorWord>
      <group>L1_Sensitive</group>
      <groupName>敏感问题</groupName>
      <ability>L2_UserSensitive</ability>
      <abilityName>自定义敏感词</abilityName>
      <candidateList/>
      <explain>来自自定义敏感词库。</explain>
      <paraID>64E3A696</paraID>
      <start>133</start>
      <end>137</end>
      <status>unmodified</status>
      <modifiedWord/>
      <trackRevisions>false</trackRevisions>
    </reviewItem>
    <reviewItem>
      <errorID>fb2f2dbb-d2d9-4c3e-9ce7-c71d44e75526</errorID>
      <errorWord>全民体检</errorWord>
      <group>L1_Sensitive</group>
      <groupName>敏感问题</groupName>
      <ability>L2_UserSensitive</ability>
      <abilityName>自定义敏感词</abilityName>
      <candidateList/>
      <explain>来自自定义敏感词库。</explain>
      <paraID>2BF2B465</paraID>
      <start>0</start>
      <end>4</end>
      <status>unmodified</status>
      <modifiedWord/>
      <trackRevisions>false</trackRevisions>
    </reviewItem>
    <reviewItem>
      <errorID>855263a8-fa7c-4524-a03b-74810acbdf94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427BD582</paraID>
      <start>0</start>
      <end>2</end>
      <status>modified</status>
      <modifiedWord>1.</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028229-b432-4db1-af0b-0bceb37b3b57}">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6659</Words>
  <Characters>7571</Characters>
  <Lines>0</Lines>
  <Paragraphs>0</Paragraphs>
  <TotalTime>2</TotalTime>
  <ScaleCrop>false</ScaleCrop>
  <LinksUpToDate>false</LinksUpToDate>
  <CharactersWithSpaces>7579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2025-12-23T08:00:17Z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