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62BAE"/>
    <w:p w14:paraId="75588EAE">
      <w:pPr>
        <w:spacing w:line="560" w:lineRule="exact"/>
        <w:ind w:firstLine="640" w:firstLineChars="200"/>
        <w:jc w:val="left"/>
        <w:rPr>
          <w:rFonts w:hint="eastAsia" w:eastAsia="仿宋_GB2312"/>
          <w:sz w:val="32"/>
          <w:lang w:val="en-US" w:eastAsia="zh-CN"/>
        </w:rPr>
      </w:pPr>
    </w:p>
    <w:p w14:paraId="6C4BBD0E">
      <w:pPr>
        <w:spacing w:line="560" w:lineRule="exact"/>
        <w:ind w:firstLine="640" w:firstLineChars="200"/>
        <w:jc w:val="left"/>
        <w:rPr>
          <w:rFonts w:hint="eastAsia" w:eastAsia="仿宋_GB2312"/>
          <w:sz w:val="32"/>
          <w:lang w:val="en-US" w:eastAsia="zh-CN"/>
        </w:rPr>
      </w:pPr>
    </w:p>
    <w:p w14:paraId="7D03F40D">
      <w:pPr>
        <w:spacing w:line="560" w:lineRule="exact"/>
        <w:ind w:firstLine="640" w:firstLineChars="200"/>
        <w:jc w:val="left"/>
        <w:rPr>
          <w:rFonts w:hint="eastAsia" w:eastAsia="仿宋_GB2312"/>
          <w:sz w:val="32"/>
          <w:lang w:val="en-US" w:eastAsia="zh-CN"/>
        </w:rPr>
      </w:pPr>
    </w:p>
    <w:p w14:paraId="4ED5C47F">
      <w:pPr>
        <w:spacing w:line="560" w:lineRule="exact"/>
        <w:ind w:firstLine="640" w:firstLineChars="200"/>
        <w:jc w:val="left"/>
        <w:rPr>
          <w:rFonts w:hint="eastAsia" w:eastAsia="仿宋_GB2312"/>
          <w:sz w:val="32"/>
          <w:lang w:val="en-US" w:eastAsia="zh-CN"/>
        </w:rPr>
      </w:pPr>
    </w:p>
    <w:p w14:paraId="4CC5C0FF">
      <w:pPr>
        <w:spacing w:line="560" w:lineRule="exact"/>
        <w:ind w:firstLine="640" w:firstLineChars="200"/>
        <w:jc w:val="left"/>
        <w:rPr>
          <w:rFonts w:hint="eastAsia" w:eastAsia="仿宋_GB2312"/>
          <w:sz w:val="32"/>
          <w:lang w:val="en-US" w:eastAsia="zh-CN"/>
        </w:rPr>
      </w:pPr>
    </w:p>
    <w:p w14:paraId="6B8129C6">
      <w:pPr>
        <w:spacing w:line="560" w:lineRule="exact"/>
        <w:ind w:firstLine="640" w:firstLineChars="200"/>
        <w:jc w:val="left"/>
        <w:rPr>
          <w:rFonts w:hint="eastAsia" w:eastAsia="仿宋_GB2312"/>
          <w:sz w:val="32"/>
          <w:lang w:val="en-US" w:eastAsia="zh-CN"/>
        </w:rPr>
      </w:pPr>
    </w:p>
    <w:p w14:paraId="376B607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2024年中央医疗服务与保障能力提升（医疗卫生机构能力建设）项目支出绩效自评报告</w:t>
      </w:r>
    </w:p>
    <w:p w14:paraId="5420198A">
      <w:pPr>
        <w:spacing w:line="560" w:lineRule="exact"/>
        <w:ind w:firstLine="640" w:firstLineChars="200"/>
        <w:jc w:val="left"/>
        <w:rPr>
          <w:rFonts w:hint="eastAsia" w:eastAsia="仿宋_GB2312"/>
          <w:sz w:val="32"/>
          <w:lang w:val="en-US" w:eastAsia="zh-CN"/>
        </w:rPr>
      </w:pPr>
    </w:p>
    <w:p w14:paraId="1D378D9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eastAsia="仿宋_GB2312"/>
          <w:sz w:val="32"/>
          <w:lang w:val="en-US" w:eastAsia="zh-CN"/>
        </w:rPr>
      </w:pPr>
      <w:r>
        <w:rPr>
          <w:rFonts w:hint="eastAsia" w:eastAsia="仿宋_GB2312"/>
          <w:sz w:val="32"/>
          <w:lang w:val="en-US" w:eastAsia="zh-CN"/>
        </w:rPr>
        <w:t>（2024年度）</w:t>
      </w:r>
    </w:p>
    <w:p w14:paraId="771AF05B">
      <w:pPr>
        <w:spacing w:line="560" w:lineRule="exact"/>
        <w:ind w:firstLine="640" w:firstLineChars="200"/>
        <w:jc w:val="left"/>
        <w:rPr>
          <w:rFonts w:hint="eastAsia" w:eastAsia="仿宋_GB2312"/>
          <w:sz w:val="32"/>
          <w:lang w:val="en-US" w:eastAsia="zh-CN"/>
        </w:rPr>
      </w:pPr>
    </w:p>
    <w:p w14:paraId="13946899">
      <w:pPr>
        <w:spacing w:line="560" w:lineRule="exact"/>
        <w:ind w:firstLine="640" w:firstLineChars="200"/>
        <w:jc w:val="left"/>
        <w:rPr>
          <w:rFonts w:hint="eastAsia" w:eastAsia="仿宋_GB2312"/>
          <w:sz w:val="32"/>
          <w:lang w:val="en-US" w:eastAsia="zh-CN"/>
        </w:rPr>
      </w:pPr>
    </w:p>
    <w:p w14:paraId="513107AE">
      <w:pPr>
        <w:spacing w:line="560" w:lineRule="exact"/>
        <w:ind w:firstLine="640" w:firstLineChars="200"/>
        <w:jc w:val="left"/>
        <w:rPr>
          <w:rFonts w:hint="eastAsia" w:eastAsia="仿宋_GB2312"/>
          <w:sz w:val="32"/>
          <w:lang w:val="en-US" w:eastAsia="zh-CN"/>
        </w:rPr>
      </w:pPr>
    </w:p>
    <w:p w14:paraId="7D8313CB">
      <w:pPr>
        <w:spacing w:line="560" w:lineRule="exact"/>
        <w:ind w:firstLine="640" w:firstLineChars="200"/>
        <w:jc w:val="left"/>
        <w:rPr>
          <w:rFonts w:hint="eastAsia" w:eastAsia="仿宋_GB2312"/>
          <w:sz w:val="32"/>
          <w:lang w:val="en-US" w:eastAsia="zh-CN"/>
        </w:rPr>
      </w:pPr>
    </w:p>
    <w:p w14:paraId="75960C94">
      <w:pPr>
        <w:spacing w:line="560" w:lineRule="exact"/>
        <w:ind w:left="0" w:leftChars="0" w:firstLine="0" w:firstLineChars="0"/>
        <w:jc w:val="left"/>
        <w:rPr>
          <w:rFonts w:hint="eastAsia" w:eastAsia="仿宋_GB2312"/>
          <w:sz w:val="32"/>
          <w:lang w:val="en-US" w:eastAsia="zh-CN"/>
        </w:rPr>
      </w:pPr>
    </w:p>
    <w:p w14:paraId="687DF987">
      <w:pPr>
        <w:spacing w:line="560" w:lineRule="exact"/>
        <w:ind w:left="2238" w:leftChars="304" w:hanging="1600" w:hangingChars="500"/>
        <w:jc w:val="left"/>
        <w:rPr>
          <w:rFonts w:hint="eastAsia" w:eastAsia="仿宋_GB2312"/>
          <w:sz w:val="32"/>
          <w:lang w:val="en-US" w:eastAsia="zh-CN"/>
        </w:rPr>
      </w:pPr>
      <w:r>
        <w:rPr>
          <w:rFonts w:hint="eastAsia" w:eastAsia="仿宋_GB2312"/>
          <w:sz w:val="32"/>
          <w:lang w:val="en-US" w:eastAsia="zh-CN"/>
        </w:rPr>
        <w:t>项目名称：2024年中央医疗服务与保障能力提升（医疗卫生机构能力建设）</w:t>
      </w:r>
    </w:p>
    <w:p w14:paraId="067D895A">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实施单位（公章）：特克斯县乔拉克铁热克镇卫生院</w:t>
      </w:r>
    </w:p>
    <w:p w14:paraId="63C67E25">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主管部门（公章）：特克斯县乔拉克铁热克镇卫生院</w:t>
      </w:r>
    </w:p>
    <w:p w14:paraId="5B42886C">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项目负责人（签章）：阿布力米提·阿布来提</w:t>
      </w:r>
    </w:p>
    <w:p w14:paraId="28E3FDD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填报时间：2025年05月22日</w:t>
      </w:r>
    </w:p>
    <w:p w14:paraId="4A6FA996">
      <w:pPr>
        <w:spacing w:line="560" w:lineRule="exact"/>
        <w:ind w:left="0" w:leftChars="0" w:firstLine="0" w:firstLineChars="0"/>
        <w:jc w:val="left"/>
        <w:rPr>
          <w:rFonts w:hint="eastAsia" w:eastAsia="仿宋_GB2312"/>
          <w:sz w:val="32"/>
          <w:lang w:val="en-US" w:eastAsia="zh-CN"/>
        </w:rPr>
      </w:pPr>
    </w:p>
    <w:p w14:paraId="1791A77A">
      <w:pPr>
        <w:keepNext/>
        <w:keepLines/>
        <w:widowControl w:val="0"/>
        <w:bidi w:val="0"/>
        <w:spacing w:beforeLines="0" w:beforeAutospacing="0" w:afterLines="0" w:afterAutospacing="0" w:line="560" w:lineRule="exact"/>
        <w:ind w:firstLine="640" w:firstLineChars="200"/>
        <w:jc w:val="left"/>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一、基本情况</w:t>
      </w:r>
    </w:p>
    <w:p w14:paraId="2B60821A">
      <w:pPr>
        <w:keepNext/>
        <w:keepLines/>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（一）项目概况</w:t>
      </w:r>
    </w:p>
    <w:p w14:paraId="323FE18C">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1.项目背景</w:t>
      </w:r>
    </w:p>
    <w:p w14:paraId="26DAC68C">
      <w:pPr>
        <w:bidi w:val="0"/>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通过项目建设，全面提升医疗卫生机构综合能力，加强特克斯县域医共体建设，进一步完善县域医共体信息化建设。随着乡村振兴战略推进，农村居民对医疗服务需求日益增长。为提升乡镇卫生院医疗服务能力，满足基层群众看病就医需求，2024年中央财政下达医疗服务能力提升资金，专项用于支持乡镇卫生院基础设施建设、设备购置等项目。</w:t>
      </w:r>
    </w:p>
    <w:p w14:paraId="2C33ED5A">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2.项目主要内容：</w:t>
      </w:r>
    </w:p>
    <w:p w14:paraId="1BE8EB47">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主要内容包括加强特克斯县域医共体能力建设，进一步完善县域医共体信息化建设，全面提升县域医疗卫生机构综合能力。支持乔拉克铁热克镇卫生院加强人才队伍建设、配备基本设备、对现有业务用房进行装修改造等，提升基层卫生机构能力。改善医疗卫生机构基础设施条件，如对医院门诊楼、住院楼进行修缮改造；购置先进医疗设备，如彩超诊断仪等；加强人才队伍建设，开展医护人员专业培训、人才引进、专业宣传力度等工作。</w:t>
      </w:r>
    </w:p>
    <w:p w14:paraId="16040090">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项目实施情况：医疗设备采购已完成招标，部分设备已安装调试投入使用；人才培训、宣传工作已组织多场专业讲座和技能培训。</w:t>
      </w:r>
    </w:p>
    <w:p w14:paraId="7CB87AE5">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3.资金投入和使用情况</w:t>
      </w:r>
    </w:p>
    <w:p w14:paraId="17559230">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（1）资金投入情况</w:t>
      </w:r>
    </w:p>
    <w:p w14:paraId="2B546A5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该项目年初预算数30万元，全年预算数30万元，该项目资金已全部落实到位，资金来源为财政补助资金收入。</w:t>
      </w:r>
    </w:p>
    <w:p w14:paraId="477022F3">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（2）资金使用情况</w:t>
      </w:r>
    </w:p>
    <w:p w14:paraId="66F68A4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该项目年初预算数30万元，全年预算数30万元，全年执行数30万元，预算执行率为100%，主要用于：用于开展60%补助资金23万元用于配备基本设备、40%补助资金7万元用于人才队伍建设以及根据“优质服务基层行”活动推荐标准创建要标准对全院内各类工作进行进一步完善。资金使用严格按照预算执行，专款专用，审批流程规范。</w:t>
      </w:r>
    </w:p>
    <w:p w14:paraId="5EA69621">
      <w:pPr>
        <w:keepNext/>
        <w:keepLines/>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（二）项目绩效目标</w:t>
      </w:r>
    </w:p>
    <w:p w14:paraId="48ECD250">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1.总体目标</w:t>
      </w:r>
    </w:p>
    <w:p w14:paraId="1D356485">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通过项目建设，全面提升医疗卫生机构综合能力，加强特克斯县域医共体建设，进一步完善县域医共体信息化建设。支持乔拉克铁热克镇卫生院能力提升，进一步完善县域医疗卫生服务体系，提高县域就诊率。业务用房达到标准化，布局科学合理;明显提高对常见病、多发病的诊治水平，特别是急诊科、外科、产科、儿科、中医科、康复科的业务能力。使基本公共卫生服务项目实施绩效明显高于县域基层医疗卫生机构平均水平，为辖区内居民提供优质的医疗卫生服务，从而提高居民对卫生服务的满意度，提高群众获得感、幸福感。2024年中央医疗服务与保障能力提升（医疗卫生机构能力建设）补助资金。</w:t>
      </w:r>
    </w:p>
    <w:p w14:paraId="053AA496">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2.阶段性目标</w:t>
      </w:r>
    </w:p>
    <w:p w14:paraId="4B69C2A6">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上半年工作完成情况：</w:t>
      </w:r>
    </w:p>
    <w:p w14:paraId="4B7FD553">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上半年未完成目标值，按照计划5月起对需采购的设备招标进行三方询价流程办理采购。</w:t>
      </w:r>
    </w:p>
    <w:p w14:paraId="658AA9EA">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下半年工作完成情况：</w:t>
      </w:r>
    </w:p>
    <w:p w14:paraId="3A493A0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1、设备采购截至2024年10 月指标完成值30万元/年,完成率100%，已完成目标值；</w:t>
      </w:r>
    </w:p>
    <w:p w14:paraId="5BB6E222">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2、资金拨付及时率预期指标值100%，实际完成值100%完成率66.67%。已按序时进度正常开展所涉及的工作。</w:t>
      </w:r>
    </w:p>
    <w:p w14:paraId="6CE47CD9">
      <w:pPr>
        <w:keepNext/>
        <w:keepLines/>
        <w:widowControl w:val="0"/>
        <w:bidi w:val="0"/>
        <w:spacing w:beforeLines="0" w:beforeAutospacing="0" w:afterLines="0" w:afterAutospacing="0" w:line="560" w:lineRule="exact"/>
        <w:ind w:firstLine="640" w:firstLineChars="200"/>
        <w:jc w:val="left"/>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二、绩效评价工作开展情况</w:t>
      </w:r>
    </w:p>
    <w:p w14:paraId="59B0025B">
      <w:pPr>
        <w:keepNext/>
        <w:keepLines/>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（一）绩效评价目的、对象和范围</w:t>
      </w:r>
    </w:p>
    <w:p w14:paraId="23F72FE4">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1.绩效评价完整性</w:t>
      </w:r>
    </w:p>
    <w:p w14:paraId="5B0D4EB3">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6D6BBEC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3B58664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2F3E084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01A39985">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0406190E">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2.绩效评价的目的</w:t>
      </w:r>
    </w:p>
    <w:p w14:paraId="7E71E257">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（1）评估项目实施效果</w:t>
      </w:r>
    </w:p>
    <w:p w14:paraId="5B2A2B8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通过对项目预算执行情况及各项绩效目标达成程度的系统性分析，全面、客观地评估项目在预定周期内的实施效果，包括社会效益以及可持续性等多维度指标，为项目后续的改进与优化提供科学依据。</w:t>
      </w:r>
    </w:p>
    <w:p w14:paraId="27C62EA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（2）提升资源利用效率</w:t>
      </w:r>
    </w:p>
    <w:p w14:paraId="4126C4F6">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4B931583">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（3）强化项目管理责任</w:t>
      </w:r>
    </w:p>
    <w:p w14:paraId="37F42CCB">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22C98FE3">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（4）为决策提供支持</w:t>
      </w:r>
    </w:p>
    <w:p w14:paraId="34916299">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220CA1A">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（5）促进项目持续改进</w:t>
      </w:r>
    </w:p>
    <w:p w14:paraId="3BE615AE">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056BDCDC">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14:paraId="1AF18DCE">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3.绩效评价的对象</w:t>
      </w:r>
    </w:p>
    <w:p w14:paraId="5892B568">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项目预算绩效评价报告的评价对象是2024年单位医疗服务能力提升项目及其预算执行情况。该项目由特克斯县乔拉克铁热克镇卫生院负责实施，在旨提高编外人员工作积极性：有效提高；提高职工日常工作效率和质量：项目预算涵盖从起始日期2024年1月1日至2024年12月31日全部资金投入与支出，涉及资金总额为30万元。</w:t>
      </w:r>
    </w:p>
    <w:p w14:paraId="1BC4AE8B">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4.绩效评价的范围</w:t>
      </w:r>
    </w:p>
    <w:p w14:paraId="494C19BA">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本项目预算绩效评价报告的评价范围广泛而全面，涵盖了从项目立项至评价时点期间的所有关键预算活动和财务流程。具体而言，评价范围包括但不限于以下几个方面：</w:t>
      </w:r>
    </w:p>
    <w:p w14:paraId="71D689A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（1）项目预算编制与执行：全面审视项目预算的编制依据、合理性、科学性以及实际执行情况，包括预算调整的原因和效果。</w:t>
      </w:r>
    </w:p>
    <w:p w14:paraId="03B59866">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（2）资金管理：深入分析项目资金的分配、使用和监管情况，确保资金使用的合规性、高效性和透明度。</w:t>
      </w:r>
    </w:p>
    <w:p w14:paraId="4A0CAE14">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（3）项目实施进度与产出：评估项目是否按照既定计划顺利推进，各项任务是否按时完成，以及项目产出的数量、质量和时效性是否符合预期。</w:t>
      </w:r>
    </w:p>
    <w:p w14:paraId="40252270">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4）社会影响：医疗服务能力提升项目对加强特克斯县域医共体能力建设，进一步完善县域医共体信息化建设，全面提升县域医疗卫生机构综合能力。支持乔拉克铁热克镇卫生院加强人才队伍建设、配备基本设备、对现有业务用房进行装修改造等，提升基层卫生机构能力。改善医疗卫生机构基础设施条件，如对医院门诊楼、住院楼进行修缮改造；购置先进医疗设备，如彩超诊断仪等；加强人才队伍建设，开展医护人员专业培训、人才引进、专业宣传力度等工作。社会有着深远的积极影响，是保障居民健康，促进社会和谐发展的重要举措，推动健康观念转变，增强社会稳定。</w:t>
      </w:r>
    </w:p>
    <w:p w14:paraId="6249B271">
      <w:pPr>
        <w:keepNext/>
        <w:keepLines/>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（二）绩效评价原则、评价指标体系（详情见表1）、评价方法、评价标准。</w:t>
      </w:r>
    </w:p>
    <w:p w14:paraId="40FF22B1">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1.绩效评价原则</w:t>
      </w:r>
    </w:p>
    <w:p w14:paraId="1B08D397">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本次项目绩效评价遵循以下基本原则：</w:t>
      </w:r>
    </w:p>
    <w:p w14:paraId="75BB9401">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（1）科学公正。绩效评价应当运用科学合理的方法，按照规范的程序，对项目绩效进行客观、公正的反映。</w:t>
      </w:r>
    </w:p>
    <w:p w14:paraId="36754810">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（2）统筹兼顾。单位自评、部门评价和财政评价应职责明确，各有侧重，相互衔接。单位自评应由项目单位自主实施，即“谁支出、谁自评”。部门评价和财政评价应在单位自评的基础上开展。</w:t>
      </w:r>
    </w:p>
    <w:p w14:paraId="459F73FC">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（3）激励约束。绩效评价结果应与预算安排、政策调整、改进管理实质性挂钩，体现奖优罚劣和激励相容导向，有效要安排、低效要压减、无效要问责。</w:t>
      </w:r>
    </w:p>
    <w:p w14:paraId="05588DCE">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（4）公开透明。绩效评价结果应依法依规公开，并自觉接受社会监督。</w:t>
      </w:r>
    </w:p>
    <w:p w14:paraId="6A2FC206">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2.评价指标体系</w:t>
      </w:r>
    </w:p>
    <w:p w14:paraId="1530E636">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绩效评价框架是开展绩效评价的核心。绩效评价框架包括评价准则、关键评价问题、评价指标、数据来源、数据收集方法等。指标体系建立过程如下：</w:t>
      </w:r>
    </w:p>
    <w:p w14:paraId="681709E9">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（1）确定评价指标</w:t>
      </w:r>
    </w:p>
    <w:p w14:paraId="0685370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0038ECBC">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（2）确定权重</w:t>
      </w:r>
    </w:p>
    <w:p w14:paraId="5466C596">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确定各个指标相对于项目总体绩效的权重分值。在绩效评价指标体系中，项目决策权重为20分，项目过程权重为20分，项目产出权重为40分，项目效益权重为20分。</w:t>
      </w:r>
    </w:p>
    <w:p w14:paraId="257BCE59">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（3）确定指标标准值</w:t>
      </w:r>
    </w:p>
    <w:p w14:paraId="594072A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指标标准值是绩效评价指标的尺度，既要反映同类项目的先进水平，又要符合项目的实际绩效水平。具体采用计划标准等确定此次绩效评价指标标准值。</w:t>
      </w:r>
    </w:p>
    <w:p w14:paraId="7A3B3169">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绩效评价总分值100分，根据综合评分结果，90（含）-100分为优、80（含）-90分为良、60（含）-80分为中、60分以下为差。</w:t>
      </w:r>
    </w:p>
    <w:p w14:paraId="52913E44">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具体评价指标体系详情见附件1</w:t>
      </w:r>
    </w:p>
    <w:p w14:paraId="63F472DE">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3.绩效评价方法</w:t>
      </w:r>
    </w:p>
    <w:p w14:paraId="06079177">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绩效评价从项目决策、项目过程、项目产出、项目效益四个维度进行评价。评价对象为项目目标实施情况，  评价核心为资金的支出完成情况和项目的产出效益。</w:t>
      </w:r>
    </w:p>
    <w:p w14:paraId="5F5775E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本次评价指标中，既有定性指标又有定量指标，各类指标因考核内容不同和客观标准不同存在较大差异，因此核定具体指标时采用了不同方法，具体评价方法如下：</w:t>
      </w:r>
    </w:p>
    <w:p w14:paraId="3E8C96FB">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（一）因素分析法。是指综合分析影响绩效目标实现、实施效果的内外部因素的方法。选择因素分析法因其全面性、灵活性以及能够提供定量依据的特点。</w:t>
      </w:r>
    </w:p>
    <w:p w14:paraId="3CEE0797">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4.评价标准</w:t>
      </w:r>
    </w:p>
    <w:p w14:paraId="5145590A">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绩效评价标准通常包括计划标准、行业标准、历史标准等，用于对绩效指标完成情况进行比较、分析、评价。本次评价主要采用了计划标准。</w:t>
      </w:r>
    </w:p>
    <w:p w14:paraId="0DC098FB">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（1）计划标准。指以预先制定的目标、计划、预算、定额等作为评价标准。</w:t>
      </w:r>
    </w:p>
    <w:p w14:paraId="4973FBAC">
      <w:pPr>
        <w:keepNext/>
        <w:keepLines/>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（三）绩效评价工作过程。</w:t>
      </w:r>
    </w:p>
    <w:p w14:paraId="51CF5F2B">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（1）前期准备与规划</w:t>
      </w:r>
    </w:p>
    <w:p w14:paraId="5E1F8A7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1E1E980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指标体系构建</w:t>
      </w:r>
    </w:p>
    <w:p w14:paraId="145ADE6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1F53E790">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（2）数据收集与整理</w:t>
      </w:r>
    </w:p>
    <w:p w14:paraId="7873681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34FC668E">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（3）数据分析与评估</w:t>
      </w:r>
    </w:p>
    <w:p w14:paraId="3AFA5975">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668698F8">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（4）报告撰写与反馈</w:t>
      </w:r>
    </w:p>
    <w:p w14:paraId="53448695">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03AA3E7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后续跟踪与改进</w:t>
      </w:r>
    </w:p>
    <w:p w14:paraId="24CA9C96">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40D5AA1">
      <w:pPr>
        <w:keepNext/>
        <w:keepLines/>
        <w:widowControl w:val="0"/>
        <w:bidi w:val="0"/>
        <w:spacing w:beforeLines="0" w:beforeAutospacing="0" w:afterLines="0" w:afterAutospacing="0" w:line="560" w:lineRule="exact"/>
        <w:ind w:firstLine="640" w:firstLineChars="200"/>
        <w:jc w:val="left"/>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三、综合评价情况及评价结论（附相关评分表）</w:t>
      </w:r>
    </w:p>
    <w:p w14:paraId="5FCE8690">
      <w:pPr>
        <w:keepNext/>
        <w:keepLines/>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（一）评价情况</w:t>
      </w:r>
    </w:p>
    <w:p w14:paraId="072C9334">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项目的综合评价基于对项目各方面绩效的深入分析与评估。从项目目标的达成情况来看，2024年单位医疗服务能力提升项目对提高编外人员工作积极性：有效提高；等方面表现出色，达到了预期的标准与要求。同时，项目也在高职工日常工作效率和质量取得了显著的成效，如单位职工满意度：满意度达到90%。</w:t>
      </w:r>
    </w:p>
    <w:p w14:paraId="6420B429">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在项目管理方面，特克斯县乔拉克铁热克镇卫生院通过有效的规划、组织与协调，项目得以顺利实施，并在预算与时间上保持了良好的控制。</w:t>
      </w:r>
    </w:p>
    <w:p w14:paraId="4B91E119">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从项目效益的角度来看，本项目不仅实现了预期的社会效益、生态效益等方面产生了积极的影响。具体而言，提高编外人员工作积极性、提高职工日常工作效率和质量，为项目的利益相关者带来了实实在在的利益。</w:t>
      </w:r>
    </w:p>
    <w:p w14:paraId="1FF51854">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综上所述，2024年单位医疗服务能力提升在绩效评价中表现出色，达到了项目的预期目标，并在多个方面取得了显著的成效。</w:t>
      </w:r>
    </w:p>
    <w:p w14:paraId="589C843A">
      <w:pPr>
        <w:keepNext/>
        <w:keepLines/>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（二）评价结论</w:t>
      </w:r>
    </w:p>
    <w:p w14:paraId="65489775">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100%。项目过程类指标权重为20分，得分为20分，得分率为100%。项目产出类指标权重为40分，得分为40分，得分率为100%。项目效益类指标权重为20分，得分为20分，得分率为100%。具体打分情况详见：</w:t>
      </w:r>
    </w:p>
    <w:p w14:paraId="25EDB05D">
      <w:pPr>
        <w:keepNext w:val="0"/>
        <w:keepLines w:val="0"/>
        <w:pageBreakBefore w:val="0"/>
        <w:widowControl/>
        <w:kinsoku/>
        <w:wordWrap/>
        <w:overflowPunct/>
        <w:topLinePunct w:val="0"/>
        <w:autoSpaceDE/>
        <w:autoSpaceDN/>
        <w:bidi w:val="0"/>
        <w:adjustRightInd/>
        <w:snapToGrid/>
        <w:spacing w:before="0" w:after="0" w:line="560" w:lineRule="exact"/>
        <w:ind w:firstLine="422" w:firstLineChars="200"/>
        <w:jc w:val="center"/>
        <w:textAlignment w:val="auto"/>
        <w:outlineLvl w:val="0"/>
        <w:rPr>
          <w:rFonts w:hint="default" w:ascii="Times New Roman" w:hAnsi="Times New Roman" w:eastAsia="仿宋_GB2312" w:cs="Times New Roman"/>
          <w:b/>
          <w:bCs/>
          <w:kern w:val="28"/>
          <w:sz w:val="21"/>
          <w:szCs w:val="21"/>
          <w:lang w:val="en-US" w:eastAsia="zh-CN" w:bidi="ar-SA"/>
        </w:rPr>
      </w:pPr>
      <w:r>
        <w:rPr>
          <w:rFonts w:hint="default" w:ascii="Times New Roman" w:hAnsi="Times New Roman" w:eastAsia="仿宋_GB2312" w:cs="Times New Roman"/>
          <w:b/>
          <w:bCs/>
          <w:kern w:val="28"/>
          <w:sz w:val="21"/>
          <w:szCs w:val="21"/>
          <w:lang w:val="en-US" w:eastAsia="zh-CN" w:bidi="ar-SA"/>
        </w:rPr>
        <w:t>表1综合评分表</w:t>
      </w:r>
    </w:p>
    <w:tbl>
      <w:tblPr>
        <w:tblStyle w:val="18"/>
        <w:tblW w:w="7583" w:type="dxa"/>
        <w:jc w:val="center"/>
        <w:tblLayout w:type="fixed"/>
        <w:tblCellMar>
          <w:top w:w="0" w:type="dxa"/>
          <w:left w:w="108" w:type="dxa"/>
          <w:bottom w:w="0" w:type="dxa"/>
          <w:right w:w="108" w:type="dxa"/>
        </w:tblCellMar>
      </w:tblPr>
      <w:tblGrid>
        <w:gridCol w:w="3137"/>
        <w:gridCol w:w="2168"/>
        <w:gridCol w:w="2278"/>
      </w:tblGrid>
      <w:tr w14:paraId="51CC28BB">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29EB317">
            <w:pPr>
              <w:spacing w:line="560" w:lineRule="exact"/>
              <w:ind w:left="0" w:leftChars="0" w:firstLine="0" w:firstLineChars="0"/>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4076222">
            <w:pPr>
              <w:spacing w:line="560" w:lineRule="exact"/>
              <w:ind w:left="0" w:leftChars="0" w:firstLine="0" w:firstLineChars="0"/>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78DF29A3">
            <w:pPr>
              <w:spacing w:line="560" w:lineRule="exact"/>
              <w:ind w:left="0" w:leftChars="0" w:firstLine="0" w:firstLineChars="0"/>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4AB3D4BA">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774EF69">
            <w:pPr>
              <w:spacing w:line="560" w:lineRule="exact"/>
              <w:ind w:left="0" w:leftChars="0"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256BEE3">
            <w:pPr>
              <w:spacing w:line="560" w:lineRule="exact"/>
              <w:ind w:left="0" w:leftChars="0" w:firstLine="0" w:firstLineChars="0"/>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0E82ADF">
            <w:pPr>
              <w:spacing w:line="560" w:lineRule="exact"/>
              <w:ind w:left="0" w:leftChars="0" w:firstLine="0" w:firstLineChars="0"/>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11B7AA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CFC6535">
            <w:pPr>
              <w:spacing w:line="560" w:lineRule="exact"/>
              <w:ind w:left="0" w:leftChars="0"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2617BA4F">
            <w:pPr>
              <w:spacing w:line="560" w:lineRule="exact"/>
              <w:ind w:left="0" w:leftChars="0" w:firstLine="0" w:firstLineChars="0"/>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B5D29F1">
            <w:pPr>
              <w:spacing w:line="560" w:lineRule="exact"/>
              <w:ind w:left="0" w:leftChars="0" w:firstLine="0" w:firstLineChars="0"/>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28F04A7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68A0BD4">
            <w:pPr>
              <w:spacing w:line="560" w:lineRule="exact"/>
              <w:ind w:left="0" w:leftChars="0"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0B51352B">
            <w:pPr>
              <w:spacing w:line="560" w:lineRule="exact"/>
              <w:ind w:left="0" w:leftChars="0" w:firstLine="0" w:firstLineChars="0"/>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E4241F8">
            <w:pPr>
              <w:spacing w:line="560" w:lineRule="exact"/>
              <w:ind w:left="0" w:leftChars="0" w:firstLine="0" w:firstLineChars="0"/>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31004B0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B5753D9">
            <w:pPr>
              <w:spacing w:line="560" w:lineRule="exact"/>
              <w:ind w:left="0" w:leftChars="0"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7185C316">
            <w:pPr>
              <w:spacing w:line="560" w:lineRule="exact"/>
              <w:ind w:left="0" w:leftChars="0" w:firstLine="0" w:firstLineChars="0"/>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351B0D2">
            <w:pPr>
              <w:spacing w:line="560" w:lineRule="exact"/>
              <w:ind w:left="0" w:leftChars="0" w:firstLine="0" w:firstLineChars="0"/>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35F3996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5CD5717">
            <w:pPr>
              <w:spacing w:line="560" w:lineRule="exact"/>
              <w:ind w:left="0" w:leftChars="0" w:firstLine="0" w:firstLineChars="0"/>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4654A428">
            <w:pPr>
              <w:spacing w:line="560" w:lineRule="exact"/>
              <w:ind w:left="0" w:leftChars="0" w:firstLine="0" w:firstLineChars="0"/>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A9DFF25">
            <w:pPr>
              <w:spacing w:line="560" w:lineRule="exact"/>
              <w:ind w:left="0" w:leftChars="0" w:firstLine="0" w:firstLineChars="0"/>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65E08FEC">
      <w:pPr>
        <w:spacing w:line="560" w:lineRule="exact"/>
        <w:ind w:left="0" w:leftChars="0" w:firstLine="0" w:firstLineChars="0"/>
        <w:jc w:val="left"/>
        <w:rPr>
          <w:rFonts w:hint="eastAsia" w:eastAsia="仿宋_GB2312"/>
          <w:sz w:val="32"/>
          <w:lang w:val="en-US" w:eastAsia="zh-CN"/>
        </w:rPr>
      </w:pPr>
    </w:p>
    <w:p w14:paraId="0BD7EFF7">
      <w:pPr>
        <w:keepNext/>
        <w:keepLines/>
        <w:widowControl w:val="0"/>
        <w:bidi w:val="0"/>
        <w:spacing w:beforeLines="0" w:beforeAutospacing="0" w:afterLines="0" w:afterAutospacing="0" w:line="560" w:lineRule="exact"/>
        <w:ind w:firstLine="640" w:firstLineChars="200"/>
        <w:jc w:val="left"/>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 xml:space="preserve">四、绩效评价指标分析 </w:t>
      </w:r>
    </w:p>
    <w:p w14:paraId="3729F77A">
      <w:pPr>
        <w:keepNext/>
        <w:keepLines/>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（一）项目决策情况。</w:t>
      </w:r>
    </w:p>
    <w:p w14:paraId="6B3ABE97">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项目决策类指标包括项目立项、绩效目标和资金投入三方面的内容，由6个三级指标构成，权重分值为20分，实际得分20分，得分率为100%。</w:t>
      </w:r>
    </w:p>
    <w:p w14:paraId="1E1FF42E">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1.项目立项</w:t>
      </w:r>
    </w:p>
    <w:p w14:paraId="223CB00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（1）立项依据充分性</w:t>
      </w:r>
    </w:p>
    <w:p w14:paraId="13DB1505">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9AC18F9">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(2)立项程序规范性</w:t>
      </w:r>
    </w:p>
    <w:p w14:paraId="7FECEE34">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EBBA686">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2.绩效目标</w:t>
      </w:r>
    </w:p>
    <w:p w14:paraId="1B338E09">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（1）绩效目标合理性</w:t>
      </w:r>
    </w:p>
    <w:p w14:paraId="4C9CDF28">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EF44355">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（2）绩效指标明确性</w:t>
      </w:r>
    </w:p>
    <w:p w14:paraId="74268F29">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项目设置了明确的预期产出效益和效果，将绩效目标细化分解为具体的绩效指标，绩效目标与项目目标任务数相对应，绩效目标设定的绩效指标清晰、细化、可衡量。</w:t>
      </w:r>
    </w:p>
    <w:p w14:paraId="052937F2">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3.资金投入</w:t>
      </w:r>
    </w:p>
    <w:p w14:paraId="21B95FD7">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（1）预算编制科学性</w:t>
      </w:r>
    </w:p>
    <w:p w14:paraId="485819F0">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0FF675DA">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60089FB3">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（2）资金分配合理性</w:t>
      </w:r>
    </w:p>
    <w:p w14:paraId="758D10B2">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3E20B850">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3B0E13CC">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5A0F50B3">
      <w:pPr>
        <w:keepNext/>
        <w:keepLines/>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（二）项目过程情况。</w:t>
      </w:r>
    </w:p>
    <w:p w14:paraId="68B89E68">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项目过程类指标包括资金管理和组织实施两方面的内容，由5个三级指标构成，权重分值为20分，实际得分20分，得分率为100%。</w:t>
      </w:r>
    </w:p>
    <w:p w14:paraId="05CE78AD">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1.资金管理</w:t>
      </w:r>
    </w:p>
    <w:p w14:paraId="4D02236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（1）资金到位率</w:t>
      </w:r>
    </w:p>
    <w:p w14:paraId="65E11F68">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本项目总投资30万元，其他资金及时拨付到位，到位率100%，预算资金按计划进度执行。</w:t>
      </w:r>
    </w:p>
    <w:p w14:paraId="7D9E488B">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（2）预算执行率</w:t>
      </w:r>
    </w:p>
    <w:p w14:paraId="0DB8EB3E">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预算编制较为详细，项目资金支出总体能够按照预算执行，预算资金支出30万元，预算执行率为100%。</w:t>
      </w:r>
    </w:p>
    <w:p w14:paraId="05B62408">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（3）资金使用合规性</w:t>
      </w:r>
    </w:p>
    <w:p w14:paraId="1F102E1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12315E99">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34ABFB5B">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5EFF0B2D">
      <w:pPr>
        <w:keepNext/>
        <w:keepLines/>
        <w:widowControl w:val="0"/>
        <w:bidi w:val="0"/>
        <w:spacing w:beforeLines="0" w:beforeAutospacing="0" w:afterLines="0" w:afterAutospacing="0" w:line="560" w:lineRule="exact"/>
        <w:ind w:firstLine="640" w:firstLineChars="200"/>
        <w:jc w:val="left"/>
        <w:outlineLvl w:val="2"/>
        <w:rPr>
          <w:rFonts w:hint="eastAsia"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2.组织实施</w:t>
      </w:r>
    </w:p>
    <w:p w14:paraId="3CD8496A">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（1）管理制度健全性</w:t>
      </w:r>
    </w:p>
    <w:p w14:paraId="2093DBE6">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3E7F70B9">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在制度设计上，我们注重了制度的科学性与可操作性，确保制度能够切实指导项目的执行与管理。</w:t>
      </w:r>
    </w:p>
    <w:p w14:paraId="7E97AD69">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5D1E5802">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037360D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（2）制度执行有效性</w:t>
      </w:r>
    </w:p>
    <w:p w14:paraId="4ABF6C96">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14:paraId="48E486D1">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D75B3B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综上所述，本项目的管理制度在执行过程中表现出了高度的有效性，既确保了项目的顺利进行，又实现了项目目标的有效达成。</w:t>
      </w:r>
    </w:p>
    <w:p w14:paraId="050C0F53">
      <w:pPr>
        <w:keepNext/>
        <w:keepLines/>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（三）项目产出情况。</w:t>
      </w:r>
    </w:p>
    <w:p w14:paraId="0E6E844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项目产出类指标包括产出数量、产出质量、产出时效、产出成本四方面的内容，由6个三级指标构成，权重分为40分，实际得分40分，得分率为100%。具体产出指标完成情况如下：</w:t>
      </w:r>
    </w:p>
    <w:p w14:paraId="03DA374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（1）数量指标：</w:t>
      </w:r>
    </w:p>
    <w:p w14:paraId="599CAFC0">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数量指标：指标1：按病种付费的住院参保人员占总住院参保人员的比例，指标值：&gt;=95% 人，指标值：&gt;=4，实际完成值：95%人，指标完成率 100%，达到了项目的预期目标。</w:t>
      </w:r>
    </w:p>
    <w:p w14:paraId="6523C154">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数量指标：指标2：开展各类宣传次数&gt;=4次，指标值：&gt;=4 ，实际完成值：4，指标完成率 100%，达到了项目的预期目标。</w:t>
      </w:r>
    </w:p>
    <w:p w14:paraId="4A09760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数量指标：指标3：开展业务培训次数&gt;=6次，指标值：&gt;=4，实际完成值：6，指标完成率 100%，达到了项目的预期目标。</w:t>
      </w:r>
    </w:p>
    <w:p w14:paraId="3F23D5A4">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（2）质量指标：指标1：医院平均住院日&lt;=7天，指标值：4，实际完成值：7，指标完成率 100%，达到了项目的预期目标。</w:t>
      </w:r>
    </w:p>
    <w:p w14:paraId="4FFBBCCC">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质量指标：指标2：人才培训合格率&gt;=90%，指标值：4实际完成值：90%，指标完成率 100%，达到了项目的预期目标。</w:t>
      </w:r>
    </w:p>
    <w:p w14:paraId="60356331">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质量指标：指标3：贯彻各项工作完成率&gt;=95%，指标值：5，实际完成值：95%，指标完成率 100%，达到了项目的预期目标。</w:t>
      </w:r>
    </w:p>
    <w:p w14:paraId="3F8027C8">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质量指标：指标4：各类宣传后居居民知晓率&gt;=90%，指标值：5，实际完成值：90%，指标完成率 100%，达到了项目的预期目标。</w:t>
      </w:r>
    </w:p>
    <w:p w14:paraId="380CB2E1">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（3）时效指标：指标1：基本医疗设备配备时间=2024年5月，指标值：5，实际完成值：=100%，达到了项目的预期目标。</w:t>
      </w:r>
    </w:p>
    <w:p w14:paraId="35834ED4">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时效指标：指标2：基本医疗设备配备时间=2024年5月，指标值：5，实际完成值：=100%，达到了项目的预期目标。业务用房进行装修改造时间</w:t>
      </w:r>
    </w:p>
    <w:p w14:paraId="78637E32">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（4）经济成本指标：指标1：医疗服务与保障能力提升（医疗卫生机构能力建设）：&lt;=23万元/年，实际完成值：23万元/年，指标完成率 100%。</w:t>
      </w:r>
    </w:p>
    <w:p w14:paraId="36C3DC4E">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经济成本指标：指标2：医疗服务与保障能力提升（医疗卫生机日常工作经费）：&lt;=7万元万元/年，实际完成值：7万元/年，指标完成率100%。</w:t>
      </w:r>
    </w:p>
    <w:p w14:paraId="2DD167CF">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（5）社会效益指标：指标1：基本医疗服务能力水平：逐步提高，实际完成值：逐步提高，指标完成率 100%。</w:t>
      </w:r>
    </w:p>
    <w:p w14:paraId="28F246B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社会效益指标：指标2：其他卫生健康人才培养培训业务水平：较上年提高，实际完成值：较上年提高，指标完成率 100%。</w:t>
      </w:r>
    </w:p>
    <w:p w14:paraId="46F904DE">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（6）满意度指标指标1：群众满意度&gt;=90%，指标值：10万元/年，实际完成值：90万元/年，指标完成率 100%。</w:t>
      </w:r>
    </w:p>
    <w:p w14:paraId="61F554AF">
      <w:pPr>
        <w:keepNext/>
        <w:keepLines/>
        <w:widowControl w:val="0"/>
        <w:bidi w:val="0"/>
        <w:spacing w:beforeLines="0" w:beforeAutospacing="0" w:afterLines="0" w:afterAutospacing="0" w:line="560" w:lineRule="exact"/>
        <w:ind w:firstLine="640" w:firstLineChars="200"/>
        <w:jc w:val="left"/>
        <w:outlineLvl w:val="1"/>
        <w:rPr>
          <w:rFonts w:hint="eastAsia" w:ascii="Arial" w:hAnsi="Arial" w:eastAsia="楷体_GB2312" w:cs="Times New Roman"/>
          <w:kern w:val="2"/>
          <w:sz w:val="32"/>
          <w:szCs w:val="24"/>
          <w:lang w:val="en-US" w:eastAsia="zh-CN" w:bidi="ar-SA"/>
        </w:rPr>
      </w:pPr>
      <w:r>
        <w:rPr>
          <w:rFonts w:hint="eastAsia" w:ascii="Arial" w:hAnsi="Arial" w:eastAsia="楷体_GB2312" w:cs="Times New Roman"/>
          <w:kern w:val="2"/>
          <w:sz w:val="32"/>
          <w:szCs w:val="24"/>
          <w:lang w:val="en-US" w:eastAsia="zh-CN" w:bidi="ar-SA"/>
        </w:rPr>
        <w:t>（四）项目效益情况。</w:t>
      </w:r>
    </w:p>
    <w:p w14:paraId="64AF11FB">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项目效益类指标包括项目实施效益和满意度两方面的内容，由3个三级指标构成，权重分为20分，实际得分20分，得分率为100%。具体效益指标及满意度指标完成情况如下：1.实施效益①社会效益指标：提高编外人员工作积极性，指标值：有效提高，实际完成值：有效提高，指标完成率100%，偏差原因：无②社会效益指标：提高职工日常工作效率和质量，指标值：有效提高，实际完成值：有效提高，指标完成率 100 %，偏差原因：无。2.满意度指标,（五）预算执行进度与绩效指标总体完成率偏差2024年单位自有资金收入项目年初预算390万元，全年预算30万元，实际支出30万元，预算执行率为100%，项目绩效指标总体完成率为100%，无偏差。单位职工满意度，指标值：&gt;=90%，实际完成值：90%，指标完成率 100%，偏差原因：无</w:t>
      </w:r>
    </w:p>
    <w:p w14:paraId="4BC73AFF">
      <w:pPr>
        <w:keepNext/>
        <w:keepLines/>
        <w:widowControl w:val="0"/>
        <w:bidi w:val="0"/>
        <w:spacing w:beforeLines="0" w:beforeAutospacing="0" w:afterLines="0" w:afterAutospacing="0" w:line="560" w:lineRule="exact"/>
        <w:ind w:firstLine="640" w:firstLineChars="200"/>
        <w:jc w:val="left"/>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五、主要经验及做法、存在的问题及原因分析</w:t>
      </w:r>
    </w:p>
    <w:p w14:paraId="3C51A8ED">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一）主要经验及做法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9E976D9">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二）存在的问题及原因分析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2.因轮岗、调动等因素使我单位绩效工作人员流动频繁，造成工作衔接不到位的情况。</w:t>
      </w:r>
    </w:p>
    <w:p w14:paraId="1BEA5788">
      <w:pPr>
        <w:keepNext/>
        <w:keepLines/>
        <w:widowControl w:val="0"/>
        <w:bidi w:val="0"/>
        <w:spacing w:beforeLines="0" w:beforeAutospacing="0" w:afterLines="0" w:afterAutospacing="0" w:line="560" w:lineRule="exact"/>
        <w:ind w:firstLine="640" w:firstLineChars="200"/>
        <w:jc w:val="left"/>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六、有关建议</w:t>
      </w:r>
    </w:p>
    <w:p w14:paraId="490B161E">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1.多进行有关绩效管理工作方面的培训。积极组织第三方开展绩效管理工作培训，进一步夯实业务基础，提高我单位绩效人员水平。2.专门设定对绩效工作人员定职、定岗、定责等相关制度措施，进一步提升我单位绩效管理工作业务水平，扎实做好绩效管理工作。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4.进一步完善项目评价过程中有关数据和资料的收集、整理、审核及分析。项目启动时同步做好档案的归纳与整理，及时整理、收集、汇总，健全档案资料。项目后续管理有待进一步加强和跟踪。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02BD47D6">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560" w:lineRule="exact"/>
        <w:ind w:firstLine="640" w:firstLineChars="200"/>
        <w:jc w:val="left"/>
        <w:textAlignment w:val="auto"/>
        <w:outlineLvl w:val="0"/>
        <w:rPr>
          <w:rFonts w:hint="eastAsia" w:ascii="Calibri" w:hAnsi="Calibri" w:eastAsia="黑体" w:cs="Times New Roman"/>
          <w:kern w:val="44"/>
          <w:sz w:val="32"/>
          <w:szCs w:val="24"/>
          <w:lang w:val="en-US" w:eastAsia="zh-CN" w:bidi="ar-SA"/>
        </w:rPr>
      </w:pPr>
      <w:r>
        <w:rPr>
          <w:rFonts w:hint="eastAsia" w:ascii="Calibri" w:hAnsi="Calibri" w:eastAsia="黑体" w:cs="Times New Roman"/>
          <w:kern w:val="44"/>
          <w:sz w:val="32"/>
          <w:szCs w:val="24"/>
          <w:lang w:val="en-US" w:eastAsia="zh-CN" w:bidi="ar-SA"/>
        </w:rPr>
        <w:t>七、其他需要说明的问题</w:t>
      </w:r>
    </w:p>
    <w:p w14:paraId="43580E8A">
      <w:pPr>
        <w:spacing w:line="560" w:lineRule="exact"/>
        <w:ind w:firstLine="640" w:firstLineChars="200"/>
        <w:jc w:val="left"/>
        <w:rPr>
          <w:rFonts w:hint="eastAsia" w:eastAsia="仿宋_GB2312"/>
          <w:sz w:val="32"/>
          <w:lang w:val="en-US" w:eastAsia="zh-CN"/>
        </w:rPr>
      </w:pPr>
      <w:r>
        <w:rPr>
          <w:rFonts w:hint="eastAsia" w:eastAsia="仿宋_GB2312"/>
          <w:sz w:val="32"/>
          <w:lang w:val="en-US" w:eastAsia="zh-CN"/>
        </w:rPr>
        <w:t>本项目无其他需说明的问题。</w:t>
      </w:r>
    </w:p>
    <w:p w14:paraId="5D5EFC94">
      <w:pPr>
        <w:spacing w:line="560" w:lineRule="exact"/>
        <w:ind w:firstLine="640" w:firstLineChars="200"/>
        <w:jc w:val="left"/>
        <w:rPr>
          <w:rFonts w:hint="eastAsia" w:eastAsia="仿宋_GB2312"/>
          <w:sz w:val="32"/>
          <w:lang w:val="en-US" w:eastAsia="zh-CN"/>
        </w:rPr>
      </w:pPr>
    </w:p>
    <w:p w14:paraId="764A65B0">
      <w:pPr>
        <w:pStyle w:val="2"/>
        <w:sectPr>
          <w:pgSz w:w="11906" w:h="16838"/>
          <w:pgMar w:top="2098" w:right="1531" w:bottom="1984" w:left="1531" w:header="851" w:footer="992" w:gutter="0"/>
          <w:cols w:space="720" w:num="1"/>
          <w:docGrid w:type="lines" w:linePitch="312" w:charSpace="0"/>
        </w:sectPr>
      </w:pPr>
    </w:p>
    <w:p w14:paraId="76D62C86">
      <w:pPr>
        <w:pStyle w:val="2"/>
        <w:ind w:left="0" w:leftChars="0" w:firstLine="0" w:firstLineChars="0"/>
      </w:pPr>
      <w:bookmarkStart w:id="0" w:name="_GoBack"/>
      <w:bookmarkEnd w:id="0"/>
    </w:p>
    <w:sectPr>
      <w:footerReference r:id="rId3" w:type="default"/>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8EC0A0D">
        <w:pPr>
          <w:pStyle w:val="14"/>
          <w:jc w:val="center"/>
        </w:pPr>
        <w:r>
          <w:fldChar w:fldCharType="begin"/>
        </w:r>
        <w:r>
          <w:instrText xml:space="preserve">PAGE   \* MERGEFORMAT</w:instrText>
        </w:r>
        <w:r>
          <w:fldChar w:fldCharType="separate"/>
        </w:r>
        <w:r>
          <w:rPr>
            <w:lang w:val="zh-CN"/>
          </w:rPr>
          <w:t>1</w:t>
        </w:r>
        <w:r>
          <w:fldChar w:fldCharType="end"/>
        </w:r>
      </w:p>
    </w:sdtContent>
  </w:sdt>
  <w:p w14:paraId="3453CF44">
    <w:pPr>
      <w:pStyle w:val="1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19544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5">
    <w:name w:val="heading 2"/>
    <w:basedOn w:val="1"/>
    <w:next w:val="1"/>
    <w:link w:val="24"/>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6">
    <w:name w:val="heading 3"/>
    <w:basedOn w:val="1"/>
    <w:next w:val="1"/>
    <w:link w:val="25"/>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7">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8">
    <w:name w:val="heading 5"/>
    <w:basedOn w:val="1"/>
    <w:next w:val="1"/>
    <w:link w:val="27"/>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9">
    <w:name w:val="heading 6"/>
    <w:basedOn w:val="1"/>
    <w:next w:val="1"/>
    <w:link w:val="28"/>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0">
    <w:name w:val="heading 7"/>
    <w:basedOn w:val="1"/>
    <w:next w:val="1"/>
    <w:link w:val="29"/>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1">
    <w:name w:val="heading 8"/>
    <w:basedOn w:val="1"/>
    <w:next w:val="1"/>
    <w:link w:val="30"/>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2">
    <w:name w:val="heading 9"/>
    <w:basedOn w:val="1"/>
    <w:next w:val="1"/>
    <w:link w:val="31"/>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13">
    <w:name w:val="Balloon Text"/>
    <w:basedOn w:val="1"/>
    <w:link w:val="48"/>
    <w:semiHidden/>
    <w:unhideWhenUsed/>
    <w:qFormat/>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9">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1">
    <w:name w:val="Strong"/>
    <w:basedOn w:val="20"/>
    <w:qFormat/>
    <w:uiPriority w:val="0"/>
    <w:rPr>
      <w:b/>
      <w:bCs/>
    </w:rPr>
  </w:style>
  <w:style w:type="character" w:styleId="22">
    <w:name w:val="Emphasis"/>
    <w:basedOn w:val="20"/>
    <w:qFormat/>
    <w:uiPriority w:val="20"/>
    <w:rPr>
      <w:rFonts w:asciiTheme="minorHAnsi" w:hAnsiTheme="minorHAnsi"/>
      <w:b/>
      <w:i/>
      <w:iCs/>
    </w:rPr>
  </w:style>
  <w:style w:type="character" w:customStyle="1" w:styleId="23">
    <w:name w:val="标题 1 字符"/>
    <w:basedOn w:val="20"/>
    <w:link w:val="4"/>
    <w:qFormat/>
    <w:uiPriority w:val="9"/>
    <w:rPr>
      <w:rFonts w:asciiTheme="majorHAnsi" w:hAnsiTheme="majorHAnsi" w:eastAsiaTheme="majorEastAsia"/>
      <w:b/>
      <w:bCs/>
      <w:kern w:val="32"/>
      <w:sz w:val="32"/>
      <w:szCs w:val="32"/>
    </w:rPr>
  </w:style>
  <w:style w:type="character" w:customStyle="1" w:styleId="24">
    <w:name w:val="标题 2 字符"/>
    <w:basedOn w:val="20"/>
    <w:link w:val="5"/>
    <w:semiHidden/>
    <w:qFormat/>
    <w:uiPriority w:val="9"/>
    <w:rPr>
      <w:rFonts w:asciiTheme="majorHAnsi" w:hAnsiTheme="majorHAnsi" w:eastAsiaTheme="majorEastAsia"/>
      <w:b/>
      <w:bCs/>
      <w:i/>
      <w:iCs/>
      <w:sz w:val="28"/>
      <w:szCs w:val="28"/>
    </w:rPr>
  </w:style>
  <w:style w:type="character" w:customStyle="1" w:styleId="25">
    <w:name w:val="标题 3 字符"/>
    <w:basedOn w:val="20"/>
    <w:link w:val="6"/>
    <w:semiHidden/>
    <w:qFormat/>
    <w:uiPriority w:val="9"/>
    <w:rPr>
      <w:rFonts w:asciiTheme="majorHAnsi" w:hAnsiTheme="majorHAnsi" w:eastAsiaTheme="majorEastAsia"/>
      <w:b/>
      <w:bCs/>
      <w:sz w:val="26"/>
      <w:szCs w:val="26"/>
    </w:rPr>
  </w:style>
  <w:style w:type="character" w:customStyle="1" w:styleId="26">
    <w:name w:val="标题 4 字符"/>
    <w:basedOn w:val="20"/>
    <w:link w:val="7"/>
    <w:qFormat/>
    <w:uiPriority w:val="9"/>
    <w:rPr>
      <w:b/>
      <w:bCs/>
      <w:sz w:val="28"/>
      <w:szCs w:val="28"/>
    </w:rPr>
  </w:style>
  <w:style w:type="character" w:customStyle="1" w:styleId="27">
    <w:name w:val="标题 5 字符"/>
    <w:basedOn w:val="20"/>
    <w:link w:val="8"/>
    <w:semiHidden/>
    <w:qFormat/>
    <w:uiPriority w:val="9"/>
    <w:rPr>
      <w:b/>
      <w:bCs/>
      <w:i/>
      <w:iCs/>
      <w:sz w:val="26"/>
      <w:szCs w:val="26"/>
    </w:rPr>
  </w:style>
  <w:style w:type="character" w:customStyle="1" w:styleId="28">
    <w:name w:val="标题 6 字符"/>
    <w:basedOn w:val="20"/>
    <w:link w:val="9"/>
    <w:semiHidden/>
    <w:qFormat/>
    <w:uiPriority w:val="9"/>
    <w:rPr>
      <w:b/>
      <w:bCs/>
    </w:rPr>
  </w:style>
  <w:style w:type="character" w:customStyle="1" w:styleId="29">
    <w:name w:val="标题 7 字符"/>
    <w:basedOn w:val="20"/>
    <w:link w:val="10"/>
    <w:semiHidden/>
    <w:qFormat/>
    <w:uiPriority w:val="9"/>
    <w:rPr>
      <w:sz w:val="24"/>
      <w:szCs w:val="24"/>
    </w:rPr>
  </w:style>
  <w:style w:type="character" w:customStyle="1" w:styleId="30">
    <w:name w:val="标题 8 字符"/>
    <w:basedOn w:val="20"/>
    <w:link w:val="11"/>
    <w:semiHidden/>
    <w:qFormat/>
    <w:uiPriority w:val="9"/>
    <w:rPr>
      <w:i/>
      <w:iCs/>
      <w:sz w:val="24"/>
      <w:szCs w:val="24"/>
    </w:rPr>
  </w:style>
  <w:style w:type="character" w:customStyle="1" w:styleId="31">
    <w:name w:val="标题 9 字符"/>
    <w:basedOn w:val="20"/>
    <w:link w:val="12"/>
    <w:semiHidden/>
    <w:qFormat/>
    <w:uiPriority w:val="9"/>
    <w:rPr>
      <w:rFonts w:asciiTheme="majorHAnsi" w:hAnsiTheme="majorHAnsi" w:eastAsiaTheme="majorEastAsia"/>
    </w:rPr>
  </w:style>
  <w:style w:type="character" w:customStyle="1" w:styleId="32">
    <w:name w:val="标题 字符"/>
    <w:basedOn w:val="20"/>
    <w:link w:val="17"/>
    <w:qFormat/>
    <w:uiPriority w:val="10"/>
    <w:rPr>
      <w:rFonts w:asciiTheme="majorHAnsi" w:hAnsiTheme="majorHAnsi" w:eastAsiaTheme="majorEastAsia"/>
      <w:b/>
      <w:bCs/>
      <w:kern w:val="28"/>
      <w:sz w:val="32"/>
      <w:szCs w:val="32"/>
    </w:rPr>
  </w:style>
  <w:style w:type="character" w:customStyle="1" w:styleId="33">
    <w:name w:val="副标题 字符"/>
    <w:basedOn w:val="20"/>
    <w:link w:val="16"/>
    <w:qFormat/>
    <w:uiPriority w:val="11"/>
    <w:rPr>
      <w:rFonts w:asciiTheme="majorHAnsi" w:hAnsiTheme="majorHAnsi" w:eastAsiaTheme="majorEastAsia"/>
      <w:sz w:val="24"/>
      <w:szCs w:val="24"/>
    </w:rPr>
  </w:style>
  <w:style w:type="paragraph"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字符"/>
    <w:basedOn w:val="20"/>
    <w:link w:val="36"/>
    <w:uiPriority w:val="29"/>
    <w:rPr>
      <w:i/>
      <w:sz w:val="24"/>
      <w:szCs w:val="24"/>
    </w:rPr>
  </w:style>
  <w:style w:type="paragraph"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字符"/>
    <w:basedOn w:val="20"/>
    <w:link w:val="38"/>
    <w:qFormat/>
    <w:uiPriority w:val="30"/>
    <w:rPr>
      <w:b/>
      <w:i/>
      <w:sz w:val="24"/>
    </w:rPr>
  </w:style>
  <w:style w:type="character" w:customStyle="1" w:styleId="40">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1">
    <w:name w:val="明显强调1"/>
    <w:basedOn w:val="20"/>
    <w:qFormat/>
    <w:uiPriority w:val="21"/>
    <w:rPr>
      <w:b/>
      <w:i/>
      <w:sz w:val="24"/>
      <w:szCs w:val="24"/>
      <w:u w:val="single"/>
    </w:rPr>
  </w:style>
  <w:style w:type="character" w:customStyle="1" w:styleId="42">
    <w:name w:val="不明显参考1"/>
    <w:basedOn w:val="20"/>
    <w:qFormat/>
    <w:uiPriority w:val="31"/>
    <w:rPr>
      <w:sz w:val="24"/>
      <w:szCs w:val="24"/>
      <w:u w:val="single"/>
    </w:rPr>
  </w:style>
  <w:style w:type="character" w:customStyle="1" w:styleId="43">
    <w:name w:val="明显参考1"/>
    <w:basedOn w:val="20"/>
    <w:qFormat/>
    <w:uiPriority w:val="32"/>
    <w:rPr>
      <w:b/>
      <w:sz w:val="24"/>
      <w:u w:val="single"/>
    </w:rPr>
  </w:style>
  <w:style w:type="character" w:customStyle="1" w:styleId="44">
    <w:name w:val="书籍标题1"/>
    <w:basedOn w:val="20"/>
    <w:qFormat/>
    <w:uiPriority w:val="33"/>
    <w:rPr>
      <w:rFonts w:asciiTheme="majorHAnsi" w:hAnsiTheme="majorHAnsi" w:eastAsiaTheme="majorEastAsia"/>
      <w:b/>
      <w:i/>
      <w:sz w:val="24"/>
      <w:szCs w:val="24"/>
    </w:rPr>
  </w:style>
  <w:style w:type="paragraph" w:customStyle="1" w:styleId="45">
    <w:name w:val="TOC 标题1"/>
    <w:basedOn w:val="4"/>
    <w:next w:val="1"/>
    <w:semiHidden/>
    <w:unhideWhenUsed/>
    <w:qFormat/>
    <w:uiPriority w:val="39"/>
    <w:pPr>
      <w:outlineLvl w:val="9"/>
    </w:pPr>
    <w:rPr>
      <w:lang w:eastAsia="en-US" w:bidi="en-US"/>
    </w:rPr>
  </w:style>
  <w:style w:type="character" w:customStyle="1" w:styleId="46">
    <w:name w:val="页眉 字符"/>
    <w:basedOn w:val="20"/>
    <w:link w:val="15"/>
    <w:qFormat/>
    <w:uiPriority w:val="99"/>
    <w:rPr>
      <w:rFonts w:ascii="Calibri" w:hAnsi="Calibri" w:eastAsia="宋体"/>
      <w:kern w:val="2"/>
      <w:sz w:val="18"/>
      <w:szCs w:val="18"/>
    </w:rPr>
  </w:style>
  <w:style w:type="character" w:customStyle="1" w:styleId="47">
    <w:name w:val="页脚 字符"/>
    <w:basedOn w:val="20"/>
    <w:link w:val="14"/>
    <w:qFormat/>
    <w:uiPriority w:val="99"/>
    <w:rPr>
      <w:rFonts w:ascii="Calibri" w:hAnsi="Calibri" w:eastAsia="宋体"/>
      <w:kern w:val="2"/>
      <w:sz w:val="18"/>
      <w:szCs w:val="18"/>
    </w:rPr>
  </w:style>
  <w:style w:type="character" w:customStyle="1" w:styleId="48">
    <w:name w:val="批注框文本 字符"/>
    <w:basedOn w:val="20"/>
    <w:link w:val="13"/>
    <w:semiHidden/>
    <w:qFormat/>
    <w:uiPriority w:val="99"/>
    <w:rPr>
      <w:rFonts w:ascii="Times New Roman" w:hAnsi="Times New Roman" w:eastAsia="宋体"/>
      <w:kern w:val="2"/>
      <w:sz w:val="18"/>
      <w:szCs w:val="18"/>
    </w:rPr>
  </w:style>
  <w:style w:type="paragraph" w:customStyle="1" w:styleId="4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21EF0CDCB73D4B8D8FAC715995DB8275</vt:lpwstr>
  </property>
</Properties>
</file>

<file path=customXml/itemProps1.xml><?xml version="1.0" encoding="utf-8"?>
<ds:datastoreItem xmlns:ds="http://schemas.openxmlformats.org/officeDocument/2006/customXml" ds:itemID="{782841e5-cad4-47bf-938e-b6d73a6dee2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13448</Words>
  <Characters>13879</Characters>
  <Lines>1</Lines>
  <Paragraphs>1</Paragraphs>
  <TotalTime>7</TotalTime>
  <ScaleCrop>false</ScaleCrop>
  <LinksUpToDate>false</LinksUpToDate>
  <CharactersWithSpaces>13918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2025-03-11T03:27:00Z</dcterms:created>
  <dc:creator>赵 恺_xFF08_预算处_xFF09_</dc:creator>
  <cp:lastModifiedBy>白羊</cp:lastModifiedBy>
  <cp:lastPrinted>2018-12-31T10:56:00Z</cp:lastPrinted>
  <dcterms:modified xsi:type="dcterms:W3CDTF">2025-11-13T05:29:31Z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21EF0CDCB73D4B8D8FAC715995DB8275</vt:lpwstr>
  </property>
  <property fmtid="{D5CDD505-2E9C-101B-9397-08002B2CF9AE}" pid="4" name="KSOTemplateDocerSaveRecord">
    <vt:lpwstr>eyJoZGlkIjoiYjM4NWYyMWE2NWU1OGNiMmIxMmZkYzA5MWEwNzJlZmIiLCJ1c2VySWQiOiI0MzE2NzY3NzkifQ==</vt:lpwstr>
  </property>
</Properties>
</file>